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3A54" w14:textId="77777777" w:rsidR="00100842" w:rsidRDefault="00317E10" w:rsidP="002312A8">
      <w:pPr>
        <w:pStyle w:val="Heading1"/>
        <w:jc w:val="center"/>
      </w:pPr>
      <w:r>
        <w:rPr>
          <w:noProof/>
        </w:rPr>
        <w:drawing>
          <wp:inline distT="0" distB="0" distL="0" distR="0" wp14:anchorId="4B3E3BC9" wp14:editId="4B3E3BCA">
            <wp:extent cx="1478877" cy="746760"/>
            <wp:effectExtent l="0" t="0" r="7620" b="0"/>
            <wp:docPr id="1" name="Picture 1" descr="MultiTax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76975" name="Picture 1" descr="MultiTax Commiss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94601" cy="754700"/>
                    </a:xfrm>
                    <a:prstGeom prst="rect">
                      <a:avLst/>
                    </a:prstGeom>
                    <a:noFill/>
                    <a:ln>
                      <a:noFill/>
                    </a:ln>
                  </pic:spPr>
                </pic:pic>
              </a:graphicData>
            </a:graphic>
          </wp:inline>
        </w:drawing>
      </w:r>
    </w:p>
    <w:p w14:paraId="4B3E3A55" w14:textId="77777777" w:rsidR="003974B6" w:rsidRPr="00AE09D8" w:rsidRDefault="00317E10" w:rsidP="0075301D">
      <w:pPr>
        <w:spacing w:after="0"/>
        <w:jc w:val="center"/>
        <w:rPr>
          <w:b/>
          <w:bCs/>
          <w:sz w:val="36"/>
          <w:szCs w:val="36"/>
        </w:rPr>
      </w:pPr>
      <w:r w:rsidRPr="00AE09D8">
        <w:rPr>
          <w:b/>
          <w:bCs/>
          <w:sz w:val="36"/>
          <w:szCs w:val="36"/>
        </w:rPr>
        <w:t xml:space="preserve">Taxation of Digital Products </w:t>
      </w:r>
      <w:r w:rsidR="00AD0F4E" w:rsidRPr="00AE09D8">
        <w:rPr>
          <w:b/>
          <w:bCs/>
          <w:sz w:val="36"/>
          <w:szCs w:val="36"/>
        </w:rPr>
        <w:t>Uniformity Project</w:t>
      </w:r>
    </w:p>
    <w:p w14:paraId="4B3E3A56" w14:textId="77777777" w:rsidR="003B5732" w:rsidRPr="00AE09D8" w:rsidRDefault="00317E10" w:rsidP="0075301D">
      <w:pPr>
        <w:tabs>
          <w:tab w:val="left" w:pos="540"/>
          <w:tab w:val="center" w:pos="4680"/>
        </w:tabs>
        <w:spacing w:after="0"/>
        <w:rPr>
          <w:b/>
          <w:bCs/>
          <w:sz w:val="36"/>
          <w:szCs w:val="36"/>
        </w:rPr>
      </w:pPr>
      <w:r w:rsidRPr="00AE09D8">
        <w:rPr>
          <w:b/>
          <w:bCs/>
          <w:sz w:val="36"/>
          <w:szCs w:val="36"/>
        </w:rPr>
        <w:tab/>
      </w:r>
      <w:r w:rsidRPr="00AE09D8">
        <w:rPr>
          <w:b/>
          <w:bCs/>
          <w:sz w:val="36"/>
          <w:szCs w:val="36"/>
        </w:rPr>
        <w:tab/>
        <w:t>D</w:t>
      </w:r>
      <w:r w:rsidR="006600ED" w:rsidRPr="00AE09D8">
        <w:rPr>
          <w:b/>
          <w:bCs/>
          <w:sz w:val="36"/>
          <w:szCs w:val="36"/>
        </w:rPr>
        <w:t xml:space="preserve">raft </w:t>
      </w:r>
      <w:r w:rsidRPr="00AE09D8">
        <w:rPr>
          <w:b/>
          <w:bCs/>
          <w:sz w:val="36"/>
          <w:szCs w:val="36"/>
        </w:rPr>
        <w:t>White Paper Section on Bundling</w:t>
      </w:r>
    </w:p>
    <w:p w14:paraId="4B3E3A57" w14:textId="4803B70B" w:rsidR="003B5732" w:rsidRDefault="00F63066" w:rsidP="0075301D">
      <w:pPr>
        <w:spacing w:after="0"/>
        <w:jc w:val="center"/>
        <w:rPr>
          <w:b/>
          <w:bCs/>
          <w:sz w:val="36"/>
          <w:szCs w:val="36"/>
        </w:rPr>
      </w:pPr>
      <w:r>
        <w:rPr>
          <w:b/>
          <w:bCs/>
          <w:sz w:val="36"/>
          <w:szCs w:val="36"/>
        </w:rPr>
        <w:t>April</w:t>
      </w:r>
      <w:r w:rsidR="004D7012">
        <w:rPr>
          <w:b/>
          <w:bCs/>
          <w:sz w:val="36"/>
          <w:szCs w:val="36"/>
        </w:rPr>
        <w:t xml:space="preserve"> </w:t>
      </w:r>
      <w:r w:rsidR="00250068">
        <w:rPr>
          <w:b/>
          <w:bCs/>
          <w:sz w:val="36"/>
          <w:szCs w:val="36"/>
        </w:rPr>
        <w:t>2</w:t>
      </w:r>
      <w:r>
        <w:rPr>
          <w:b/>
          <w:bCs/>
          <w:sz w:val="36"/>
          <w:szCs w:val="36"/>
        </w:rPr>
        <w:t>8</w:t>
      </w:r>
      <w:r w:rsidR="00317E10" w:rsidRPr="00AE09D8">
        <w:rPr>
          <w:b/>
          <w:bCs/>
          <w:sz w:val="36"/>
          <w:szCs w:val="36"/>
        </w:rPr>
        <w:t>, 202</w:t>
      </w:r>
      <w:r>
        <w:rPr>
          <w:b/>
          <w:bCs/>
          <w:sz w:val="36"/>
          <w:szCs w:val="36"/>
        </w:rPr>
        <w:t>6</w:t>
      </w:r>
    </w:p>
    <w:p w14:paraId="4B3E3A59" w14:textId="2B5945BD" w:rsidR="00C80296" w:rsidRDefault="00317E10" w:rsidP="00C80296">
      <w:pPr>
        <w:pStyle w:val="Heading1"/>
      </w:pPr>
      <w:r>
        <w:t xml:space="preserve">1. </w:t>
      </w:r>
      <w:r w:rsidR="00253AF6">
        <w:t>Scope</w:t>
      </w:r>
    </w:p>
    <w:p w14:paraId="73E9BBD8" w14:textId="14EB9496" w:rsidR="001055B6" w:rsidRDefault="00317E10" w:rsidP="00DD515F">
      <w:pPr>
        <w:rPr>
          <w:sz w:val="26"/>
          <w:szCs w:val="26"/>
        </w:rPr>
      </w:pPr>
      <w:r>
        <w:rPr>
          <w:sz w:val="26"/>
          <w:szCs w:val="26"/>
        </w:rPr>
        <w:t xml:space="preserve">The Digital Products Work Group was formed to draft a white paper on </w:t>
      </w:r>
      <w:r w:rsidR="003B5732">
        <w:rPr>
          <w:sz w:val="26"/>
          <w:szCs w:val="26"/>
        </w:rPr>
        <w:t xml:space="preserve">the </w:t>
      </w:r>
      <w:r>
        <w:rPr>
          <w:sz w:val="26"/>
          <w:szCs w:val="26"/>
        </w:rPr>
        <w:t>issues states should consider when including digital products</w:t>
      </w:r>
      <w:r>
        <w:rPr>
          <w:rStyle w:val="FootnoteReference"/>
          <w:sz w:val="26"/>
          <w:szCs w:val="26"/>
        </w:rPr>
        <w:footnoteReference w:id="2"/>
      </w:r>
      <w:r>
        <w:rPr>
          <w:sz w:val="26"/>
          <w:szCs w:val="26"/>
        </w:rPr>
        <w:t xml:space="preserve"> in their sales tax base.</w:t>
      </w:r>
      <w:r>
        <w:rPr>
          <w:rStyle w:val="FootnoteReference"/>
          <w:sz w:val="26"/>
          <w:szCs w:val="26"/>
        </w:rPr>
        <w:footnoteReference w:id="3"/>
      </w:r>
      <w:r>
        <w:rPr>
          <w:sz w:val="26"/>
          <w:szCs w:val="26"/>
        </w:rPr>
        <w:t xml:space="preserve"> </w:t>
      </w:r>
      <w:r w:rsidR="002064CA" w:rsidRPr="009B5A09">
        <w:rPr>
          <w:sz w:val="26"/>
          <w:szCs w:val="26"/>
        </w:rPr>
        <w:t>At their March 7, 2024 meeting, the work group voted to study bundling issues.</w:t>
      </w:r>
      <w:r>
        <w:rPr>
          <w:rStyle w:val="FootnoteReference"/>
          <w:sz w:val="26"/>
          <w:szCs w:val="26"/>
        </w:rPr>
        <w:footnoteReference w:id="4"/>
      </w:r>
      <w:bookmarkStart w:id="0" w:name="_Hlk174542625"/>
    </w:p>
    <w:p w14:paraId="4B3E3A5B" w14:textId="7694BDCB" w:rsidR="00174E3A" w:rsidRPr="00174E3A" w:rsidRDefault="00DD515F" w:rsidP="00B614ED">
      <w:pPr>
        <w:rPr>
          <w:sz w:val="26"/>
          <w:szCs w:val="26"/>
        </w:rPr>
      </w:pPr>
      <w:r>
        <w:rPr>
          <w:sz w:val="26"/>
          <w:szCs w:val="26"/>
        </w:rPr>
        <w:t xml:space="preserve">Digital products </w:t>
      </w:r>
      <w:r w:rsidR="00171527">
        <w:rPr>
          <w:sz w:val="26"/>
          <w:szCs w:val="26"/>
        </w:rPr>
        <w:t xml:space="preserve">may </w:t>
      </w:r>
      <w:r>
        <w:rPr>
          <w:sz w:val="26"/>
          <w:szCs w:val="26"/>
        </w:rPr>
        <w:t xml:space="preserve">pose new challenges to states’ bundling </w:t>
      </w:r>
      <w:r w:rsidR="006A19C2">
        <w:rPr>
          <w:sz w:val="26"/>
          <w:szCs w:val="26"/>
        </w:rPr>
        <w:t xml:space="preserve">rules </w:t>
      </w:r>
      <w:r>
        <w:rPr>
          <w:sz w:val="26"/>
          <w:szCs w:val="26"/>
        </w:rPr>
        <w:t xml:space="preserve">compared to bundles that include </w:t>
      </w:r>
      <w:r w:rsidR="006A19C2">
        <w:rPr>
          <w:sz w:val="26"/>
          <w:szCs w:val="26"/>
        </w:rPr>
        <w:t>traditional goods</w:t>
      </w:r>
      <w:r>
        <w:rPr>
          <w:sz w:val="26"/>
          <w:szCs w:val="26"/>
        </w:rPr>
        <w:t xml:space="preserve"> or services.</w:t>
      </w:r>
      <w:r w:rsidR="006A19C2">
        <w:rPr>
          <w:sz w:val="26"/>
          <w:szCs w:val="26"/>
        </w:rPr>
        <w:t xml:space="preserve"> </w:t>
      </w:r>
      <w:r w:rsidR="00317E10" w:rsidRPr="00174E3A">
        <w:rPr>
          <w:sz w:val="26"/>
          <w:szCs w:val="26"/>
        </w:rPr>
        <w:t xml:space="preserve">The primary question </w:t>
      </w:r>
      <w:r w:rsidR="008A30E2">
        <w:rPr>
          <w:sz w:val="26"/>
          <w:szCs w:val="26"/>
        </w:rPr>
        <w:t>addressed in this</w:t>
      </w:r>
      <w:r w:rsidR="008A30E2" w:rsidRPr="00174E3A">
        <w:rPr>
          <w:sz w:val="26"/>
          <w:szCs w:val="26"/>
        </w:rPr>
        <w:t xml:space="preserve"> </w:t>
      </w:r>
      <w:r w:rsidR="00317E10" w:rsidRPr="002905C2">
        <w:rPr>
          <w:sz w:val="26"/>
          <w:szCs w:val="26"/>
        </w:rPr>
        <w:t>section of the white paper</w:t>
      </w:r>
      <w:r w:rsidR="00317E10" w:rsidRPr="00174E3A">
        <w:rPr>
          <w:sz w:val="26"/>
          <w:szCs w:val="26"/>
        </w:rPr>
        <w:t xml:space="preserve"> is</w:t>
      </w:r>
      <w:r w:rsidR="00B614ED" w:rsidRPr="00174E3A">
        <w:rPr>
          <w:sz w:val="26"/>
          <w:szCs w:val="26"/>
        </w:rPr>
        <w:t xml:space="preserve">: </w:t>
      </w:r>
    </w:p>
    <w:p w14:paraId="4B3E3A5C" w14:textId="53F00EB7" w:rsidR="00B614ED" w:rsidRDefault="00317E10" w:rsidP="00174E3A">
      <w:pPr>
        <w:ind w:left="720"/>
        <w:rPr>
          <w:sz w:val="26"/>
          <w:szCs w:val="26"/>
        </w:rPr>
      </w:pPr>
      <w:r>
        <w:rPr>
          <w:sz w:val="26"/>
          <w:szCs w:val="26"/>
        </w:rPr>
        <w:t>D</w:t>
      </w:r>
      <w:r w:rsidRPr="00F13587">
        <w:rPr>
          <w:sz w:val="26"/>
          <w:szCs w:val="26"/>
        </w:rPr>
        <w:t xml:space="preserve">oes the </w:t>
      </w:r>
      <w:r w:rsidR="008A30E2">
        <w:rPr>
          <w:sz w:val="26"/>
          <w:szCs w:val="26"/>
        </w:rPr>
        <w:t>inclusion</w:t>
      </w:r>
      <w:r w:rsidR="008A30E2" w:rsidRPr="00F13587">
        <w:rPr>
          <w:sz w:val="26"/>
          <w:szCs w:val="26"/>
        </w:rPr>
        <w:t xml:space="preserve"> </w:t>
      </w:r>
      <w:r w:rsidRPr="00F13587">
        <w:rPr>
          <w:sz w:val="26"/>
          <w:szCs w:val="26"/>
        </w:rPr>
        <w:t xml:space="preserve">of digital products in a sales and use tax base present unique issues with respect to bundling compared to </w:t>
      </w:r>
      <w:r w:rsidR="006A19C2">
        <w:rPr>
          <w:sz w:val="26"/>
          <w:szCs w:val="26"/>
        </w:rPr>
        <w:t>traditional</w:t>
      </w:r>
      <w:r w:rsidR="003421FA" w:rsidRPr="00F13587">
        <w:rPr>
          <w:sz w:val="26"/>
          <w:szCs w:val="26"/>
        </w:rPr>
        <w:t xml:space="preserve"> property</w:t>
      </w:r>
      <w:r w:rsidRPr="00F13587">
        <w:rPr>
          <w:sz w:val="26"/>
          <w:szCs w:val="26"/>
        </w:rPr>
        <w:t xml:space="preserve"> and services?</w:t>
      </w:r>
    </w:p>
    <w:bookmarkEnd w:id="0"/>
    <w:p w14:paraId="4B3E3A60" w14:textId="1844EE70" w:rsidR="00C80296" w:rsidRPr="00E55DDF" w:rsidRDefault="00317E10" w:rsidP="00C80296">
      <w:pPr>
        <w:rPr>
          <w:rStyle w:val="Hyperlink"/>
          <w:color w:val="auto"/>
          <w:sz w:val="26"/>
          <w:szCs w:val="26"/>
          <w:u w:val="none"/>
        </w:rPr>
      </w:pPr>
      <w:r>
        <w:rPr>
          <w:sz w:val="26"/>
          <w:szCs w:val="26"/>
        </w:rPr>
        <w:t xml:space="preserve">To address this question, this </w:t>
      </w:r>
      <w:r w:rsidR="006A19C2">
        <w:rPr>
          <w:sz w:val="26"/>
          <w:szCs w:val="26"/>
        </w:rPr>
        <w:t xml:space="preserve">section </w:t>
      </w:r>
      <w:r w:rsidR="00253AF6">
        <w:rPr>
          <w:sz w:val="26"/>
          <w:szCs w:val="26"/>
        </w:rPr>
        <w:t xml:space="preserve">of the white paper </w:t>
      </w:r>
      <w:r w:rsidRPr="00C40A11">
        <w:rPr>
          <w:sz w:val="26"/>
          <w:szCs w:val="26"/>
        </w:rPr>
        <w:t>(1) describe</w:t>
      </w:r>
      <w:r>
        <w:rPr>
          <w:sz w:val="26"/>
          <w:szCs w:val="26"/>
        </w:rPr>
        <w:t>s</w:t>
      </w:r>
      <w:r w:rsidRPr="00C40A11">
        <w:rPr>
          <w:sz w:val="26"/>
          <w:szCs w:val="26"/>
        </w:rPr>
        <w:t xml:space="preserve"> the primary approaches to bundling and their relation to digital products, (2) highlight</w:t>
      </w:r>
      <w:r>
        <w:rPr>
          <w:sz w:val="26"/>
          <w:szCs w:val="26"/>
        </w:rPr>
        <w:t>s</w:t>
      </w:r>
      <w:r w:rsidRPr="00C40A11">
        <w:rPr>
          <w:sz w:val="26"/>
          <w:szCs w:val="26"/>
        </w:rPr>
        <w:t xml:space="preserve"> the positives and negatives of those approaches, </w:t>
      </w:r>
      <w:r w:rsidR="006531E7">
        <w:rPr>
          <w:sz w:val="26"/>
          <w:szCs w:val="26"/>
        </w:rPr>
        <w:t xml:space="preserve">and </w:t>
      </w:r>
      <w:r w:rsidRPr="00C40A11">
        <w:rPr>
          <w:sz w:val="26"/>
          <w:szCs w:val="26"/>
        </w:rPr>
        <w:t>(3) present</w:t>
      </w:r>
      <w:r>
        <w:rPr>
          <w:sz w:val="26"/>
          <w:szCs w:val="26"/>
        </w:rPr>
        <w:t>s</w:t>
      </w:r>
      <w:r w:rsidRPr="00C40A11">
        <w:rPr>
          <w:sz w:val="26"/>
          <w:szCs w:val="26"/>
        </w:rPr>
        <w:t xml:space="preserve"> </w:t>
      </w:r>
      <w:r w:rsidR="00D4082E">
        <w:rPr>
          <w:sz w:val="26"/>
          <w:szCs w:val="26"/>
        </w:rPr>
        <w:t>findings</w:t>
      </w:r>
      <w:r w:rsidRPr="00C40A11">
        <w:rPr>
          <w:sz w:val="26"/>
          <w:szCs w:val="26"/>
        </w:rPr>
        <w:t>.</w:t>
      </w:r>
    </w:p>
    <w:p w14:paraId="4B3E3A67" w14:textId="4359E69C" w:rsidR="00A67CDB" w:rsidRDefault="00120ACA" w:rsidP="002312A8">
      <w:pPr>
        <w:pStyle w:val="Heading1"/>
      </w:pPr>
      <w:r>
        <w:t>2</w:t>
      </w:r>
      <w:r w:rsidR="00DD0DF4">
        <w:t xml:space="preserve">. </w:t>
      </w:r>
      <w:r w:rsidR="00EC0B3C">
        <w:t>W</w:t>
      </w:r>
      <w:r w:rsidR="00825940" w:rsidRPr="009357D0">
        <w:t>h</w:t>
      </w:r>
      <w:r>
        <w:t>at is</w:t>
      </w:r>
      <w:r w:rsidR="00825940" w:rsidRPr="009357D0">
        <w:t xml:space="preserve"> bundling</w:t>
      </w:r>
      <w:r>
        <w:t>?</w:t>
      </w:r>
    </w:p>
    <w:p w14:paraId="17773682" w14:textId="77777777" w:rsidR="00253AF6" w:rsidRDefault="00317E10" w:rsidP="00E25BA4">
      <w:pPr>
        <w:rPr>
          <w:sz w:val="26"/>
          <w:szCs w:val="26"/>
        </w:rPr>
      </w:pPr>
      <w:r>
        <w:rPr>
          <w:sz w:val="26"/>
          <w:szCs w:val="26"/>
        </w:rPr>
        <w:t>T</w:t>
      </w:r>
      <w:r w:rsidR="001A03DE">
        <w:rPr>
          <w:sz w:val="26"/>
          <w:szCs w:val="26"/>
        </w:rPr>
        <w:t>he term “b</w:t>
      </w:r>
      <w:r w:rsidRPr="00C40A11">
        <w:rPr>
          <w:sz w:val="26"/>
          <w:szCs w:val="26"/>
        </w:rPr>
        <w:t>undling</w:t>
      </w:r>
      <w:r w:rsidR="001A03DE">
        <w:rPr>
          <w:sz w:val="26"/>
          <w:szCs w:val="26"/>
        </w:rPr>
        <w:t>”</w:t>
      </w:r>
      <w:r w:rsidRPr="00C40A11">
        <w:rPr>
          <w:sz w:val="26"/>
          <w:szCs w:val="26"/>
        </w:rPr>
        <w:t xml:space="preserve"> </w:t>
      </w:r>
      <w:r w:rsidR="001A03DE">
        <w:rPr>
          <w:sz w:val="26"/>
          <w:szCs w:val="26"/>
        </w:rPr>
        <w:t>in sales and us</w:t>
      </w:r>
      <w:r w:rsidR="00B64859">
        <w:rPr>
          <w:sz w:val="26"/>
          <w:szCs w:val="26"/>
        </w:rPr>
        <w:t>e tax</w:t>
      </w:r>
      <w:r w:rsidR="001A03DE">
        <w:rPr>
          <w:sz w:val="26"/>
          <w:szCs w:val="26"/>
        </w:rPr>
        <w:t xml:space="preserve"> systems </w:t>
      </w:r>
      <w:r w:rsidR="00250068">
        <w:rPr>
          <w:sz w:val="26"/>
          <w:szCs w:val="26"/>
        </w:rPr>
        <w:t>refers to</w:t>
      </w:r>
      <w:r w:rsidR="008A30E2">
        <w:rPr>
          <w:sz w:val="26"/>
          <w:szCs w:val="26"/>
        </w:rPr>
        <w:t xml:space="preserve"> </w:t>
      </w:r>
      <w:r w:rsidR="001A03DE">
        <w:rPr>
          <w:sz w:val="26"/>
          <w:szCs w:val="26"/>
        </w:rPr>
        <w:t xml:space="preserve">situations </w:t>
      </w:r>
      <w:r w:rsidR="0072195D">
        <w:rPr>
          <w:sz w:val="26"/>
          <w:szCs w:val="26"/>
        </w:rPr>
        <w:t>whe</w:t>
      </w:r>
      <w:r w:rsidR="00250068">
        <w:rPr>
          <w:sz w:val="26"/>
          <w:szCs w:val="26"/>
        </w:rPr>
        <w:t>re</w:t>
      </w:r>
      <w:r w:rsidR="0072195D">
        <w:rPr>
          <w:sz w:val="26"/>
          <w:szCs w:val="26"/>
        </w:rPr>
        <w:t xml:space="preserve"> multiple</w:t>
      </w:r>
      <w:r w:rsidR="00275D1D">
        <w:rPr>
          <w:sz w:val="26"/>
          <w:szCs w:val="26"/>
        </w:rPr>
        <w:t xml:space="preserve"> </w:t>
      </w:r>
      <w:r w:rsidRPr="00C40A11">
        <w:rPr>
          <w:sz w:val="26"/>
          <w:szCs w:val="26"/>
        </w:rPr>
        <w:t>product</w:t>
      </w:r>
      <w:r w:rsidR="00661A1E">
        <w:rPr>
          <w:sz w:val="26"/>
          <w:szCs w:val="26"/>
        </w:rPr>
        <w:t>s</w:t>
      </w:r>
      <w:r w:rsidRPr="00C40A11">
        <w:rPr>
          <w:sz w:val="26"/>
          <w:szCs w:val="26"/>
        </w:rPr>
        <w:t xml:space="preserve"> </w:t>
      </w:r>
      <w:r w:rsidR="00275D1D">
        <w:rPr>
          <w:sz w:val="26"/>
          <w:szCs w:val="26"/>
        </w:rPr>
        <w:t xml:space="preserve">with different tax treatments </w:t>
      </w:r>
      <w:r w:rsidR="00045506">
        <w:rPr>
          <w:sz w:val="26"/>
          <w:szCs w:val="26"/>
        </w:rPr>
        <w:t>are</w:t>
      </w:r>
      <w:r w:rsidR="001A03DE">
        <w:rPr>
          <w:sz w:val="26"/>
          <w:szCs w:val="26"/>
        </w:rPr>
        <w:t xml:space="preserve"> </w:t>
      </w:r>
      <w:r w:rsidRPr="00C40A11">
        <w:rPr>
          <w:sz w:val="26"/>
          <w:szCs w:val="26"/>
        </w:rPr>
        <w:t xml:space="preserve">sold </w:t>
      </w:r>
      <w:r w:rsidR="00C40A11">
        <w:rPr>
          <w:sz w:val="26"/>
          <w:szCs w:val="26"/>
        </w:rPr>
        <w:t xml:space="preserve">for a single price </w:t>
      </w:r>
      <w:r w:rsidRPr="00C40A11">
        <w:rPr>
          <w:sz w:val="26"/>
          <w:szCs w:val="26"/>
        </w:rPr>
        <w:t>(</w:t>
      </w:r>
      <w:r w:rsidR="00B64859">
        <w:rPr>
          <w:sz w:val="26"/>
          <w:szCs w:val="26"/>
        </w:rPr>
        <w:t xml:space="preserve">i.e., </w:t>
      </w:r>
      <w:r w:rsidRPr="00C40A11">
        <w:rPr>
          <w:sz w:val="26"/>
          <w:szCs w:val="26"/>
        </w:rPr>
        <w:t>bundled)</w:t>
      </w:r>
      <w:r>
        <w:rPr>
          <w:sz w:val="26"/>
          <w:szCs w:val="26"/>
        </w:rPr>
        <w:t>.</w:t>
      </w:r>
      <w:r w:rsidR="00253AF6">
        <w:rPr>
          <w:sz w:val="26"/>
          <w:szCs w:val="26"/>
        </w:rPr>
        <w:t xml:space="preserve"> </w:t>
      </w:r>
      <w:r>
        <w:rPr>
          <w:sz w:val="26"/>
          <w:szCs w:val="26"/>
        </w:rPr>
        <w:t xml:space="preserve">Bundling </w:t>
      </w:r>
      <w:r w:rsidR="00250068">
        <w:rPr>
          <w:sz w:val="26"/>
          <w:szCs w:val="26"/>
        </w:rPr>
        <w:t xml:space="preserve">rules </w:t>
      </w:r>
      <w:r>
        <w:rPr>
          <w:sz w:val="26"/>
          <w:szCs w:val="26"/>
        </w:rPr>
        <w:t xml:space="preserve">allow states and businesses to assign consistent taxability rules </w:t>
      </w:r>
      <w:r w:rsidR="00D4082E">
        <w:rPr>
          <w:sz w:val="26"/>
          <w:szCs w:val="26"/>
        </w:rPr>
        <w:t>to</w:t>
      </w:r>
      <w:r>
        <w:rPr>
          <w:sz w:val="26"/>
          <w:szCs w:val="26"/>
        </w:rPr>
        <w:t xml:space="preserve"> transactions that include </w:t>
      </w:r>
      <w:r w:rsidR="00D4082E">
        <w:rPr>
          <w:sz w:val="26"/>
          <w:szCs w:val="26"/>
        </w:rPr>
        <w:t xml:space="preserve">both taxable and nontaxable </w:t>
      </w:r>
      <w:r>
        <w:rPr>
          <w:sz w:val="26"/>
          <w:szCs w:val="26"/>
        </w:rPr>
        <w:t>products.</w:t>
      </w:r>
      <w:r w:rsidR="006B4FCC">
        <w:rPr>
          <w:sz w:val="26"/>
          <w:szCs w:val="26"/>
        </w:rPr>
        <w:t xml:space="preserve"> </w:t>
      </w:r>
    </w:p>
    <w:p w14:paraId="3DB82F36" w14:textId="0940D6A5" w:rsidR="00F33197" w:rsidRDefault="00250068" w:rsidP="00E25BA4">
      <w:pPr>
        <w:rPr>
          <w:sz w:val="26"/>
          <w:szCs w:val="26"/>
        </w:rPr>
      </w:pPr>
      <w:r>
        <w:rPr>
          <w:sz w:val="26"/>
          <w:szCs w:val="26"/>
        </w:rPr>
        <w:t xml:space="preserve">Bundling rules serve two important purposes. First, they provide certainty to retailers, so they know when and how much tax to collect at the point of sale. Second, they promote </w:t>
      </w:r>
      <w:r>
        <w:rPr>
          <w:sz w:val="26"/>
          <w:szCs w:val="26"/>
        </w:rPr>
        <w:lastRenderedPageBreak/>
        <w:t xml:space="preserve">simplification and consistency in tax administration. </w:t>
      </w:r>
      <w:r w:rsidR="00F33197">
        <w:rPr>
          <w:sz w:val="26"/>
          <w:szCs w:val="26"/>
        </w:rPr>
        <w:t>Bundling rules only apply when there are separable or distinct and identifiable products involved</w:t>
      </w:r>
      <w:r w:rsidR="005235EF">
        <w:rPr>
          <w:sz w:val="26"/>
          <w:szCs w:val="26"/>
        </w:rPr>
        <w:t>.</w:t>
      </w:r>
      <w:r w:rsidR="00AB7B67">
        <w:rPr>
          <w:rStyle w:val="FootnoteReference"/>
          <w:sz w:val="26"/>
          <w:szCs w:val="26"/>
        </w:rPr>
        <w:footnoteReference w:id="5"/>
      </w:r>
    </w:p>
    <w:p w14:paraId="353B6476" w14:textId="249F2FA6" w:rsidR="00985340" w:rsidRDefault="00120ACA" w:rsidP="00E25BA4">
      <w:pPr>
        <w:rPr>
          <w:sz w:val="26"/>
          <w:szCs w:val="26"/>
        </w:rPr>
      </w:pPr>
      <w:r>
        <w:rPr>
          <w:sz w:val="26"/>
          <w:szCs w:val="26"/>
        </w:rPr>
        <w:t>B</w:t>
      </w:r>
      <w:r w:rsidR="00317E10">
        <w:rPr>
          <w:sz w:val="26"/>
          <w:szCs w:val="26"/>
        </w:rPr>
        <w:t>undling rules</w:t>
      </w:r>
      <w:r w:rsidR="001A03DE">
        <w:rPr>
          <w:sz w:val="26"/>
          <w:szCs w:val="26"/>
        </w:rPr>
        <w:t xml:space="preserve"> may result in</w:t>
      </w:r>
      <w:r w:rsidR="00275D1D">
        <w:rPr>
          <w:sz w:val="26"/>
          <w:szCs w:val="26"/>
        </w:rPr>
        <w:t xml:space="preserve"> otherwise</w:t>
      </w:r>
      <w:r w:rsidR="001A03DE">
        <w:rPr>
          <w:sz w:val="26"/>
          <w:szCs w:val="26"/>
        </w:rPr>
        <w:t xml:space="preserve"> nontaxable </w:t>
      </w:r>
      <w:r w:rsidR="0099310B">
        <w:rPr>
          <w:sz w:val="26"/>
          <w:szCs w:val="26"/>
        </w:rPr>
        <w:t>products</w:t>
      </w:r>
      <w:r w:rsidR="001A03DE">
        <w:rPr>
          <w:sz w:val="26"/>
          <w:szCs w:val="26"/>
        </w:rPr>
        <w:t xml:space="preserve"> </w:t>
      </w:r>
      <w:r w:rsidR="00275D1D">
        <w:rPr>
          <w:sz w:val="26"/>
          <w:szCs w:val="26"/>
        </w:rPr>
        <w:t xml:space="preserve">that are part of a bundle </w:t>
      </w:r>
      <w:r w:rsidR="001A03DE">
        <w:rPr>
          <w:sz w:val="26"/>
          <w:szCs w:val="26"/>
        </w:rPr>
        <w:t>being subject to tax</w:t>
      </w:r>
      <w:r w:rsidR="00BB0766">
        <w:rPr>
          <w:sz w:val="26"/>
          <w:szCs w:val="26"/>
        </w:rPr>
        <w:t xml:space="preserve">, leading to risks </w:t>
      </w:r>
      <w:r w:rsidR="00411F1B">
        <w:rPr>
          <w:sz w:val="26"/>
          <w:szCs w:val="26"/>
        </w:rPr>
        <w:t xml:space="preserve">of inaccurate sales and use tax collection </w:t>
      </w:r>
      <w:r w:rsidR="00BB0766">
        <w:rPr>
          <w:sz w:val="26"/>
          <w:szCs w:val="26"/>
        </w:rPr>
        <w:t>for sellers</w:t>
      </w:r>
      <w:r w:rsidR="008C3D43">
        <w:rPr>
          <w:sz w:val="26"/>
          <w:szCs w:val="26"/>
        </w:rPr>
        <w:t>, fairness concerns,</w:t>
      </w:r>
      <w:r w:rsidR="00BB0766">
        <w:rPr>
          <w:sz w:val="26"/>
          <w:szCs w:val="26"/>
        </w:rPr>
        <w:t xml:space="preserve"> and </w:t>
      </w:r>
      <w:r w:rsidR="00411F1B">
        <w:rPr>
          <w:sz w:val="26"/>
          <w:szCs w:val="26"/>
        </w:rPr>
        <w:t xml:space="preserve">confusion </w:t>
      </w:r>
      <w:r w:rsidR="00C43486">
        <w:rPr>
          <w:sz w:val="26"/>
          <w:szCs w:val="26"/>
        </w:rPr>
        <w:t xml:space="preserve">on the part of purchasers </w:t>
      </w:r>
      <w:r w:rsidR="00411F1B">
        <w:rPr>
          <w:sz w:val="26"/>
          <w:szCs w:val="26"/>
        </w:rPr>
        <w:t xml:space="preserve">as to how sales and use tax is </w:t>
      </w:r>
      <w:r w:rsidR="00C43486">
        <w:rPr>
          <w:sz w:val="26"/>
          <w:szCs w:val="26"/>
        </w:rPr>
        <w:t>calculated</w:t>
      </w:r>
      <w:r w:rsidR="00317E10" w:rsidRPr="00C40A11">
        <w:rPr>
          <w:sz w:val="26"/>
          <w:szCs w:val="26"/>
        </w:rPr>
        <w:t xml:space="preserve">. </w:t>
      </w:r>
    </w:p>
    <w:p w14:paraId="4B3E3A6B" w14:textId="5DF933E9" w:rsidR="00A001E8" w:rsidRPr="003B16D5" w:rsidRDefault="00985340" w:rsidP="003B16D5">
      <w:pPr>
        <w:rPr>
          <w:sz w:val="26"/>
          <w:szCs w:val="26"/>
        </w:rPr>
      </w:pPr>
      <w:r>
        <w:rPr>
          <w:sz w:val="26"/>
          <w:szCs w:val="26"/>
        </w:rPr>
        <w:t>Sometimes</w:t>
      </w:r>
      <w:r w:rsidR="00C43486">
        <w:rPr>
          <w:sz w:val="26"/>
          <w:szCs w:val="26"/>
        </w:rPr>
        <w:t xml:space="preserve"> </w:t>
      </w:r>
      <w:r w:rsidR="005517FD">
        <w:rPr>
          <w:sz w:val="26"/>
          <w:szCs w:val="26"/>
        </w:rPr>
        <w:t>business</w:t>
      </w:r>
      <w:r w:rsidR="002F02CB">
        <w:rPr>
          <w:sz w:val="26"/>
          <w:szCs w:val="26"/>
        </w:rPr>
        <w:t>es</w:t>
      </w:r>
      <w:r w:rsidR="005517FD">
        <w:rPr>
          <w:sz w:val="26"/>
          <w:szCs w:val="26"/>
        </w:rPr>
        <w:t xml:space="preserve"> </w:t>
      </w:r>
      <w:r>
        <w:rPr>
          <w:sz w:val="26"/>
          <w:szCs w:val="26"/>
        </w:rPr>
        <w:t xml:space="preserve">are allowed </w:t>
      </w:r>
      <w:r w:rsidR="002F02CB">
        <w:rPr>
          <w:sz w:val="26"/>
          <w:szCs w:val="26"/>
        </w:rPr>
        <w:t xml:space="preserve">to </w:t>
      </w:r>
      <w:r w:rsidR="005517FD">
        <w:rPr>
          <w:sz w:val="26"/>
          <w:szCs w:val="26"/>
        </w:rPr>
        <w:t>unbundl</w:t>
      </w:r>
      <w:r w:rsidR="0099310B">
        <w:rPr>
          <w:sz w:val="26"/>
          <w:szCs w:val="26"/>
        </w:rPr>
        <w:t>e</w:t>
      </w:r>
      <w:r w:rsidR="005517FD">
        <w:rPr>
          <w:sz w:val="26"/>
          <w:szCs w:val="26"/>
        </w:rPr>
        <w:t xml:space="preserve"> packages of </w:t>
      </w:r>
      <w:r w:rsidR="00DC570C">
        <w:rPr>
          <w:sz w:val="26"/>
          <w:szCs w:val="26"/>
        </w:rPr>
        <w:t xml:space="preserve">separable </w:t>
      </w:r>
      <w:r w:rsidR="005517FD">
        <w:rPr>
          <w:sz w:val="26"/>
          <w:szCs w:val="26"/>
        </w:rPr>
        <w:t>taxable and nontaxable products</w:t>
      </w:r>
      <w:r w:rsidR="008F1B65">
        <w:rPr>
          <w:sz w:val="26"/>
          <w:szCs w:val="26"/>
        </w:rPr>
        <w:t xml:space="preserve"> and collect tax only on the taxable portions.</w:t>
      </w:r>
      <w:r w:rsidR="005517FD">
        <w:rPr>
          <w:sz w:val="26"/>
          <w:szCs w:val="26"/>
        </w:rPr>
        <w:t xml:space="preserve"> </w:t>
      </w:r>
      <w:r w:rsidR="008F1B65">
        <w:rPr>
          <w:sz w:val="26"/>
          <w:szCs w:val="26"/>
        </w:rPr>
        <w:t xml:space="preserve">This is typically </w:t>
      </w:r>
      <w:r w:rsidR="005517FD">
        <w:rPr>
          <w:sz w:val="26"/>
          <w:szCs w:val="26"/>
        </w:rPr>
        <w:t xml:space="preserve">based on some objective </w:t>
      </w:r>
      <w:r w:rsidR="00E43732">
        <w:rPr>
          <w:sz w:val="26"/>
          <w:szCs w:val="26"/>
        </w:rPr>
        <w:t>c</w:t>
      </w:r>
      <w:r w:rsidR="005517FD">
        <w:rPr>
          <w:sz w:val="26"/>
          <w:szCs w:val="26"/>
        </w:rPr>
        <w:t>riteria</w:t>
      </w:r>
      <w:r w:rsidR="0099310B">
        <w:rPr>
          <w:sz w:val="26"/>
          <w:szCs w:val="26"/>
        </w:rPr>
        <w:t xml:space="preserve"> such as </w:t>
      </w:r>
      <w:r w:rsidR="005517FD">
        <w:rPr>
          <w:sz w:val="26"/>
          <w:szCs w:val="26"/>
        </w:rPr>
        <w:t>customer invoices</w:t>
      </w:r>
      <w:r w:rsidR="00E13AFE">
        <w:rPr>
          <w:sz w:val="26"/>
          <w:szCs w:val="26"/>
        </w:rPr>
        <w:t xml:space="preserve"> or</w:t>
      </w:r>
      <w:r w:rsidR="005517FD">
        <w:rPr>
          <w:sz w:val="26"/>
          <w:szCs w:val="26"/>
        </w:rPr>
        <w:t xml:space="preserve"> </w:t>
      </w:r>
      <w:r w:rsidR="009F3027">
        <w:rPr>
          <w:sz w:val="26"/>
          <w:szCs w:val="26"/>
        </w:rPr>
        <w:t xml:space="preserve">the seller’s </w:t>
      </w:r>
      <w:r w:rsidR="005517FD">
        <w:rPr>
          <w:sz w:val="26"/>
          <w:szCs w:val="26"/>
        </w:rPr>
        <w:t>books and record</w:t>
      </w:r>
      <w:r w:rsidR="00E13AFE">
        <w:rPr>
          <w:sz w:val="26"/>
          <w:szCs w:val="26"/>
        </w:rPr>
        <w:t>s</w:t>
      </w:r>
      <w:r w:rsidR="005517FD">
        <w:rPr>
          <w:sz w:val="26"/>
          <w:szCs w:val="26"/>
        </w:rPr>
        <w:t xml:space="preserve">. Unbundling generally </w:t>
      </w:r>
      <w:r w:rsidR="00C16013">
        <w:rPr>
          <w:sz w:val="26"/>
          <w:szCs w:val="26"/>
        </w:rPr>
        <w:t>allows</w:t>
      </w:r>
      <w:r w:rsidR="005517FD">
        <w:rPr>
          <w:sz w:val="26"/>
          <w:szCs w:val="26"/>
        </w:rPr>
        <w:t xml:space="preserve"> each </w:t>
      </w:r>
      <w:r w:rsidR="00C16013">
        <w:rPr>
          <w:sz w:val="26"/>
          <w:szCs w:val="26"/>
        </w:rPr>
        <w:t>product</w:t>
      </w:r>
      <w:r w:rsidR="005517FD">
        <w:rPr>
          <w:sz w:val="26"/>
          <w:szCs w:val="26"/>
        </w:rPr>
        <w:t xml:space="preserve"> to be treated as if it were sold </w:t>
      </w:r>
      <w:r w:rsidR="00275D1D">
        <w:rPr>
          <w:sz w:val="26"/>
          <w:szCs w:val="26"/>
        </w:rPr>
        <w:t>separately</w:t>
      </w:r>
      <w:r w:rsidR="005517FD">
        <w:rPr>
          <w:sz w:val="26"/>
          <w:szCs w:val="26"/>
        </w:rPr>
        <w:t>.</w:t>
      </w:r>
    </w:p>
    <w:p w14:paraId="4B3E3A6C" w14:textId="79FDDAB3" w:rsidR="00D853BC" w:rsidRDefault="00120ACA" w:rsidP="00DD0DF4">
      <w:pPr>
        <w:pStyle w:val="Heading1"/>
      </w:pPr>
      <w:r>
        <w:t>3</w:t>
      </w:r>
      <w:r w:rsidR="00DD0DF4">
        <w:t xml:space="preserve">. </w:t>
      </w:r>
      <w:r w:rsidR="00275D1D">
        <w:t>S</w:t>
      </w:r>
      <w:r w:rsidR="005534DF">
        <w:t>taff research into</w:t>
      </w:r>
      <w:r w:rsidR="00253AF6">
        <w:t>,</w:t>
      </w:r>
      <w:r w:rsidR="005534DF">
        <w:t xml:space="preserve"> and </w:t>
      </w:r>
      <w:r w:rsidR="008D26B8">
        <w:t xml:space="preserve">study group exercise </w:t>
      </w:r>
      <w:r w:rsidR="005534DF">
        <w:t>on</w:t>
      </w:r>
      <w:r w:rsidR="00253AF6">
        <w:t>,</w:t>
      </w:r>
      <w:r w:rsidR="008D26B8">
        <w:t xml:space="preserve"> Streamlined</w:t>
      </w:r>
      <w:r w:rsidR="00C71858" w:rsidRPr="009357D0">
        <w:t xml:space="preserve"> bundling</w:t>
      </w:r>
      <w:r w:rsidR="008D26B8">
        <w:t xml:space="preserve"> rules</w:t>
      </w:r>
    </w:p>
    <w:p w14:paraId="74079275" w14:textId="618A8A2A" w:rsidR="00A36367" w:rsidRDefault="00A36367" w:rsidP="00D20D32">
      <w:r>
        <w:rPr>
          <w:sz w:val="26"/>
          <w:szCs w:val="26"/>
        </w:rPr>
        <w:t>T</w:t>
      </w:r>
      <w:r w:rsidRPr="00C40A11">
        <w:rPr>
          <w:sz w:val="26"/>
          <w:szCs w:val="26"/>
        </w:rPr>
        <w:t xml:space="preserve">he Streamlined Sales Tax </w:t>
      </w:r>
      <w:r>
        <w:rPr>
          <w:sz w:val="26"/>
          <w:szCs w:val="26"/>
        </w:rPr>
        <w:t>Governing Board, Inc.</w:t>
      </w:r>
      <w:r w:rsidRPr="00C40A11">
        <w:rPr>
          <w:sz w:val="26"/>
          <w:szCs w:val="26"/>
        </w:rPr>
        <w:t xml:space="preserve"> (Streamlined) has developed a comprehensive </w:t>
      </w:r>
      <w:r>
        <w:rPr>
          <w:sz w:val="26"/>
          <w:szCs w:val="26"/>
        </w:rPr>
        <w:t xml:space="preserve">set of rules </w:t>
      </w:r>
      <w:r w:rsidRPr="00C40A11">
        <w:rPr>
          <w:sz w:val="26"/>
          <w:szCs w:val="26"/>
        </w:rPr>
        <w:t xml:space="preserve">for </w:t>
      </w:r>
      <w:r>
        <w:rPr>
          <w:sz w:val="26"/>
          <w:szCs w:val="26"/>
        </w:rPr>
        <w:t>defining a bundled transaction, how products can be unbundled, and transactions excluded from bundling</w:t>
      </w:r>
      <w:r w:rsidRPr="00C40A11">
        <w:rPr>
          <w:sz w:val="26"/>
          <w:szCs w:val="26"/>
        </w:rPr>
        <w:t>.</w:t>
      </w:r>
      <w:r>
        <w:rPr>
          <w:rStyle w:val="FootnoteReference"/>
          <w:sz w:val="26"/>
          <w:szCs w:val="26"/>
        </w:rPr>
        <w:footnoteReference w:id="6"/>
      </w:r>
    </w:p>
    <w:p w14:paraId="0653E076" w14:textId="3A413E80" w:rsidR="00D20D32" w:rsidRPr="00802168" w:rsidRDefault="00275D1D" w:rsidP="00D20D32">
      <w:pPr>
        <w:rPr>
          <w:sz w:val="26"/>
          <w:szCs w:val="26"/>
        </w:rPr>
      </w:pPr>
      <w:r w:rsidRPr="00802168">
        <w:rPr>
          <w:sz w:val="26"/>
          <w:szCs w:val="26"/>
        </w:rPr>
        <w:t>T</w:t>
      </w:r>
      <w:r w:rsidR="005534DF" w:rsidRPr="00802168">
        <w:rPr>
          <w:sz w:val="26"/>
          <w:szCs w:val="26"/>
        </w:rPr>
        <w:t xml:space="preserve">he Digital Products Work Group formed a study group to assess the </w:t>
      </w:r>
      <w:r w:rsidRPr="00802168">
        <w:rPr>
          <w:sz w:val="26"/>
          <w:szCs w:val="26"/>
        </w:rPr>
        <w:t xml:space="preserve">application of </w:t>
      </w:r>
      <w:r w:rsidR="0072195D" w:rsidRPr="00802168">
        <w:rPr>
          <w:sz w:val="26"/>
          <w:szCs w:val="26"/>
        </w:rPr>
        <w:t xml:space="preserve">the </w:t>
      </w:r>
      <w:r w:rsidR="005534DF" w:rsidRPr="00802168">
        <w:rPr>
          <w:sz w:val="26"/>
          <w:szCs w:val="26"/>
        </w:rPr>
        <w:t xml:space="preserve">Streamlined bundling rules. </w:t>
      </w:r>
      <w:r w:rsidR="005E0077" w:rsidRPr="00802168">
        <w:rPr>
          <w:sz w:val="26"/>
          <w:szCs w:val="26"/>
        </w:rPr>
        <w:t>T</w:t>
      </w:r>
      <w:r w:rsidR="005534DF" w:rsidRPr="00802168">
        <w:rPr>
          <w:sz w:val="26"/>
          <w:szCs w:val="26"/>
        </w:rPr>
        <w:t xml:space="preserve">he study group applied </w:t>
      </w:r>
      <w:r w:rsidR="005E0077" w:rsidRPr="00802168">
        <w:rPr>
          <w:sz w:val="26"/>
          <w:szCs w:val="26"/>
        </w:rPr>
        <w:t>those rules</w:t>
      </w:r>
      <w:r w:rsidR="005534DF" w:rsidRPr="00802168">
        <w:rPr>
          <w:sz w:val="26"/>
          <w:szCs w:val="26"/>
        </w:rPr>
        <w:t xml:space="preserve"> to six examples involving digital products. The study group determined the Streamlined rules worked well but identified various problem areas and offered recommendations for clarification and improvement. The full report from the exercise can be found </w:t>
      </w:r>
      <w:hyperlink r:id="rId9" w:history="1">
        <w:r w:rsidR="005534DF" w:rsidRPr="00802168">
          <w:rPr>
            <w:rStyle w:val="Hyperlink"/>
            <w:sz w:val="26"/>
            <w:szCs w:val="26"/>
          </w:rPr>
          <w:t>here</w:t>
        </w:r>
      </w:hyperlink>
      <w:r w:rsidR="00D4082E" w:rsidRPr="00802168">
        <w:rPr>
          <w:sz w:val="26"/>
          <w:szCs w:val="26"/>
        </w:rPr>
        <w:t xml:space="preserve">. </w:t>
      </w:r>
      <w:r w:rsidR="005534DF" w:rsidRPr="00802168">
        <w:rPr>
          <w:sz w:val="26"/>
          <w:szCs w:val="26"/>
        </w:rPr>
        <w:t xml:space="preserve">In addition, MTC staff researched </w:t>
      </w:r>
      <w:r w:rsidR="00120ACA" w:rsidRPr="00802168">
        <w:rPr>
          <w:sz w:val="26"/>
          <w:szCs w:val="26"/>
        </w:rPr>
        <w:t xml:space="preserve">and summarized </w:t>
      </w:r>
      <w:r w:rsidR="005534DF" w:rsidRPr="00802168">
        <w:rPr>
          <w:sz w:val="26"/>
          <w:szCs w:val="26"/>
        </w:rPr>
        <w:t xml:space="preserve">the Streamlined bundling rules. The results of this research, along with </w:t>
      </w:r>
      <w:r w:rsidR="009442EC" w:rsidRPr="00802168">
        <w:rPr>
          <w:sz w:val="26"/>
          <w:szCs w:val="26"/>
        </w:rPr>
        <w:t xml:space="preserve">the study group’s </w:t>
      </w:r>
      <w:r w:rsidR="005534DF" w:rsidRPr="00802168">
        <w:rPr>
          <w:sz w:val="26"/>
          <w:szCs w:val="26"/>
        </w:rPr>
        <w:t xml:space="preserve">recommendations, are provided </w:t>
      </w:r>
      <w:r w:rsidR="00D4082E" w:rsidRPr="00802168">
        <w:rPr>
          <w:sz w:val="26"/>
          <w:szCs w:val="26"/>
        </w:rPr>
        <w:t>below.</w:t>
      </w:r>
    </w:p>
    <w:p w14:paraId="4B3E3A6D" w14:textId="45FACC74" w:rsidR="00B4236C" w:rsidRDefault="00317E10" w:rsidP="007B7491">
      <w:pPr>
        <w:pStyle w:val="Heading2"/>
      </w:pPr>
      <w:r>
        <w:t>A</w:t>
      </w:r>
      <w:r w:rsidR="00DD0DF4">
        <w:t xml:space="preserve">. </w:t>
      </w:r>
      <w:r w:rsidR="00C71858" w:rsidRPr="00F13587">
        <w:t xml:space="preserve">Streamlined </w:t>
      </w:r>
      <w:bookmarkStart w:id="1" w:name="_Hlk174080956"/>
      <w:r w:rsidR="008D26B8">
        <w:t>Basics</w:t>
      </w:r>
      <w:r w:rsidR="006B653D">
        <w:t xml:space="preserve"> and Study Group Findings</w:t>
      </w:r>
    </w:p>
    <w:p w14:paraId="4B3E3A6F" w14:textId="58836CCC" w:rsidR="007B7491" w:rsidRPr="007E4C66" w:rsidRDefault="00317E10" w:rsidP="007B7491">
      <w:pPr>
        <w:rPr>
          <w:sz w:val="26"/>
          <w:szCs w:val="26"/>
        </w:rPr>
      </w:pPr>
      <w:r w:rsidRPr="007E4C66">
        <w:rPr>
          <w:sz w:val="26"/>
          <w:szCs w:val="26"/>
        </w:rPr>
        <w:t xml:space="preserve">As mentioned above, the Streamlined Sales Tax </w:t>
      </w:r>
      <w:r w:rsidR="00A2704D" w:rsidRPr="007E4C66">
        <w:rPr>
          <w:sz w:val="26"/>
          <w:szCs w:val="26"/>
        </w:rPr>
        <w:t>Governing Board, Inc.</w:t>
      </w:r>
      <w:r w:rsidRPr="007E4C66">
        <w:rPr>
          <w:sz w:val="26"/>
          <w:szCs w:val="26"/>
        </w:rPr>
        <w:t xml:space="preserve"> has developed a comprehensive set of rules governing </w:t>
      </w:r>
      <w:r w:rsidR="0082414E" w:rsidRPr="007E4C66">
        <w:rPr>
          <w:sz w:val="26"/>
          <w:szCs w:val="26"/>
        </w:rPr>
        <w:t>“bundled transactions</w:t>
      </w:r>
      <w:r w:rsidR="00C86685" w:rsidRPr="007E4C66">
        <w:rPr>
          <w:sz w:val="26"/>
          <w:szCs w:val="26"/>
        </w:rPr>
        <w:t>.</w:t>
      </w:r>
      <w:r w:rsidR="0082414E" w:rsidRPr="007E4C66">
        <w:rPr>
          <w:sz w:val="26"/>
          <w:szCs w:val="26"/>
        </w:rPr>
        <w:t>”</w:t>
      </w:r>
      <w:r w:rsidRPr="007E4C66">
        <w:rPr>
          <w:rStyle w:val="FootnoteReference"/>
          <w:sz w:val="26"/>
          <w:szCs w:val="26"/>
        </w:rPr>
        <w:footnoteReference w:id="7"/>
      </w:r>
    </w:p>
    <w:p w14:paraId="4B3E3A70" w14:textId="6BE19A63" w:rsidR="007B7491" w:rsidRPr="007E4C66" w:rsidRDefault="00317E10" w:rsidP="007B7491">
      <w:pPr>
        <w:rPr>
          <w:sz w:val="26"/>
          <w:szCs w:val="26"/>
        </w:rPr>
      </w:pPr>
      <w:r w:rsidRPr="007E4C66">
        <w:rPr>
          <w:sz w:val="26"/>
          <w:szCs w:val="26"/>
        </w:rPr>
        <w:t xml:space="preserve">Under the Streamlined Agreement, </w:t>
      </w:r>
      <w:r w:rsidR="00635BF2" w:rsidRPr="007E4C66">
        <w:rPr>
          <w:sz w:val="26"/>
          <w:szCs w:val="26"/>
        </w:rPr>
        <w:t>a</w:t>
      </w:r>
      <w:r w:rsidRPr="007E4C66">
        <w:rPr>
          <w:sz w:val="26"/>
          <w:szCs w:val="26"/>
        </w:rPr>
        <w:t xml:space="preserve"> </w:t>
      </w:r>
      <w:r w:rsidR="004A74B3" w:rsidRPr="007E4C66">
        <w:rPr>
          <w:sz w:val="26"/>
          <w:szCs w:val="26"/>
        </w:rPr>
        <w:t>“</w:t>
      </w:r>
      <w:r w:rsidRPr="007E4C66">
        <w:rPr>
          <w:sz w:val="26"/>
          <w:szCs w:val="26"/>
        </w:rPr>
        <w:t>bundle</w:t>
      </w:r>
      <w:r w:rsidR="00072A76" w:rsidRPr="007E4C66">
        <w:rPr>
          <w:sz w:val="26"/>
          <w:szCs w:val="26"/>
        </w:rPr>
        <w:t>d transact</w:t>
      </w:r>
      <w:r w:rsidR="00B314C5" w:rsidRPr="007E4C66">
        <w:rPr>
          <w:sz w:val="26"/>
          <w:szCs w:val="26"/>
        </w:rPr>
        <w:t>ion</w:t>
      </w:r>
      <w:r w:rsidR="004A74B3" w:rsidRPr="007E4C66">
        <w:rPr>
          <w:sz w:val="26"/>
          <w:szCs w:val="26"/>
        </w:rPr>
        <w:t>”</w:t>
      </w:r>
      <w:r w:rsidR="000D321D" w:rsidRPr="007E4C66">
        <w:rPr>
          <w:sz w:val="26"/>
          <w:szCs w:val="26"/>
        </w:rPr>
        <w:t xml:space="preserve"> has</w:t>
      </w:r>
      <w:r w:rsidR="00B314C5" w:rsidRPr="007E4C66">
        <w:rPr>
          <w:sz w:val="26"/>
          <w:szCs w:val="26"/>
        </w:rPr>
        <w:t xml:space="preserve"> three elements: (1)</w:t>
      </w:r>
      <w:r w:rsidRPr="007E4C66">
        <w:rPr>
          <w:sz w:val="26"/>
          <w:szCs w:val="26"/>
        </w:rPr>
        <w:t xml:space="preserve"> two or more distinct and identifiable products</w:t>
      </w:r>
      <w:r w:rsidR="00B314C5" w:rsidRPr="007E4C66">
        <w:rPr>
          <w:sz w:val="26"/>
          <w:szCs w:val="26"/>
        </w:rPr>
        <w:t>, (2)</w:t>
      </w:r>
      <w:r w:rsidRPr="007E4C66">
        <w:rPr>
          <w:sz w:val="26"/>
          <w:szCs w:val="26"/>
        </w:rPr>
        <w:t xml:space="preserve"> sold for one non</w:t>
      </w:r>
      <w:r w:rsidR="000D3D05" w:rsidRPr="007E4C66">
        <w:rPr>
          <w:sz w:val="26"/>
          <w:szCs w:val="26"/>
        </w:rPr>
        <w:t>-</w:t>
      </w:r>
      <w:r w:rsidRPr="007E4C66">
        <w:rPr>
          <w:sz w:val="26"/>
          <w:szCs w:val="26"/>
        </w:rPr>
        <w:t>itemized price</w:t>
      </w:r>
      <w:r w:rsidR="00B314C5" w:rsidRPr="007E4C66">
        <w:rPr>
          <w:sz w:val="26"/>
          <w:szCs w:val="26"/>
        </w:rPr>
        <w:t>, and (3)</w:t>
      </w:r>
      <w:r w:rsidR="00B6706D" w:rsidRPr="007E4C66">
        <w:rPr>
          <w:sz w:val="26"/>
          <w:szCs w:val="26"/>
        </w:rPr>
        <w:t xml:space="preserve"> </w:t>
      </w:r>
      <w:r w:rsidR="00BE5132" w:rsidRPr="007E4C66">
        <w:rPr>
          <w:sz w:val="26"/>
          <w:szCs w:val="26"/>
        </w:rPr>
        <w:t xml:space="preserve">a sales </w:t>
      </w:r>
      <w:r w:rsidR="00BE5132" w:rsidRPr="007E4C66">
        <w:rPr>
          <w:sz w:val="26"/>
          <w:szCs w:val="26"/>
        </w:rPr>
        <w:lastRenderedPageBreak/>
        <w:t>price that is not variable or negotiable</w:t>
      </w:r>
      <w:r w:rsidR="00BC59B7" w:rsidRPr="007E4C66">
        <w:rPr>
          <w:sz w:val="26"/>
          <w:szCs w:val="26"/>
        </w:rPr>
        <w:t>, based on selections by the purchaser</w:t>
      </w:r>
      <w:r w:rsidRPr="007E4C66">
        <w:rPr>
          <w:sz w:val="26"/>
          <w:szCs w:val="26"/>
        </w:rPr>
        <w:t>.</w:t>
      </w:r>
      <w:r w:rsidRPr="007E4C66">
        <w:rPr>
          <w:rStyle w:val="FootnoteReference"/>
          <w:sz w:val="26"/>
          <w:szCs w:val="26"/>
        </w:rPr>
        <w:footnoteReference w:id="8"/>
      </w:r>
      <w:r w:rsidR="006B653D" w:rsidRPr="007E4C66">
        <w:rPr>
          <w:sz w:val="26"/>
          <w:szCs w:val="26"/>
        </w:rPr>
        <w:t xml:space="preserve"> Each of th</w:t>
      </w:r>
      <w:r w:rsidR="00253AF6" w:rsidRPr="007E4C66">
        <w:rPr>
          <w:sz w:val="26"/>
          <w:szCs w:val="26"/>
        </w:rPr>
        <w:t>e</w:t>
      </w:r>
      <w:r w:rsidR="006B653D" w:rsidRPr="007E4C66">
        <w:rPr>
          <w:sz w:val="26"/>
          <w:szCs w:val="26"/>
        </w:rPr>
        <w:t>se is discussed below along with the study group</w:t>
      </w:r>
      <w:r w:rsidR="00253AF6" w:rsidRPr="007E4C66">
        <w:rPr>
          <w:sz w:val="26"/>
          <w:szCs w:val="26"/>
        </w:rPr>
        <w:t>’s</w:t>
      </w:r>
      <w:r w:rsidR="006B653D" w:rsidRPr="007E4C66">
        <w:rPr>
          <w:sz w:val="26"/>
          <w:szCs w:val="26"/>
        </w:rPr>
        <w:t xml:space="preserve"> </w:t>
      </w:r>
      <w:r w:rsidR="00253AF6" w:rsidRPr="007E4C66">
        <w:rPr>
          <w:sz w:val="26"/>
          <w:szCs w:val="26"/>
        </w:rPr>
        <w:t>recommendations</w:t>
      </w:r>
      <w:r w:rsidR="006B653D" w:rsidRPr="007E4C66">
        <w:rPr>
          <w:sz w:val="26"/>
          <w:szCs w:val="26"/>
        </w:rPr>
        <w:t>.</w:t>
      </w:r>
    </w:p>
    <w:p w14:paraId="4B3E3A71" w14:textId="2FC6A8AF" w:rsidR="00834DCE" w:rsidRPr="007E4C66" w:rsidRDefault="00317E10" w:rsidP="007B7491">
      <w:pPr>
        <w:rPr>
          <w:i/>
          <w:iCs/>
          <w:sz w:val="26"/>
          <w:szCs w:val="26"/>
        </w:rPr>
      </w:pPr>
      <w:r w:rsidRPr="007E4C66">
        <w:rPr>
          <w:i/>
          <w:iCs/>
          <w:sz w:val="26"/>
          <w:szCs w:val="26"/>
        </w:rPr>
        <w:t xml:space="preserve">Distinct and </w:t>
      </w:r>
      <w:r w:rsidR="00AE4A6D" w:rsidRPr="007E4C66">
        <w:rPr>
          <w:i/>
          <w:iCs/>
          <w:sz w:val="26"/>
          <w:szCs w:val="26"/>
        </w:rPr>
        <w:t>identifiable</w:t>
      </w:r>
      <w:r w:rsidR="006B653D" w:rsidRPr="007E4C66">
        <w:rPr>
          <w:i/>
          <w:iCs/>
          <w:sz w:val="26"/>
          <w:szCs w:val="26"/>
        </w:rPr>
        <w:t xml:space="preserve"> products</w:t>
      </w:r>
    </w:p>
    <w:p w14:paraId="4B3E3A73" w14:textId="19BF6957" w:rsidR="007B7491" w:rsidRPr="007E4C66" w:rsidRDefault="00317E10" w:rsidP="00251AD5">
      <w:pPr>
        <w:rPr>
          <w:sz w:val="26"/>
          <w:szCs w:val="26"/>
        </w:rPr>
      </w:pPr>
      <w:r w:rsidRPr="007E4C66">
        <w:rPr>
          <w:sz w:val="26"/>
          <w:szCs w:val="26"/>
        </w:rPr>
        <w:t xml:space="preserve">Under the Streamlined agreement there must be two or more “distinct and identifiable” products. </w:t>
      </w:r>
      <w:r w:rsidR="007A4314" w:rsidRPr="007E4C66">
        <w:rPr>
          <w:sz w:val="26"/>
          <w:szCs w:val="26"/>
        </w:rPr>
        <w:t>“</w:t>
      </w:r>
      <w:r w:rsidRPr="007E4C66">
        <w:rPr>
          <w:sz w:val="26"/>
          <w:szCs w:val="26"/>
        </w:rPr>
        <w:t>Product</w:t>
      </w:r>
      <w:r w:rsidR="00B4681D" w:rsidRPr="007E4C66">
        <w:rPr>
          <w:sz w:val="26"/>
          <w:szCs w:val="26"/>
        </w:rPr>
        <w:t>,</w:t>
      </w:r>
      <w:r w:rsidR="007A4314" w:rsidRPr="007E4C66">
        <w:rPr>
          <w:sz w:val="26"/>
          <w:szCs w:val="26"/>
        </w:rPr>
        <w:t>”</w:t>
      </w:r>
      <w:r w:rsidRPr="007E4C66">
        <w:rPr>
          <w:sz w:val="26"/>
          <w:szCs w:val="26"/>
        </w:rPr>
        <w:t xml:space="preserve"> as </w:t>
      </w:r>
      <w:r w:rsidR="00B4681D" w:rsidRPr="007E4C66">
        <w:rPr>
          <w:sz w:val="26"/>
          <w:szCs w:val="26"/>
        </w:rPr>
        <w:t>defined in the Streamlined Agreement,</w:t>
      </w:r>
      <w:r w:rsidRPr="007E4C66">
        <w:rPr>
          <w:sz w:val="26"/>
          <w:szCs w:val="26"/>
        </w:rPr>
        <w:t xml:space="preserve"> is broad</w:t>
      </w:r>
      <w:r w:rsidR="00B4681D" w:rsidRPr="007E4C66">
        <w:rPr>
          <w:sz w:val="26"/>
          <w:szCs w:val="26"/>
        </w:rPr>
        <w:t xml:space="preserve"> and </w:t>
      </w:r>
      <w:r w:rsidRPr="007E4C66">
        <w:rPr>
          <w:sz w:val="26"/>
          <w:szCs w:val="26"/>
        </w:rPr>
        <w:t>captur</w:t>
      </w:r>
      <w:r w:rsidR="00B4681D" w:rsidRPr="007E4C66">
        <w:rPr>
          <w:sz w:val="26"/>
          <w:szCs w:val="26"/>
        </w:rPr>
        <w:t>es</w:t>
      </w:r>
      <w:r w:rsidRPr="007E4C66">
        <w:rPr>
          <w:sz w:val="26"/>
          <w:szCs w:val="26"/>
        </w:rPr>
        <w:t xml:space="preserve"> goods, services, and </w:t>
      </w:r>
      <w:r w:rsidR="007A4314" w:rsidRPr="007E4C66">
        <w:rPr>
          <w:sz w:val="26"/>
          <w:szCs w:val="26"/>
        </w:rPr>
        <w:t>other things that can be sold.</w:t>
      </w:r>
    </w:p>
    <w:p w14:paraId="4B3E3A74" w14:textId="36FB2211" w:rsidR="007B7491" w:rsidRPr="007E4C66" w:rsidRDefault="00311E90" w:rsidP="007B7491">
      <w:pPr>
        <w:rPr>
          <w:sz w:val="26"/>
          <w:szCs w:val="26"/>
        </w:rPr>
      </w:pPr>
      <w:r w:rsidRPr="007E4C66">
        <w:rPr>
          <w:sz w:val="26"/>
          <w:szCs w:val="26"/>
        </w:rPr>
        <w:t xml:space="preserve">The term </w:t>
      </w:r>
      <w:r w:rsidR="00317E10" w:rsidRPr="007E4C66">
        <w:rPr>
          <w:sz w:val="26"/>
          <w:szCs w:val="26"/>
        </w:rPr>
        <w:t>“</w:t>
      </w:r>
      <w:r w:rsidRPr="007E4C66">
        <w:rPr>
          <w:sz w:val="26"/>
          <w:szCs w:val="26"/>
        </w:rPr>
        <w:t>d</w:t>
      </w:r>
      <w:r w:rsidR="00317E10" w:rsidRPr="007E4C66">
        <w:rPr>
          <w:sz w:val="26"/>
          <w:szCs w:val="26"/>
        </w:rPr>
        <w:t>istinct and identifiable” is defined</w:t>
      </w:r>
      <w:r w:rsidR="00B4681D" w:rsidRPr="007E4C66">
        <w:rPr>
          <w:sz w:val="26"/>
          <w:szCs w:val="26"/>
        </w:rPr>
        <w:t xml:space="preserve"> </w:t>
      </w:r>
      <w:r w:rsidR="00317E10" w:rsidRPr="007E4C66">
        <w:rPr>
          <w:sz w:val="26"/>
          <w:szCs w:val="26"/>
        </w:rPr>
        <w:t>only in the negative. The definition excludes packaging materials, bags, bottles, and other similar items. The definition also excludes things “provided free of charge with the required purchase of another product” as well as items included in the purchase price.</w:t>
      </w:r>
      <w:r w:rsidR="00317E10" w:rsidRPr="007E4C66">
        <w:rPr>
          <w:rStyle w:val="FootnoteReference"/>
          <w:sz w:val="26"/>
          <w:szCs w:val="26"/>
        </w:rPr>
        <w:footnoteReference w:id="9"/>
      </w:r>
    </w:p>
    <w:p w14:paraId="3268650D" w14:textId="230DAB05" w:rsidR="00765441" w:rsidRPr="007E4C66" w:rsidRDefault="00D4082E" w:rsidP="007B7491">
      <w:pPr>
        <w:rPr>
          <w:sz w:val="26"/>
          <w:szCs w:val="26"/>
        </w:rPr>
      </w:pPr>
      <w:r w:rsidRPr="007E4C66">
        <w:rPr>
          <w:sz w:val="26"/>
          <w:szCs w:val="26"/>
        </w:rPr>
        <w:t>During</w:t>
      </w:r>
      <w:r w:rsidR="0056186F" w:rsidRPr="007E4C66">
        <w:rPr>
          <w:sz w:val="26"/>
          <w:szCs w:val="26"/>
        </w:rPr>
        <w:t xml:space="preserve"> one MTC work group meeting a participant stated it </w:t>
      </w:r>
      <w:r w:rsidR="00B4681D" w:rsidRPr="007E4C66">
        <w:rPr>
          <w:sz w:val="26"/>
          <w:szCs w:val="26"/>
        </w:rPr>
        <w:t>thus</w:t>
      </w:r>
      <w:r w:rsidR="0056186F" w:rsidRPr="007E4C66">
        <w:rPr>
          <w:sz w:val="26"/>
          <w:szCs w:val="26"/>
        </w:rPr>
        <w:t xml:space="preserve">: “if you can’t unbundle it, it isn’t a bundle.” </w:t>
      </w:r>
      <w:r w:rsidR="00AA7A19" w:rsidRPr="007E4C66">
        <w:rPr>
          <w:sz w:val="26"/>
          <w:szCs w:val="26"/>
        </w:rPr>
        <w:t>In other words,</w:t>
      </w:r>
      <w:r w:rsidR="00B4681D" w:rsidRPr="007E4C66">
        <w:rPr>
          <w:sz w:val="26"/>
          <w:szCs w:val="26"/>
        </w:rPr>
        <w:t xml:space="preserve"> you need distinct and identifiable</w:t>
      </w:r>
      <w:r w:rsidR="009442EC" w:rsidRPr="007E4C66">
        <w:rPr>
          <w:sz w:val="26"/>
          <w:szCs w:val="26"/>
        </w:rPr>
        <w:t xml:space="preserve"> elements</w:t>
      </w:r>
      <w:r w:rsidR="00B4681D" w:rsidRPr="007E4C66">
        <w:rPr>
          <w:sz w:val="26"/>
          <w:szCs w:val="26"/>
        </w:rPr>
        <w:t xml:space="preserve">, i.e., </w:t>
      </w:r>
      <w:proofErr w:type="spellStart"/>
      <w:r w:rsidR="00B4681D" w:rsidRPr="007E4C66">
        <w:rPr>
          <w:sz w:val="26"/>
          <w:szCs w:val="26"/>
        </w:rPr>
        <w:t>unbundlable</w:t>
      </w:r>
      <w:proofErr w:type="spellEnd"/>
      <w:r w:rsidR="00B4681D" w:rsidRPr="007E4C66">
        <w:rPr>
          <w:sz w:val="26"/>
          <w:szCs w:val="26"/>
        </w:rPr>
        <w:t xml:space="preserve"> elements, to have a bundle</w:t>
      </w:r>
      <w:r w:rsidR="0056186F" w:rsidRPr="007E4C66">
        <w:rPr>
          <w:sz w:val="26"/>
          <w:szCs w:val="26"/>
        </w:rPr>
        <w:t xml:space="preserve">. </w:t>
      </w:r>
      <w:r w:rsidR="000F2ADD" w:rsidRPr="007E4C66">
        <w:rPr>
          <w:sz w:val="26"/>
          <w:szCs w:val="26"/>
        </w:rPr>
        <w:t xml:space="preserve">However, this </w:t>
      </w:r>
      <w:r w:rsidR="007B7491" w:rsidRPr="007E4C66">
        <w:rPr>
          <w:sz w:val="26"/>
          <w:szCs w:val="26"/>
        </w:rPr>
        <w:t>does not go both ways</w:t>
      </w:r>
      <w:r w:rsidR="00B4681D" w:rsidRPr="007E4C66">
        <w:rPr>
          <w:sz w:val="26"/>
          <w:szCs w:val="26"/>
        </w:rPr>
        <w:t>. Ba</w:t>
      </w:r>
      <w:r w:rsidR="007B7491" w:rsidRPr="007E4C66">
        <w:rPr>
          <w:sz w:val="26"/>
          <w:szCs w:val="26"/>
        </w:rPr>
        <w:t>gs and packaging materials</w:t>
      </w:r>
      <w:r w:rsidR="00862482" w:rsidRPr="007E4C66">
        <w:rPr>
          <w:sz w:val="26"/>
          <w:szCs w:val="26"/>
        </w:rPr>
        <w:t xml:space="preserve"> can </w:t>
      </w:r>
      <w:r w:rsidR="007B7491" w:rsidRPr="007E4C66">
        <w:rPr>
          <w:sz w:val="26"/>
          <w:szCs w:val="26"/>
        </w:rPr>
        <w:t>be unbundled</w:t>
      </w:r>
      <w:r w:rsidR="00B4681D" w:rsidRPr="007E4C66">
        <w:rPr>
          <w:sz w:val="26"/>
          <w:szCs w:val="26"/>
        </w:rPr>
        <w:t>,</w:t>
      </w:r>
      <w:r w:rsidR="00D83F2E" w:rsidRPr="007E4C66">
        <w:rPr>
          <w:sz w:val="26"/>
          <w:szCs w:val="26"/>
        </w:rPr>
        <w:t xml:space="preserve"> </w:t>
      </w:r>
      <w:r w:rsidR="007B7491" w:rsidRPr="007E4C66">
        <w:rPr>
          <w:sz w:val="26"/>
          <w:szCs w:val="26"/>
        </w:rPr>
        <w:t xml:space="preserve">but are </w:t>
      </w:r>
      <w:r w:rsidR="00D83F2E" w:rsidRPr="007E4C66">
        <w:rPr>
          <w:sz w:val="26"/>
          <w:szCs w:val="26"/>
        </w:rPr>
        <w:t>deemed not to be</w:t>
      </w:r>
      <w:r w:rsidR="003972C7" w:rsidRPr="007E4C66">
        <w:rPr>
          <w:sz w:val="26"/>
          <w:szCs w:val="26"/>
        </w:rPr>
        <w:t xml:space="preserve"> distinct and identifiable</w:t>
      </w:r>
      <w:r w:rsidR="00D83F2E" w:rsidRPr="007E4C66">
        <w:rPr>
          <w:sz w:val="26"/>
          <w:szCs w:val="26"/>
        </w:rPr>
        <w:t xml:space="preserve"> items</w:t>
      </w:r>
      <w:r w:rsidR="007B7491" w:rsidRPr="007E4C66">
        <w:rPr>
          <w:sz w:val="26"/>
          <w:szCs w:val="26"/>
        </w:rPr>
        <w:t>.</w:t>
      </w:r>
    </w:p>
    <w:p w14:paraId="1AF16BC0" w14:textId="2C466140" w:rsidR="00AF7C87" w:rsidRPr="007E4C66" w:rsidRDefault="005534DF" w:rsidP="007B7491">
      <w:pPr>
        <w:rPr>
          <w:sz w:val="26"/>
          <w:szCs w:val="26"/>
        </w:rPr>
      </w:pPr>
      <w:r w:rsidRPr="007E4C66">
        <w:rPr>
          <w:sz w:val="26"/>
          <w:szCs w:val="26"/>
        </w:rPr>
        <w:t>A real-world example:</w:t>
      </w:r>
      <w:r w:rsidR="000B2A52" w:rsidRPr="007E4C66">
        <w:rPr>
          <w:sz w:val="26"/>
          <w:szCs w:val="26"/>
        </w:rPr>
        <w:t xml:space="preserve"> in </w:t>
      </w:r>
      <w:r w:rsidR="00E9773B" w:rsidRPr="007E4C66">
        <w:rPr>
          <w:sz w:val="26"/>
          <w:szCs w:val="26"/>
        </w:rPr>
        <w:t>the case</w:t>
      </w:r>
      <w:r w:rsidR="000B2A52" w:rsidRPr="007E4C66">
        <w:rPr>
          <w:sz w:val="26"/>
          <w:szCs w:val="26"/>
        </w:rPr>
        <w:t xml:space="preserve"> of an online streaming product that could </w:t>
      </w:r>
      <w:r w:rsidR="009442EC" w:rsidRPr="007E4C66">
        <w:rPr>
          <w:sz w:val="26"/>
          <w:szCs w:val="26"/>
        </w:rPr>
        <w:t xml:space="preserve">also </w:t>
      </w:r>
      <w:r w:rsidR="000B2A52" w:rsidRPr="007E4C66">
        <w:rPr>
          <w:sz w:val="26"/>
          <w:szCs w:val="26"/>
        </w:rPr>
        <w:t xml:space="preserve">be downloaded, the </w:t>
      </w:r>
      <w:r w:rsidR="009442EC" w:rsidRPr="007E4C66">
        <w:rPr>
          <w:sz w:val="26"/>
          <w:szCs w:val="26"/>
        </w:rPr>
        <w:t xml:space="preserve">Utah </w:t>
      </w:r>
      <w:r w:rsidR="00E9773B" w:rsidRPr="007E4C66">
        <w:rPr>
          <w:sz w:val="26"/>
          <w:szCs w:val="26"/>
        </w:rPr>
        <w:t xml:space="preserve">State </w:t>
      </w:r>
      <w:r w:rsidR="000B2A52" w:rsidRPr="007E4C66">
        <w:rPr>
          <w:sz w:val="26"/>
          <w:szCs w:val="26"/>
        </w:rPr>
        <w:t xml:space="preserve">Tax Commission </w:t>
      </w:r>
      <w:r w:rsidR="009442EC" w:rsidRPr="007E4C66">
        <w:rPr>
          <w:sz w:val="26"/>
          <w:szCs w:val="26"/>
        </w:rPr>
        <w:t xml:space="preserve">determined </w:t>
      </w:r>
      <w:r w:rsidR="000B2A52" w:rsidRPr="007E4C66">
        <w:rPr>
          <w:sz w:val="26"/>
          <w:szCs w:val="26"/>
        </w:rPr>
        <w:t xml:space="preserve">the </w:t>
      </w:r>
      <w:r w:rsidR="00AF7C87" w:rsidRPr="007E4C66">
        <w:rPr>
          <w:sz w:val="26"/>
          <w:szCs w:val="26"/>
        </w:rPr>
        <w:t xml:space="preserve">online streaming </w:t>
      </w:r>
      <w:r w:rsidR="000B2A52" w:rsidRPr="007E4C66">
        <w:rPr>
          <w:sz w:val="26"/>
          <w:szCs w:val="26"/>
        </w:rPr>
        <w:t>option</w:t>
      </w:r>
      <w:r w:rsidR="00AF7C87" w:rsidRPr="007E4C66">
        <w:rPr>
          <w:sz w:val="26"/>
          <w:szCs w:val="26"/>
        </w:rPr>
        <w:t xml:space="preserve"> and </w:t>
      </w:r>
      <w:r w:rsidR="000B2A52" w:rsidRPr="007E4C66">
        <w:rPr>
          <w:sz w:val="26"/>
          <w:szCs w:val="26"/>
        </w:rPr>
        <w:t>the</w:t>
      </w:r>
      <w:r w:rsidR="00AF7C87" w:rsidRPr="007E4C66">
        <w:rPr>
          <w:sz w:val="26"/>
          <w:szCs w:val="26"/>
        </w:rPr>
        <w:t xml:space="preserve"> content download option were distinct and identifiable products.</w:t>
      </w:r>
      <w:r w:rsidR="00AF7C87" w:rsidRPr="007E4C66">
        <w:rPr>
          <w:rStyle w:val="FootnoteReference"/>
          <w:sz w:val="26"/>
          <w:szCs w:val="26"/>
        </w:rPr>
        <w:footnoteReference w:id="10"/>
      </w:r>
    </w:p>
    <w:p w14:paraId="037ACF96" w14:textId="5E276A77" w:rsidR="005534DF" w:rsidRPr="007E4C66" w:rsidRDefault="009442EC" w:rsidP="007B7491">
      <w:pPr>
        <w:rPr>
          <w:b/>
          <w:bCs/>
          <w:sz w:val="26"/>
          <w:szCs w:val="26"/>
        </w:rPr>
      </w:pPr>
      <w:r w:rsidRPr="007E4C66">
        <w:rPr>
          <w:b/>
          <w:bCs/>
          <w:sz w:val="26"/>
          <w:szCs w:val="26"/>
        </w:rPr>
        <w:t>Study group findings</w:t>
      </w:r>
      <w:r w:rsidR="005534DF" w:rsidRPr="007E4C66">
        <w:rPr>
          <w:b/>
          <w:bCs/>
          <w:sz w:val="26"/>
          <w:szCs w:val="26"/>
        </w:rPr>
        <w:t>:</w:t>
      </w:r>
    </w:p>
    <w:p w14:paraId="7F79D97D" w14:textId="6F6DD073" w:rsidR="005534DF" w:rsidRPr="007E4C66" w:rsidRDefault="0058295C" w:rsidP="007B7491">
      <w:pPr>
        <w:rPr>
          <w:sz w:val="26"/>
          <w:szCs w:val="26"/>
        </w:rPr>
      </w:pPr>
      <w:r w:rsidRPr="007E4C66">
        <w:rPr>
          <w:sz w:val="26"/>
          <w:szCs w:val="26"/>
        </w:rPr>
        <w:t>Study group members agreed that identifying distinct and identifiable products is more difficult with digital products than with traditional products. Relatedly, t</w:t>
      </w:r>
      <w:r w:rsidR="005534DF" w:rsidRPr="007E4C66">
        <w:rPr>
          <w:sz w:val="26"/>
          <w:szCs w:val="26"/>
        </w:rPr>
        <w:t>he study gro</w:t>
      </w:r>
      <w:r w:rsidRPr="007E4C66">
        <w:rPr>
          <w:sz w:val="26"/>
          <w:szCs w:val="26"/>
        </w:rPr>
        <w:t xml:space="preserve">up agreed that </w:t>
      </w:r>
      <w:r w:rsidR="009442EC" w:rsidRPr="007E4C66">
        <w:rPr>
          <w:sz w:val="26"/>
          <w:szCs w:val="26"/>
        </w:rPr>
        <w:t>attempts to split</w:t>
      </w:r>
      <w:r w:rsidRPr="007E4C66">
        <w:rPr>
          <w:sz w:val="26"/>
          <w:szCs w:val="26"/>
        </w:rPr>
        <w:t xml:space="preserve"> a product apart into its components</w:t>
      </w:r>
      <w:r w:rsidR="009442EC" w:rsidRPr="007E4C66">
        <w:rPr>
          <w:sz w:val="26"/>
          <w:szCs w:val="26"/>
        </w:rPr>
        <w:t>,</w:t>
      </w:r>
      <w:r w:rsidRPr="007E4C66">
        <w:rPr>
          <w:sz w:val="26"/>
          <w:szCs w:val="26"/>
        </w:rPr>
        <w:t xml:space="preserve"> when it should be treated as a single item</w:t>
      </w:r>
      <w:r w:rsidR="009442EC" w:rsidRPr="007E4C66">
        <w:rPr>
          <w:sz w:val="26"/>
          <w:szCs w:val="26"/>
        </w:rPr>
        <w:t>,</w:t>
      </w:r>
      <w:r w:rsidRPr="007E4C66">
        <w:rPr>
          <w:sz w:val="26"/>
          <w:szCs w:val="26"/>
        </w:rPr>
        <w:t xml:space="preserve"> </w:t>
      </w:r>
      <w:r w:rsidR="009442EC" w:rsidRPr="007E4C66">
        <w:rPr>
          <w:sz w:val="26"/>
          <w:szCs w:val="26"/>
        </w:rPr>
        <w:t>are</w:t>
      </w:r>
      <w:r w:rsidRPr="007E4C66">
        <w:rPr>
          <w:sz w:val="26"/>
          <w:szCs w:val="26"/>
        </w:rPr>
        <w:t xml:space="preserve"> more common with digital products than with traditional products.</w:t>
      </w:r>
      <w:r w:rsidR="005A0995" w:rsidRPr="007E4C66">
        <w:rPr>
          <w:rStyle w:val="FootnoteReference"/>
          <w:sz w:val="26"/>
          <w:szCs w:val="26"/>
        </w:rPr>
        <w:footnoteReference w:id="11"/>
      </w:r>
      <w:r w:rsidRPr="007E4C66">
        <w:rPr>
          <w:sz w:val="26"/>
          <w:szCs w:val="26"/>
        </w:rPr>
        <w:t xml:space="preserve"> The study group recommended mitigating this issue </w:t>
      </w:r>
      <w:r w:rsidR="009442EC" w:rsidRPr="007E4C66">
        <w:rPr>
          <w:sz w:val="26"/>
          <w:szCs w:val="26"/>
        </w:rPr>
        <w:t xml:space="preserve">by </w:t>
      </w:r>
      <w:r w:rsidRPr="007E4C66">
        <w:rPr>
          <w:sz w:val="26"/>
          <w:szCs w:val="26"/>
        </w:rPr>
        <w:t>either defining specific products to include components X, Y, and Z</w:t>
      </w:r>
      <w:r w:rsidR="00B764BA" w:rsidRPr="007E4C66">
        <w:rPr>
          <w:sz w:val="26"/>
          <w:szCs w:val="26"/>
        </w:rPr>
        <w:t>,</w:t>
      </w:r>
      <w:r w:rsidRPr="007E4C66">
        <w:rPr>
          <w:sz w:val="26"/>
          <w:szCs w:val="26"/>
        </w:rPr>
        <w:t xml:space="preserve"> or by introducing a threshold test to determine if the product is a single product. For more on the latter, see the Proposed New Framework </w:t>
      </w:r>
      <w:r w:rsidR="002905C2" w:rsidRPr="007E4C66">
        <w:rPr>
          <w:sz w:val="26"/>
          <w:szCs w:val="26"/>
        </w:rPr>
        <w:t xml:space="preserve">in section 6.C </w:t>
      </w:r>
      <w:r w:rsidRPr="007E4C66">
        <w:rPr>
          <w:sz w:val="26"/>
          <w:szCs w:val="26"/>
        </w:rPr>
        <w:t>below.</w:t>
      </w:r>
    </w:p>
    <w:p w14:paraId="4B3E3A76" w14:textId="5E669F54" w:rsidR="000E66E1" w:rsidRPr="007E4C66" w:rsidRDefault="006B653D" w:rsidP="007B7491">
      <w:pPr>
        <w:rPr>
          <w:i/>
          <w:iCs/>
          <w:sz w:val="26"/>
          <w:szCs w:val="26"/>
        </w:rPr>
      </w:pPr>
      <w:r w:rsidRPr="007E4C66">
        <w:rPr>
          <w:i/>
          <w:iCs/>
          <w:sz w:val="26"/>
          <w:szCs w:val="26"/>
        </w:rPr>
        <w:t xml:space="preserve">Sold for one </w:t>
      </w:r>
      <w:r w:rsidR="00317E10" w:rsidRPr="007E4C66">
        <w:rPr>
          <w:i/>
          <w:iCs/>
          <w:sz w:val="26"/>
          <w:szCs w:val="26"/>
        </w:rPr>
        <w:t>non</w:t>
      </w:r>
      <w:r w:rsidR="003D5C3C" w:rsidRPr="007E4C66">
        <w:rPr>
          <w:i/>
          <w:iCs/>
          <w:sz w:val="26"/>
          <w:szCs w:val="26"/>
        </w:rPr>
        <w:t>-</w:t>
      </w:r>
      <w:r w:rsidR="00317E10" w:rsidRPr="007E4C66">
        <w:rPr>
          <w:i/>
          <w:iCs/>
          <w:sz w:val="26"/>
          <w:szCs w:val="26"/>
        </w:rPr>
        <w:t>itemized price</w:t>
      </w:r>
    </w:p>
    <w:p w14:paraId="4B3E3A77" w14:textId="002FF412" w:rsidR="007B7491" w:rsidRPr="007E4C66" w:rsidRDefault="00317E10" w:rsidP="007B7491">
      <w:pPr>
        <w:rPr>
          <w:sz w:val="26"/>
          <w:szCs w:val="26"/>
        </w:rPr>
      </w:pPr>
      <w:r w:rsidRPr="007E4C66">
        <w:rPr>
          <w:sz w:val="26"/>
          <w:szCs w:val="26"/>
        </w:rPr>
        <w:lastRenderedPageBreak/>
        <w:t>“One non</w:t>
      </w:r>
      <w:r w:rsidR="003D5C3C" w:rsidRPr="007E4C66">
        <w:rPr>
          <w:sz w:val="26"/>
          <w:szCs w:val="26"/>
        </w:rPr>
        <w:t>-</w:t>
      </w:r>
      <w:r w:rsidRPr="007E4C66">
        <w:rPr>
          <w:sz w:val="26"/>
          <w:szCs w:val="26"/>
        </w:rPr>
        <w:t xml:space="preserve">itemized price” is </w:t>
      </w:r>
      <w:r w:rsidR="00967495" w:rsidRPr="007E4C66">
        <w:rPr>
          <w:sz w:val="26"/>
          <w:szCs w:val="26"/>
        </w:rPr>
        <w:t>another</w:t>
      </w:r>
      <w:r w:rsidR="000E66E1" w:rsidRPr="007E4C66">
        <w:rPr>
          <w:sz w:val="26"/>
          <w:szCs w:val="26"/>
        </w:rPr>
        <w:t xml:space="preserve"> element of a bundled transaction</w:t>
      </w:r>
      <w:r w:rsidR="00967495" w:rsidRPr="007E4C66">
        <w:rPr>
          <w:sz w:val="26"/>
          <w:szCs w:val="26"/>
        </w:rPr>
        <w:t>.</w:t>
      </w:r>
      <w:r w:rsidR="000E66E1" w:rsidRPr="007E4C66">
        <w:rPr>
          <w:sz w:val="26"/>
          <w:szCs w:val="26"/>
        </w:rPr>
        <w:t xml:space="preserve"> </w:t>
      </w:r>
      <w:r w:rsidR="00967495" w:rsidRPr="007E4C66">
        <w:rPr>
          <w:sz w:val="26"/>
          <w:szCs w:val="26"/>
        </w:rPr>
        <w:t>The term is defined o</w:t>
      </w:r>
      <w:r w:rsidRPr="007E4C66">
        <w:rPr>
          <w:sz w:val="26"/>
          <w:szCs w:val="26"/>
        </w:rPr>
        <w:t xml:space="preserve">nly in the negative. </w:t>
      </w:r>
      <w:r w:rsidR="004B3E93" w:rsidRPr="007E4C66">
        <w:rPr>
          <w:sz w:val="26"/>
          <w:szCs w:val="26"/>
        </w:rPr>
        <w:t>One non-itemized price excludes</w:t>
      </w:r>
      <w:r w:rsidRPr="007E4C66">
        <w:rPr>
          <w:sz w:val="26"/>
          <w:szCs w:val="26"/>
        </w:rPr>
        <w:t xml:space="preserve"> a price that is separately identified by product on</w:t>
      </w:r>
      <w:r w:rsidR="00413211" w:rsidRPr="007E4C66">
        <w:rPr>
          <w:sz w:val="26"/>
          <w:szCs w:val="26"/>
        </w:rPr>
        <w:t xml:space="preserve"> binding sales documentation</w:t>
      </w:r>
      <w:r w:rsidRPr="007E4C66">
        <w:rPr>
          <w:sz w:val="26"/>
          <w:szCs w:val="26"/>
        </w:rPr>
        <w:t xml:space="preserve"> or other sales-related documentation that is made available to the customer. Qualifying documentation includes invoices, bills of sale, contracts, service or lease agreements, rate cards, and other similar documentation.</w:t>
      </w:r>
      <w:r w:rsidRPr="007E4C66">
        <w:rPr>
          <w:rStyle w:val="FootnoteReference"/>
          <w:sz w:val="26"/>
          <w:szCs w:val="26"/>
        </w:rPr>
        <w:footnoteReference w:id="12"/>
      </w:r>
    </w:p>
    <w:p w14:paraId="6891E647" w14:textId="0856B93A" w:rsidR="00AB6897" w:rsidRPr="007E4C66" w:rsidRDefault="00317E10" w:rsidP="007B7491">
      <w:pPr>
        <w:rPr>
          <w:sz w:val="26"/>
          <w:szCs w:val="26"/>
        </w:rPr>
      </w:pPr>
      <w:r w:rsidRPr="007E4C66">
        <w:rPr>
          <w:sz w:val="26"/>
          <w:szCs w:val="26"/>
        </w:rPr>
        <w:t xml:space="preserve">The </w:t>
      </w:r>
      <w:r w:rsidR="004838BD" w:rsidRPr="007E4C66">
        <w:rPr>
          <w:sz w:val="26"/>
          <w:szCs w:val="26"/>
        </w:rPr>
        <w:t xml:space="preserve">reasoning </w:t>
      </w:r>
      <w:r w:rsidR="00B4681D" w:rsidRPr="007E4C66">
        <w:rPr>
          <w:sz w:val="26"/>
          <w:szCs w:val="26"/>
        </w:rPr>
        <w:t>behind this element is</w:t>
      </w:r>
      <w:r w:rsidR="004838BD" w:rsidRPr="007E4C66">
        <w:rPr>
          <w:sz w:val="26"/>
          <w:szCs w:val="26"/>
        </w:rPr>
        <w:t xml:space="preserve"> that if the retailer make</w:t>
      </w:r>
      <w:r w:rsidR="00624F8A" w:rsidRPr="007E4C66">
        <w:rPr>
          <w:sz w:val="26"/>
          <w:szCs w:val="26"/>
        </w:rPr>
        <w:t>s</w:t>
      </w:r>
      <w:r w:rsidR="004838BD" w:rsidRPr="007E4C66">
        <w:rPr>
          <w:sz w:val="26"/>
          <w:szCs w:val="26"/>
        </w:rPr>
        <w:t xml:space="preserve"> individual product price</w:t>
      </w:r>
      <w:r w:rsidR="005A698E" w:rsidRPr="007E4C66">
        <w:rPr>
          <w:sz w:val="26"/>
          <w:szCs w:val="26"/>
        </w:rPr>
        <w:t>s</w:t>
      </w:r>
      <w:r w:rsidR="004838BD" w:rsidRPr="007E4C66">
        <w:rPr>
          <w:sz w:val="26"/>
          <w:szCs w:val="26"/>
        </w:rPr>
        <w:t xml:space="preserve"> </w:t>
      </w:r>
      <w:r w:rsidR="00624F8A" w:rsidRPr="007E4C66">
        <w:rPr>
          <w:sz w:val="26"/>
          <w:szCs w:val="26"/>
        </w:rPr>
        <w:t xml:space="preserve">available, it </w:t>
      </w:r>
      <w:r w:rsidR="00B4681D" w:rsidRPr="007E4C66">
        <w:rPr>
          <w:sz w:val="26"/>
          <w:szCs w:val="26"/>
        </w:rPr>
        <w:t>has</w:t>
      </w:r>
      <w:r w:rsidR="00624F8A" w:rsidRPr="007E4C66">
        <w:rPr>
          <w:sz w:val="26"/>
          <w:szCs w:val="26"/>
        </w:rPr>
        <w:t xml:space="preserve"> an objective method of separating the products</w:t>
      </w:r>
      <w:r w:rsidR="002F6B3B" w:rsidRPr="007E4C66">
        <w:rPr>
          <w:sz w:val="26"/>
          <w:szCs w:val="26"/>
        </w:rPr>
        <w:t xml:space="preserve">, </w:t>
      </w:r>
      <w:r w:rsidR="00371606" w:rsidRPr="007E4C66">
        <w:rPr>
          <w:sz w:val="26"/>
          <w:szCs w:val="26"/>
        </w:rPr>
        <w:t>establishing their appropriate selling price,</w:t>
      </w:r>
      <w:r w:rsidR="00624F8A" w:rsidRPr="007E4C66">
        <w:rPr>
          <w:sz w:val="26"/>
          <w:szCs w:val="26"/>
        </w:rPr>
        <w:t xml:space="preserve"> and </w:t>
      </w:r>
      <w:r w:rsidR="00B1713D" w:rsidRPr="007E4C66">
        <w:rPr>
          <w:sz w:val="26"/>
          <w:szCs w:val="26"/>
        </w:rPr>
        <w:t xml:space="preserve">collecting and paying tax </w:t>
      </w:r>
      <w:r w:rsidR="00624F8A" w:rsidRPr="007E4C66">
        <w:rPr>
          <w:sz w:val="26"/>
          <w:szCs w:val="26"/>
        </w:rPr>
        <w:t xml:space="preserve">according to the appropriate tax classification. The retailer </w:t>
      </w:r>
      <w:r w:rsidR="00371606" w:rsidRPr="007E4C66">
        <w:rPr>
          <w:sz w:val="26"/>
          <w:szCs w:val="26"/>
        </w:rPr>
        <w:t>control</w:t>
      </w:r>
      <w:r w:rsidR="00171527" w:rsidRPr="007E4C66">
        <w:rPr>
          <w:sz w:val="26"/>
          <w:szCs w:val="26"/>
        </w:rPr>
        <w:t>s</w:t>
      </w:r>
      <w:r w:rsidR="00371606" w:rsidRPr="007E4C66">
        <w:rPr>
          <w:sz w:val="26"/>
          <w:szCs w:val="26"/>
        </w:rPr>
        <w:t xml:space="preserve"> itemization.</w:t>
      </w:r>
    </w:p>
    <w:p w14:paraId="6D3791F5" w14:textId="21205956" w:rsidR="00B92EF5" w:rsidRPr="007E4C66" w:rsidRDefault="00B92EF5" w:rsidP="007B7491">
      <w:pPr>
        <w:rPr>
          <w:sz w:val="26"/>
          <w:szCs w:val="26"/>
        </w:rPr>
      </w:pPr>
      <w:r w:rsidRPr="007E4C66">
        <w:rPr>
          <w:sz w:val="26"/>
          <w:szCs w:val="26"/>
        </w:rPr>
        <w:t>In Rhode Island, the Department of Revenue considered a subscription giving customers unconditional access to a variety of products, including expedited shipping, streaming video, electronic books, streaming music, photo storage, and access to video games. The Department determined the subscription was a bundle because it bundled goods, services, and other benefits that were distinct and identifiable together for one non-itemized price.</w:t>
      </w:r>
      <w:r w:rsidRPr="007E4C66">
        <w:rPr>
          <w:rStyle w:val="FootnoteReference"/>
          <w:sz w:val="26"/>
          <w:szCs w:val="26"/>
        </w:rPr>
        <w:footnoteReference w:id="13"/>
      </w:r>
    </w:p>
    <w:p w14:paraId="0A8871EE" w14:textId="4C02469C" w:rsidR="005534DF" w:rsidRPr="007E4C66" w:rsidRDefault="009442EC" w:rsidP="005534DF">
      <w:pPr>
        <w:rPr>
          <w:b/>
          <w:bCs/>
          <w:sz w:val="26"/>
          <w:szCs w:val="26"/>
        </w:rPr>
      </w:pPr>
      <w:r w:rsidRPr="007E4C66">
        <w:rPr>
          <w:b/>
          <w:bCs/>
          <w:sz w:val="26"/>
          <w:szCs w:val="26"/>
        </w:rPr>
        <w:t>Study group findings:</w:t>
      </w:r>
    </w:p>
    <w:p w14:paraId="67DAF7C4" w14:textId="164972E9" w:rsidR="0011091B" w:rsidRPr="007E4C66" w:rsidRDefault="008F4B8E" w:rsidP="005534DF">
      <w:pPr>
        <w:rPr>
          <w:sz w:val="26"/>
          <w:szCs w:val="26"/>
        </w:rPr>
      </w:pPr>
      <w:r w:rsidRPr="007E4C66">
        <w:rPr>
          <w:sz w:val="26"/>
          <w:szCs w:val="26"/>
        </w:rPr>
        <w:t>S</w:t>
      </w:r>
      <w:r w:rsidR="005534DF" w:rsidRPr="007E4C66">
        <w:rPr>
          <w:sz w:val="26"/>
          <w:szCs w:val="26"/>
        </w:rPr>
        <w:t>tudy grou</w:t>
      </w:r>
      <w:r w:rsidRPr="007E4C66">
        <w:rPr>
          <w:sz w:val="26"/>
          <w:szCs w:val="26"/>
        </w:rPr>
        <w:t xml:space="preserve">p members </w:t>
      </w:r>
      <w:r w:rsidR="009442EC" w:rsidRPr="007E4C66">
        <w:rPr>
          <w:sz w:val="26"/>
          <w:szCs w:val="26"/>
        </w:rPr>
        <w:t>noted several</w:t>
      </w:r>
      <w:r w:rsidRPr="007E4C66">
        <w:rPr>
          <w:sz w:val="26"/>
          <w:szCs w:val="26"/>
        </w:rPr>
        <w:t xml:space="preserve"> issues with this element</w:t>
      </w:r>
      <w:r w:rsidR="006B653D" w:rsidRPr="007E4C66">
        <w:rPr>
          <w:sz w:val="26"/>
          <w:szCs w:val="26"/>
        </w:rPr>
        <w:t xml:space="preserve"> of the Streamlined rules</w:t>
      </w:r>
      <w:r w:rsidRPr="007E4C66">
        <w:rPr>
          <w:sz w:val="26"/>
          <w:szCs w:val="26"/>
        </w:rPr>
        <w:t xml:space="preserve">. </w:t>
      </w:r>
      <w:r w:rsidR="0011091B" w:rsidRPr="007E4C66">
        <w:rPr>
          <w:sz w:val="26"/>
          <w:szCs w:val="26"/>
        </w:rPr>
        <w:t>These</w:t>
      </w:r>
      <w:r w:rsidR="006B653D" w:rsidRPr="007E4C66">
        <w:rPr>
          <w:sz w:val="26"/>
          <w:szCs w:val="26"/>
        </w:rPr>
        <w:t xml:space="preserve"> issues</w:t>
      </w:r>
      <w:r w:rsidR="0011091B" w:rsidRPr="007E4C66">
        <w:rPr>
          <w:sz w:val="26"/>
          <w:szCs w:val="26"/>
        </w:rPr>
        <w:t xml:space="preserve"> included the</w:t>
      </w:r>
      <w:r w:rsidRPr="007E4C66">
        <w:rPr>
          <w:sz w:val="26"/>
          <w:szCs w:val="26"/>
        </w:rPr>
        <w:t xml:space="preserve"> </w:t>
      </w:r>
      <w:r w:rsidR="006B653D" w:rsidRPr="007E4C66">
        <w:rPr>
          <w:sz w:val="26"/>
          <w:szCs w:val="26"/>
        </w:rPr>
        <w:t xml:space="preserve">possible </w:t>
      </w:r>
      <w:r w:rsidRPr="007E4C66">
        <w:rPr>
          <w:sz w:val="26"/>
          <w:szCs w:val="26"/>
        </w:rPr>
        <w:t xml:space="preserve">use of the price list </w:t>
      </w:r>
      <w:r w:rsidR="0011091B" w:rsidRPr="007E4C66">
        <w:rPr>
          <w:sz w:val="26"/>
          <w:szCs w:val="26"/>
        </w:rPr>
        <w:t xml:space="preserve">to </w:t>
      </w:r>
      <w:r w:rsidR="009442EC" w:rsidRPr="007E4C66">
        <w:rPr>
          <w:sz w:val="26"/>
          <w:szCs w:val="26"/>
        </w:rPr>
        <w:t xml:space="preserve">inappropriately </w:t>
      </w:r>
      <w:r w:rsidR="0011091B" w:rsidRPr="007E4C66">
        <w:rPr>
          <w:sz w:val="26"/>
          <w:szCs w:val="26"/>
        </w:rPr>
        <w:t>split</w:t>
      </w:r>
      <w:r w:rsidRPr="007E4C66">
        <w:rPr>
          <w:sz w:val="26"/>
          <w:szCs w:val="26"/>
        </w:rPr>
        <w:t xml:space="preserve"> a digital product apart into its components</w:t>
      </w:r>
      <w:r w:rsidR="0011091B" w:rsidRPr="007E4C66">
        <w:rPr>
          <w:sz w:val="26"/>
          <w:szCs w:val="26"/>
        </w:rPr>
        <w:t xml:space="preserve">; lack of clarity on where the separate prices must be listed; and whether the separately priced items had to be actually available at the listed prices. </w:t>
      </w:r>
      <w:r w:rsidR="009442EC" w:rsidRPr="007E4C66">
        <w:rPr>
          <w:sz w:val="26"/>
          <w:szCs w:val="26"/>
        </w:rPr>
        <w:t>S</w:t>
      </w:r>
      <w:r w:rsidR="0011091B" w:rsidRPr="007E4C66">
        <w:rPr>
          <w:sz w:val="26"/>
          <w:szCs w:val="26"/>
        </w:rPr>
        <w:t>ome members stated that there were clear answers to these</w:t>
      </w:r>
      <w:r w:rsidR="00B1713D" w:rsidRPr="007E4C66">
        <w:rPr>
          <w:sz w:val="26"/>
          <w:szCs w:val="26"/>
        </w:rPr>
        <w:t>. F</w:t>
      </w:r>
      <w:r w:rsidR="0011091B" w:rsidRPr="007E4C66">
        <w:rPr>
          <w:sz w:val="26"/>
          <w:szCs w:val="26"/>
        </w:rPr>
        <w:t>or example</w:t>
      </w:r>
      <w:r w:rsidR="00B1713D" w:rsidRPr="007E4C66">
        <w:rPr>
          <w:sz w:val="26"/>
          <w:szCs w:val="26"/>
        </w:rPr>
        <w:t>,</w:t>
      </w:r>
      <w:r w:rsidR="0011091B" w:rsidRPr="007E4C66">
        <w:rPr>
          <w:sz w:val="26"/>
          <w:szCs w:val="26"/>
        </w:rPr>
        <w:t xml:space="preserve"> some members stated that merely providing a price list for the components meant the purported bundle was not offered for one non-itemized price, even if the components were not available separately</w:t>
      </w:r>
      <w:r w:rsidR="009442EC" w:rsidRPr="007E4C66">
        <w:rPr>
          <w:sz w:val="26"/>
          <w:szCs w:val="26"/>
        </w:rPr>
        <w:t xml:space="preserve"> for those prices</w:t>
      </w:r>
      <w:r w:rsidR="0011091B" w:rsidRPr="007E4C66">
        <w:rPr>
          <w:sz w:val="26"/>
          <w:szCs w:val="26"/>
        </w:rPr>
        <w:t xml:space="preserve">. Others disagreed. </w:t>
      </w:r>
    </w:p>
    <w:p w14:paraId="4B7CB715" w14:textId="21FB426B" w:rsidR="005534DF" w:rsidRPr="007E4C66" w:rsidRDefault="0011091B" w:rsidP="007B7491">
      <w:pPr>
        <w:rPr>
          <w:sz w:val="26"/>
          <w:szCs w:val="26"/>
        </w:rPr>
      </w:pPr>
      <w:r w:rsidRPr="007E4C66">
        <w:rPr>
          <w:sz w:val="26"/>
          <w:szCs w:val="26"/>
        </w:rPr>
        <w:t xml:space="preserve">Due to this </w:t>
      </w:r>
      <w:r w:rsidR="00E9773B" w:rsidRPr="007E4C66">
        <w:rPr>
          <w:sz w:val="26"/>
          <w:szCs w:val="26"/>
        </w:rPr>
        <w:t>inconsistency</w:t>
      </w:r>
      <w:r w:rsidRPr="007E4C66">
        <w:rPr>
          <w:sz w:val="26"/>
          <w:szCs w:val="26"/>
        </w:rPr>
        <w:t xml:space="preserve">, the group recommended clarifying this provision and offered three options. One option was to </w:t>
      </w:r>
      <w:r w:rsidR="009442EC" w:rsidRPr="007E4C66">
        <w:rPr>
          <w:sz w:val="26"/>
          <w:szCs w:val="26"/>
        </w:rPr>
        <w:t xml:space="preserve">honor the price list </w:t>
      </w:r>
      <w:r w:rsidR="00B1713D" w:rsidRPr="007E4C66">
        <w:rPr>
          <w:sz w:val="26"/>
          <w:szCs w:val="26"/>
        </w:rPr>
        <w:t xml:space="preserve">only </w:t>
      </w:r>
      <w:r w:rsidR="009442EC" w:rsidRPr="007E4C66">
        <w:rPr>
          <w:sz w:val="26"/>
          <w:szCs w:val="26"/>
        </w:rPr>
        <w:t xml:space="preserve">if the </w:t>
      </w:r>
      <w:r w:rsidRPr="007E4C66">
        <w:rPr>
          <w:sz w:val="26"/>
          <w:szCs w:val="26"/>
        </w:rPr>
        <w:t xml:space="preserve">seller </w:t>
      </w:r>
      <w:r w:rsidR="009442EC" w:rsidRPr="007E4C66">
        <w:rPr>
          <w:sz w:val="26"/>
          <w:szCs w:val="26"/>
        </w:rPr>
        <w:t>offers</w:t>
      </w:r>
      <w:r w:rsidRPr="007E4C66">
        <w:rPr>
          <w:sz w:val="26"/>
          <w:szCs w:val="26"/>
        </w:rPr>
        <w:t xml:space="preserve"> the items for sale at the separate listed prices. Another option was to introduce a rebuttable presumption </w:t>
      </w:r>
      <w:r w:rsidR="009442EC" w:rsidRPr="007E4C66">
        <w:rPr>
          <w:sz w:val="26"/>
          <w:szCs w:val="26"/>
        </w:rPr>
        <w:t>to</w:t>
      </w:r>
      <w:r w:rsidRPr="007E4C66">
        <w:rPr>
          <w:sz w:val="26"/>
          <w:szCs w:val="26"/>
        </w:rPr>
        <w:t xml:space="preserve"> shift the burden to the seller, so the seller would be required to provide more information. Another option was use of an anti-abuse rule based on whether the behavior appears to be tax avoidance.</w:t>
      </w:r>
    </w:p>
    <w:p w14:paraId="4B3E3A79" w14:textId="4D08E04E" w:rsidR="007A4314" w:rsidRPr="007E4C66" w:rsidRDefault="00317E10" w:rsidP="007B7491">
      <w:pPr>
        <w:rPr>
          <w:i/>
          <w:iCs/>
          <w:sz w:val="26"/>
          <w:szCs w:val="26"/>
        </w:rPr>
      </w:pPr>
      <w:r w:rsidRPr="007E4C66">
        <w:rPr>
          <w:i/>
          <w:iCs/>
          <w:sz w:val="26"/>
          <w:szCs w:val="26"/>
        </w:rPr>
        <w:t>Variable sales price</w:t>
      </w:r>
    </w:p>
    <w:p w14:paraId="2773AFF3" w14:textId="5E040796" w:rsidR="00E44634" w:rsidRPr="007E4C66" w:rsidRDefault="000B2A52" w:rsidP="007B7491">
      <w:pPr>
        <w:rPr>
          <w:sz w:val="26"/>
          <w:szCs w:val="26"/>
        </w:rPr>
      </w:pPr>
      <w:r w:rsidRPr="007E4C66">
        <w:rPr>
          <w:sz w:val="26"/>
          <w:szCs w:val="26"/>
        </w:rPr>
        <w:t>Another</w:t>
      </w:r>
      <w:r w:rsidR="00AB6897" w:rsidRPr="007E4C66">
        <w:rPr>
          <w:sz w:val="26"/>
          <w:szCs w:val="26"/>
        </w:rPr>
        <w:t xml:space="preserve"> element of </w:t>
      </w:r>
      <w:r w:rsidR="004A74B3" w:rsidRPr="007E4C66">
        <w:rPr>
          <w:sz w:val="26"/>
          <w:szCs w:val="26"/>
        </w:rPr>
        <w:t>the Streamlined bundling rules is whether the</w:t>
      </w:r>
      <w:r w:rsidR="00AB6897" w:rsidRPr="007E4C66">
        <w:rPr>
          <w:sz w:val="26"/>
          <w:szCs w:val="26"/>
        </w:rPr>
        <w:t xml:space="preserve"> sales price </w:t>
      </w:r>
      <w:r w:rsidR="00B1713D" w:rsidRPr="007E4C66">
        <w:rPr>
          <w:sz w:val="26"/>
          <w:szCs w:val="26"/>
        </w:rPr>
        <w:t xml:space="preserve">is </w:t>
      </w:r>
      <w:r w:rsidR="00AB6897" w:rsidRPr="007E4C66">
        <w:rPr>
          <w:sz w:val="26"/>
          <w:szCs w:val="26"/>
        </w:rPr>
        <w:t xml:space="preserve">variable or negotiable based on the purchaser’s selections. </w:t>
      </w:r>
      <w:r w:rsidRPr="007E4C66">
        <w:rPr>
          <w:sz w:val="26"/>
          <w:szCs w:val="26"/>
        </w:rPr>
        <w:t xml:space="preserve">The Streamlined </w:t>
      </w:r>
      <w:r w:rsidR="004A74B3" w:rsidRPr="007E4C66">
        <w:rPr>
          <w:sz w:val="26"/>
          <w:szCs w:val="26"/>
        </w:rPr>
        <w:t xml:space="preserve">rules </w:t>
      </w:r>
      <w:r w:rsidRPr="007E4C66">
        <w:rPr>
          <w:sz w:val="26"/>
          <w:szCs w:val="26"/>
        </w:rPr>
        <w:t>provide</w:t>
      </w:r>
      <w:r w:rsidR="004A74B3" w:rsidRPr="007E4C66">
        <w:rPr>
          <w:sz w:val="26"/>
          <w:szCs w:val="26"/>
        </w:rPr>
        <w:t xml:space="preserve"> </w:t>
      </w:r>
      <w:r w:rsidRPr="007E4C66">
        <w:rPr>
          <w:sz w:val="26"/>
          <w:szCs w:val="26"/>
        </w:rPr>
        <w:t>that a</w:t>
      </w:r>
      <w:r w:rsidR="00AB6897" w:rsidRPr="007E4C66">
        <w:rPr>
          <w:sz w:val="26"/>
          <w:szCs w:val="26"/>
        </w:rPr>
        <w:t xml:space="preserve"> </w:t>
      </w:r>
      <w:r w:rsidR="00AB6897" w:rsidRPr="007E4C66">
        <w:rPr>
          <w:sz w:val="26"/>
          <w:szCs w:val="26"/>
        </w:rPr>
        <w:lastRenderedPageBreak/>
        <w:t xml:space="preserve">transaction </w:t>
      </w:r>
      <w:r w:rsidRPr="007E4C66">
        <w:rPr>
          <w:sz w:val="26"/>
          <w:szCs w:val="26"/>
        </w:rPr>
        <w:t>is</w:t>
      </w:r>
      <w:r w:rsidR="00AB6897" w:rsidRPr="007E4C66">
        <w:rPr>
          <w:sz w:val="26"/>
          <w:szCs w:val="26"/>
        </w:rPr>
        <w:t xml:space="preserve"> not a bundled transaction if, by negotiation or otherwise, the sales price varies with the purchaser’s selection of the distinct and identifiable products being sold.</w:t>
      </w:r>
      <w:r w:rsidR="00515A9D" w:rsidRPr="007E4C66">
        <w:rPr>
          <w:rStyle w:val="FootnoteReference"/>
          <w:sz w:val="26"/>
          <w:szCs w:val="26"/>
        </w:rPr>
        <w:footnoteReference w:id="14"/>
      </w:r>
      <w:r w:rsidR="00AB6897" w:rsidRPr="007E4C66">
        <w:rPr>
          <w:sz w:val="26"/>
          <w:szCs w:val="26"/>
        </w:rPr>
        <w:t xml:space="preserve"> A retail sale shall not be considered made for “one non-itemized price” if the purchaser has the option of declining to purchase any of the products being sold and, as a result of the purchaser’s selection of products, the sales price varies or a different price is negotiated.</w:t>
      </w:r>
      <w:r w:rsidR="0039664A" w:rsidRPr="007E4C66">
        <w:rPr>
          <w:rStyle w:val="FootnoteReference"/>
          <w:sz w:val="26"/>
          <w:szCs w:val="26"/>
        </w:rPr>
        <w:footnoteReference w:id="15"/>
      </w:r>
    </w:p>
    <w:p w14:paraId="2CAC8895" w14:textId="51571D57" w:rsidR="00AB6897" w:rsidRPr="007E4C66" w:rsidRDefault="00AB6897" w:rsidP="007B7491">
      <w:pPr>
        <w:rPr>
          <w:sz w:val="26"/>
          <w:szCs w:val="26"/>
        </w:rPr>
      </w:pPr>
      <w:r w:rsidRPr="007E4C66">
        <w:rPr>
          <w:sz w:val="26"/>
          <w:szCs w:val="26"/>
        </w:rPr>
        <w:t xml:space="preserve">For example, in </w:t>
      </w:r>
      <w:r w:rsidR="000B2A52" w:rsidRPr="007E4C66">
        <w:rPr>
          <w:sz w:val="26"/>
          <w:szCs w:val="26"/>
        </w:rPr>
        <w:t>a</w:t>
      </w:r>
      <w:r w:rsidRPr="007E4C66">
        <w:rPr>
          <w:sz w:val="26"/>
          <w:szCs w:val="26"/>
        </w:rPr>
        <w:t xml:space="preserve"> situation where a vendor offered “mix and match” packages where the customer </w:t>
      </w:r>
      <w:r w:rsidR="00823CC1" w:rsidRPr="007E4C66">
        <w:rPr>
          <w:sz w:val="26"/>
          <w:szCs w:val="26"/>
        </w:rPr>
        <w:t>exercised</w:t>
      </w:r>
      <w:r w:rsidRPr="007E4C66">
        <w:rPr>
          <w:sz w:val="26"/>
          <w:szCs w:val="26"/>
        </w:rPr>
        <w:t xml:space="preserve"> choice </w:t>
      </w:r>
      <w:r w:rsidR="00823CC1" w:rsidRPr="007E4C66">
        <w:rPr>
          <w:sz w:val="26"/>
          <w:szCs w:val="26"/>
        </w:rPr>
        <w:t>over</w:t>
      </w:r>
      <w:r w:rsidRPr="007E4C66">
        <w:rPr>
          <w:sz w:val="26"/>
          <w:szCs w:val="26"/>
        </w:rPr>
        <w:t xml:space="preserve"> the package</w:t>
      </w:r>
      <w:r w:rsidR="00823CC1" w:rsidRPr="007E4C66">
        <w:rPr>
          <w:sz w:val="26"/>
          <w:szCs w:val="26"/>
        </w:rPr>
        <w:t>s</w:t>
      </w:r>
      <w:r w:rsidRPr="007E4C66">
        <w:rPr>
          <w:sz w:val="26"/>
          <w:szCs w:val="26"/>
        </w:rPr>
        <w:t xml:space="preserve"> and the </w:t>
      </w:r>
      <w:r w:rsidR="00823CC1" w:rsidRPr="007E4C66">
        <w:rPr>
          <w:sz w:val="26"/>
          <w:szCs w:val="26"/>
        </w:rPr>
        <w:t xml:space="preserve">product’s </w:t>
      </w:r>
      <w:r w:rsidRPr="007E4C66">
        <w:rPr>
          <w:sz w:val="26"/>
          <w:szCs w:val="26"/>
        </w:rPr>
        <w:t>discounting depended on those choices, the Department of Revenue determined the sales price varied based on the purchaser’s selections and the transaction was not a bundle.</w:t>
      </w:r>
      <w:r w:rsidRPr="007E4C66">
        <w:rPr>
          <w:rStyle w:val="FootnoteReference"/>
          <w:sz w:val="26"/>
          <w:szCs w:val="26"/>
        </w:rPr>
        <w:footnoteReference w:id="16"/>
      </w:r>
    </w:p>
    <w:p w14:paraId="7A66AABF" w14:textId="54954EF4" w:rsidR="005534DF" w:rsidRPr="007E4C66" w:rsidRDefault="009442EC" w:rsidP="005534DF">
      <w:pPr>
        <w:rPr>
          <w:b/>
          <w:bCs/>
          <w:sz w:val="26"/>
          <w:szCs w:val="26"/>
        </w:rPr>
      </w:pPr>
      <w:r w:rsidRPr="007E4C66">
        <w:rPr>
          <w:b/>
          <w:bCs/>
          <w:sz w:val="26"/>
          <w:szCs w:val="26"/>
        </w:rPr>
        <w:t>Study group findings:</w:t>
      </w:r>
    </w:p>
    <w:p w14:paraId="4371A8D4" w14:textId="760A6BD9" w:rsidR="005534DF" w:rsidRPr="007E4C66" w:rsidRDefault="005534DF" w:rsidP="007B7491">
      <w:pPr>
        <w:rPr>
          <w:sz w:val="26"/>
          <w:szCs w:val="26"/>
        </w:rPr>
      </w:pPr>
      <w:r w:rsidRPr="007E4C66">
        <w:rPr>
          <w:sz w:val="26"/>
          <w:szCs w:val="26"/>
        </w:rPr>
        <w:t>The study group</w:t>
      </w:r>
      <w:r w:rsidR="0011091B" w:rsidRPr="007E4C66">
        <w:rPr>
          <w:sz w:val="26"/>
          <w:szCs w:val="26"/>
        </w:rPr>
        <w:t xml:space="preserve"> encountered some variation in opinion on this</w:t>
      </w:r>
      <w:r w:rsidR="00B1713D" w:rsidRPr="007E4C66">
        <w:rPr>
          <w:sz w:val="26"/>
          <w:szCs w:val="26"/>
        </w:rPr>
        <w:t xml:space="preserve"> element</w:t>
      </w:r>
      <w:r w:rsidR="0011091B" w:rsidRPr="007E4C66">
        <w:rPr>
          <w:sz w:val="26"/>
          <w:szCs w:val="26"/>
        </w:rPr>
        <w:t xml:space="preserve">. One of the examples </w:t>
      </w:r>
      <w:r w:rsidR="00823CC1" w:rsidRPr="007E4C66">
        <w:rPr>
          <w:sz w:val="26"/>
          <w:szCs w:val="26"/>
        </w:rPr>
        <w:t xml:space="preserve">addressed by the study group </w:t>
      </w:r>
      <w:r w:rsidR="0011091B" w:rsidRPr="007E4C66">
        <w:rPr>
          <w:sz w:val="26"/>
          <w:szCs w:val="26"/>
        </w:rPr>
        <w:t xml:space="preserve">involved a transaction </w:t>
      </w:r>
      <w:r w:rsidR="001F05E7" w:rsidRPr="007E4C66">
        <w:rPr>
          <w:sz w:val="26"/>
          <w:szCs w:val="26"/>
        </w:rPr>
        <w:t xml:space="preserve">where a customer </w:t>
      </w:r>
      <w:r w:rsidR="00823CC1" w:rsidRPr="007E4C66">
        <w:rPr>
          <w:sz w:val="26"/>
          <w:szCs w:val="26"/>
        </w:rPr>
        <w:t>could</w:t>
      </w:r>
      <w:r w:rsidR="001F05E7" w:rsidRPr="007E4C66">
        <w:rPr>
          <w:sz w:val="26"/>
          <w:szCs w:val="26"/>
        </w:rPr>
        <w:t xml:space="preserve"> submit </w:t>
      </w:r>
      <w:r w:rsidR="00823CC1" w:rsidRPr="007E4C66">
        <w:rPr>
          <w:sz w:val="26"/>
          <w:szCs w:val="26"/>
        </w:rPr>
        <w:t xml:space="preserve">additional </w:t>
      </w:r>
      <w:r w:rsidR="001F05E7" w:rsidRPr="007E4C66">
        <w:rPr>
          <w:sz w:val="26"/>
          <w:szCs w:val="26"/>
        </w:rPr>
        <w:t xml:space="preserve">personal data to receive updates and a partial refund. The study group members </w:t>
      </w:r>
      <w:r w:rsidR="00823CC1" w:rsidRPr="007E4C66">
        <w:rPr>
          <w:sz w:val="26"/>
          <w:szCs w:val="26"/>
        </w:rPr>
        <w:t>did</w:t>
      </w:r>
      <w:r w:rsidR="001F05E7" w:rsidRPr="007E4C66">
        <w:rPr>
          <w:sz w:val="26"/>
          <w:szCs w:val="26"/>
        </w:rPr>
        <w:t xml:space="preserve"> not reach consensus on </w:t>
      </w:r>
      <w:r w:rsidR="00823CC1" w:rsidRPr="007E4C66">
        <w:rPr>
          <w:sz w:val="26"/>
          <w:szCs w:val="26"/>
        </w:rPr>
        <w:t xml:space="preserve">the treatment of </w:t>
      </w:r>
      <w:r w:rsidR="001F05E7" w:rsidRPr="007E4C66">
        <w:rPr>
          <w:sz w:val="26"/>
          <w:szCs w:val="26"/>
        </w:rPr>
        <w:t>this. Some members viewed this as a discount while others considered it a separate transaction. The study group members recommended additional language or an example to clarify the treatment of this situation.</w:t>
      </w:r>
    </w:p>
    <w:p w14:paraId="4B3E3A7A" w14:textId="253CD0A1" w:rsidR="00A363B6" w:rsidRPr="008D26B8" w:rsidRDefault="008D26B8" w:rsidP="008D26B8">
      <w:pPr>
        <w:pStyle w:val="Heading2"/>
        <w:rPr>
          <w:rStyle w:val="Heading3Char"/>
          <w:sz w:val="32"/>
          <w:szCs w:val="32"/>
        </w:rPr>
      </w:pPr>
      <w:r w:rsidRPr="008D26B8">
        <w:rPr>
          <w:rStyle w:val="Heading3Char"/>
          <w:sz w:val="32"/>
          <w:szCs w:val="32"/>
        </w:rPr>
        <w:t xml:space="preserve">B. </w:t>
      </w:r>
      <w:r w:rsidR="00317E10" w:rsidRPr="008D26B8">
        <w:rPr>
          <w:rStyle w:val="Heading3Char"/>
          <w:sz w:val="32"/>
          <w:szCs w:val="32"/>
        </w:rPr>
        <w:t>Streamlined Exclusions</w:t>
      </w:r>
      <w:r w:rsidR="00B764BA">
        <w:rPr>
          <w:rStyle w:val="Heading3Char"/>
          <w:sz w:val="32"/>
          <w:szCs w:val="32"/>
        </w:rPr>
        <w:t xml:space="preserve"> and Study Group Findings</w:t>
      </w:r>
    </w:p>
    <w:p w14:paraId="4B3E3A7B" w14:textId="78F3E06F" w:rsidR="00A363B6" w:rsidRPr="007E4C66" w:rsidRDefault="00317E10" w:rsidP="00A363B6">
      <w:pPr>
        <w:rPr>
          <w:sz w:val="26"/>
          <w:szCs w:val="26"/>
        </w:rPr>
      </w:pPr>
      <w:r w:rsidRPr="007E4C66">
        <w:rPr>
          <w:sz w:val="26"/>
          <w:szCs w:val="26"/>
        </w:rPr>
        <w:t>There are several exclusions from the Streamlined rules</w:t>
      </w:r>
      <w:r w:rsidR="0033465C" w:rsidRPr="007E4C66">
        <w:rPr>
          <w:sz w:val="26"/>
          <w:szCs w:val="26"/>
        </w:rPr>
        <w:t>.</w:t>
      </w:r>
      <w:r w:rsidR="008A0678" w:rsidRPr="007E4C66">
        <w:rPr>
          <w:sz w:val="26"/>
          <w:szCs w:val="26"/>
        </w:rPr>
        <w:t xml:space="preserve"> </w:t>
      </w:r>
      <w:r w:rsidR="00823CC1" w:rsidRPr="007E4C66">
        <w:rPr>
          <w:sz w:val="26"/>
          <w:szCs w:val="26"/>
        </w:rPr>
        <w:t>I</w:t>
      </w:r>
      <w:r w:rsidR="008A0678" w:rsidRPr="007E4C66">
        <w:rPr>
          <w:sz w:val="26"/>
          <w:szCs w:val="26"/>
        </w:rPr>
        <w:t xml:space="preserve">f the criteria of </w:t>
      </w:r>
      <w:r w:rsidR="00371606" w:rsidRPr="007E4C66">
        <w:rPr>
          <w:sz w:val="26"/>
          <w:szCs w:val="26"/>
        </w:rPr>
        <w:t xml:space="preserve">one of </w:t>
      </w:r>
      <w:r w:rsidR="008A0678" w:rsidRPr="007E4C66">
        <w:rPr>
          <w:sz w:val="26"/>
          <w:szCs w:val="26"/>
        </w:rPr>
        <w:t>the exclusion</w:t>
      </w:r>
      <w:r w:rsidR="00371606" w:rsidRPr="007E4C66">
        <w:rPr>
          <w:sz w:val="26"/>
          <w:szCs w:val="26"/>
        </w:rPr>
        <w:t>s</w:t>
      </w:r>
      <w:r w:rsidR="008A0678" w:rsidRPr="007E4C66">
        <w:rPr>
          <w:sz w:val="26"/>
          <w:szCs w:val="26"/>
        </w:rPr>
        <w:t xml:space="preserve"> is met, a transaction that </w:t>
      </w:r>
      <w:r w:rsidR="00371606" w:rsidRPr="007E4C66">
        <w:rPr>
          <w:sz w:val="26"/>
          <w:szCs w:val="26"/>
        </w:rPr>
        <w:t xml:space="preserve">would </w:t>
      </w:r>
      <w:r w:rsidR="008A0678" w:rsidRPr="007E4C66">
        <w:rPr>
          <w:sz w:val="26"/>
          <w:szCs w:val="26"/>
        </w:rPr>
        <w:t xml:space="preserve">otherwise be considered a bundled transaction </w:t>
      </w:r>
      <w:r w:rsidR="001A27F0" w:rsidRPr="007E4C66">
        <w:rPr>
          <w:sz w:val="26"/>
          <w:szCs w:val="26"/>
        </w:rPr>
        <w:t>is deem</w:t>
      </w:r>
      <w:r w:rsidR="0061180E" w:rsidRPr="007E4C66">
        <w:rPr>
          <w:sz w:val="26"/>
          <w:szCs w:val="26"/>
        </w:rPr>
        <w:t>ed</w:t>
      </w:r>
      <w:r w:rsidR="001A27F0" w:rsidRPr="007E4C66">
        <w:rPr>
          <w:sz w:val="26"/>
          <w:szCs w:val="26"/>
        </w:rPr>
        <w:t xml:space="preserve"> not to be a bundled transaction.</w:t>
      </w:r>
    </w:p>
    <w:p w14:paraId="4B3E3A7C" w14:textId="6947BE5E" w:rsidR="0033465C" w:rsidRDefault="00317E10" w:rsidP="00C55420">
      <w:pPr>
        <w:pStyle w:val="Heading2"/>
        <w:numPr>
          <w:ilvl w:val="0"/>
          <w:numId w:val="12"/>
        </w:numPr>
        <w:rPr>
          <w:rStyle w:val="Heading3Char"/>
        </w:rPr>
      </w:pPr>
      <w:r>
        <w:rPr>
          <w:rStyle w:val="Heading3Char"/>
        </w:rPr>
        <w:t>True object exclusion</w:t>
      </w:r>
      <w:r w:rsidR="001A27F0">
        <w:rPr>
          <w:rStyle w:val="Heading3Char"/>
        </w:rPr>
        <w:t>s</w:t>
      </w:r>
    </w:p>
    <w:p w14:paraId="4B3E3A7D" w14:textId="43608CF5" w:rsidR="0061180E" w:rsidRPr="007E4C66" w:rsidRDefault="00317E10" w:rsidP="0033465C">
      <w:pPr>
        <w:rPr>
          <w:sz w:val="26"/>
          <w:szCs w:val="26"/>
        </w:rPr>
      </w:pPr>
      <w:r w:rsidRPr="007E4C66">
        <w:rPr>
          <w:sz w:val="26"/>
          <w:szCs w:val="26"/>
        </w:rPr>
        <w:t>The Streamlined Agreement contain</w:t>
      </w:r>
      <w:r w:rsidR="004317EA" w:rsidRPr="007E4C66">
        <w:rPr>
          <w:sz w:val="26"/>
          <w:szCs w:val="26"/>
        </w:rPr>
        <w:t>s</w:t>
      </w:r>
      <w:r w:rsidRPr="007E4C66">
        <w:rPr>
          <w:sz w:val="26"/>
          <w:szCs w:val="26"/>
        </w:rPr>
        <w:t xml:space="preserve"> two </w:t>
      </w:r>
      <w:r w:rsidR="00DB630D" w:rsidRPr="007E4C66">
        <w:rPr>
          <w:sz w:val="26"/>
          <w:szCs w:val="26"/>
        </w:rPr>
        <w:t xml:space="preserve">true </w:t>
      </w:r>
      <w:r w:rsidRPr="007E4C66">
        <w:rPr>
          <w:sz w:val="26"/>
          <w:szCs w:val="26"/>
        </w:rPr>
        <w:t xml:space="preserve">object </w:t>
      </w:r>
      <w:r w:rsidR="000A347C" w:rsidRPr="007E4C66">
        <w:rPr>
          <w:sz w:val="26"/>
          <w:szCs w:val="26"/>
        </w:rPr>
        <w:t>exclusions</w:t>
      </w:r>
      <w:r w:rsidRPr="007E4C66">
        <w:rPr>
          <w:sz w:val="26"/>
          <w:szCs w:val="26"/>
        </w:rPr>
        <w:t>:</w:t>
      </w:r>
    </w:p>
    <w:p w14:paraId="4B3E3A7E" w14:textId="6BA494FF" w:rsidR="005511AE" w:rsidRPr="007E4C66" w:rsidRDefault="00317E10" w:rsidP="00C55420">
      <w:pPr>
        <w:pStyle w:val="ListParagraph"/>
        <w:numPr>
          <w:ilvl w:val="0"/>
          <w:numId w:val="4"/>
        </w:numPr>
        <w:rPr>
          <w:sz w:val="26"/>
          <w:szCs w:val="26"/>
        </w:rPr>
      </w:pPr>
      <w:r w:rsidRPr="007E4C66">
        <w:rPr>
          <w:sz w:val="26"/>
          <w:szCs w:val="26"/>
        </w:rPr>
        <w:t>I</w:t>
      </w:r>
      <w:r w:rsidR="0033465C" w:rsidRPr="007E4C66">
        <w:rPr>
          <w:sz w:val="26"/>
          <w:szCs w:val="26"/>
        </w:rPr>
        <w:t xml:space="preserve">f the taxable tangible personal property </w:t>
      </w:r>
      <w:r w:rsidR="00C55A17" w:rsidRPr="007E4C66">
        <w:rPr>
          <w:sz w:val="26"/>
          <w:szCs w:val="26"/>
        </w:rPr>
        <w:t xml:space="preserve">(TPP) </w:t>
      </w:r>
      <w:r w:rsidR="0033465C" w:rsidRPr="007E4C66">
        <w:rPr>
          <w:sz w:val="26"/>
          <w:szCs w:val="26"/>
        </w:rPr>
        <w:t>is essential to the</w:t>
      </w:r>
      <w:r w:rsidR="00DA39F5" w:rsidRPr="007E4C66">
        <w:rPr>
          <w:sz w:val="26"/>
          <w:szCs w:val="26"/>
        </w:rPr>
        <w:t xml:space="preserve"> use of</w:t>
      </w:r>
      <w:r w:rsidR="0033465C" w:rsidRPr="007E4C66">
        <w:rPr>
          <w:sz w:val="26"/>
          <w:szCs w:val="26"/>
        </w:rPr>
        <w:t xml:space="preserve"> </w:t>
      </w:r>
      <w:r w:rsidR="00E67C76" w:rsidRPr="007E4C66">
        <w:rPr>
          <w:sz w:val="26"/>
          <w:szCs w:val="26"/>
        </w:rPr>
        <w:t xml:space="preserve">the </w:t>
      </w:r>
      <w:r w:rsidR="0033465C" w:rsidRPr="007E4C66">
        <w:rPr>
          <w:sz w:val="26"/>
          <w:szCs w:val="26"/>
        </w:rPr>
        <w:t xml:space="preserve">exempt service, </w:t>
      </w:r>
      <w:r w:rsidR="0033465C" w:rsidRPr="007E4C66">
        <w:rPr>
          <w:i/>
          <w:iCs/>
          <w:sz w:val="26"/>
          <w:szCs w:val="26"/>
        </w:rPr>
        <w:t>and</w:t>
      </w:r>
      <w:r w:rsidR="0033465C" w:rsidRPr="007E4C66">
        <w:rPr>
          <w:sz w:val="26"/>
          <w:szCs w:val="26"/>
        </w:rPr>
        <w:t xml:space="preserve"> is provided only in connection with the exempt service, </w:t>
      </w:r>
      <w:r w:rsidR="0033465C" w:rsidRPr="007E4C66">
        <w:rPr>
          <w:i/>
          <w:iCs/>
          <w:sz w:val="26"/>
          <w:szCs w:val="26"/>
        </w:rPr>
        <w:t>and</w:t>
      </w:r>
      <w:r w:rsidR="0033465C" w:rsidRPr="007E4C66">
        <w:rPr>
          <w:sz w:val="26"/>
          <w:szCs w:val="26"/>
        </w:rPr>
        <w:t xml:space="preserve"> the true object of the entire transaction is the exempt service component, then the transaction is excluded from the Streamlined bundling rule.</w:t>
      </w:r>
      <w:r w:rsidRPr="007E4C66">
        <w:rPr>
          <w:rStyle w:val="FootnoteReference"/>
          <w:sz w:val="26"/>
          <w:szCs w:val="26"/>
        </w:rPr>
        <w:footnoteReference w:id="17"/>
      </w:r>
    </w:p>
    <w:p w14:paraId="184E0223" w14:textId="77777777" w:rsidR="004317EA" w:rsidRPr="007E4C66" w:rsidRDefault="004317EA" w:rsidP="004317EA">
      <w:pPr>
        <w:pStyle w:val="ListParagraph"/>
        <w:rPr>
          <w:sz w:val="26"/>
          <w:szCs w:val="26"/>
        </w:rPr>
      </w:pPr>
    </w:p>
    <w:p w14:paraId="68346777" w14:textId="15F3EF4C" w:rsidR="00D6543B" w:rsidRPr="007E4C66" w:rsidRDefault="00317E10" w:rsidP="00C55420">
      <w:pPr>
        <w:pStyle w:val="ListParagraph"/>
        <w:numPr>
          <w:ilvl w:val="0"/>
          <w:numId w:val="4"/>
        </w:numPr>
        <w:rPr>
          <w:sz w:val="26"/>
          <w:szCs w:val="26"/>
        </w:rPr>
      </w:pPr>
      <w:r w:rsidRPr="007E4C66">
        <w:rPr>
          <w:sz w:val="26"/>
          <w:szCs w:val="26"/>
        </w:rPr>
        <w:t xml:space="preserve">If </w:t>
      </w:r>
      <w:r w:rsidR="001D4E87" w:rsidRPr="007E4C66">
        <w:rPr>
          <w:sz w:val="26"/>
          <w:szCs w:val="26"/>
        </w:rPr>
        <w:t xml:space="preserve">there is a sale of </w:t>
      </w:r>
      <w:r w:rsidR="00823CC1" w:rsidRPr="007E4C66">
        <w:rPr>
          <w:sz w:val="26"/>
          <w:szCs w:val="26"/>
        </w:rPr>
        <w:t xml:space="preserve">two </w:t>
      </w:r>
      <w:r w:rsidR="00AE4A6D" w:rsidRPr="007E4C66">
        <w:rPr>
          <w:sz w:val="26"/>
          <w:szCs w:val="26"/>
        </w:rPr>
        <w:t>services</w:t>
      </w:r>
      <w:r w:rsidRPr="007E4C66">
        <w:rPr>
          <w:sz w:val="26"/>
          <w:szCs w:val="26"/>
        </w:rPr>
        <w:t xml:space="preserve"> where </w:t>
      </w:r>
      <w:r w:rsidR="00823CC1" w:rsidRPr="007E4C66">
        <w:rPr>
          <w:sz w:val="26"/>
          <w:szCs w:val="26"/>
        </w:rPr>
        <w:t>the first</w:t>
      </w:r>
      <w:r w:rsidRPr="007E4C66">
        <w:rPr>
          <w:sz w:val="26"/>
          <w:szCs w:val="26"/>
        </w:rPr>
        <w:t xml:space="preserve"> service is essential to the use or receipt of </w:t>
      </w:r>
      <w:r w:rsidR="00823CC1" w:rsidRPr="007E4C66">
        <w:rPr>
          <w:sz w:val="26"/>
          <w:szCs w:val="26"/>
        </w:rPr>
        <w:t>the</w:t>
      </w:r>
      <w:r w:rsidRPr="007E4C66">
        <w:rPr>
          <w:sz w:val="26"/>
          <w:szCs w:val="26"/>
        </w:rPr>
        <w:t xml:space="preserve"> second service </w:t>
      </w:r>
      <w:r w:rsidRPr="007E4C66">
        <w:rPr>
          <w:i/>
          <w:iCs/>
          <w:sz w:val="26"/>
          <w:szCs w:val="26"/>
        </w:rPr>
        <w:t>and</w:t>
      </w:r>
      <w:r w:rsidRPr="007E4C66">
        <w:rPr>
          <w:sz w:val="26"/>
          <w:szCs w:val="26"/>
        </w:rPr>
        <w:t xml:space="preserve"> the first service is provided exclusively in connection with the second service</w:t>
      </w:r>
      <w:r w:rsidR="00823CC1" w:rsidRPr="007E4C66">
        <w:rPr>
          <w:sz w:val="26"/>
          <w:szCs w:val="26"/>
        </w:rPr>
        <w:t>,</w:t>
      </w:r>
      <w:r w:rsidRPr="007E4C66">
        <w:rPr>
          <w:sz w:val="26"/>
          <w:szCs w:val="26"/>
        </w:rPr>
        <w:t xml:space="preserve"> </w:t>
      </w:r>
      <w:r w:rsidRPr="007E4C66">
        <w:rPr>
          <w:i/>
          <w:iCs/>
          <w:sz w:val="26"/>
          <w:szCs w:val="26"/>
        </w:rPr>
        <w:t>and</w:t>
      </w:r>
      <w:r w:rsidRPr="007E4C66">
        <w:rPr>
          <w:sz w:val="26"/>
          <w:szCs w:val="26"/>
        </w:rPr>
        <w:t xml:space="preserve"> the true object of the transaction is the second service</w:t>
      </w:r>
      <w:r w:rsidR="00E9773B" w:rsidRPr="007E4C66">
        <w:rPr>
          <w:sz w:val="26"/>
          <w:szCs w:val="26"/>
        </w:rPr>
        <w:t>, then the transaction is excluded from the Streamlined bundling rule</w:t>
      </w:r>
      <w:r w:rsidR="001D4E87" w:rsidRPr="007E4C66">
        <w:rPr>
          <w:sz w:val="26"/>
          <w:szCs w:val="26"/>
        </w:rPr>
        <w:t>.</w:t>
      </w:r>
      <w:r w:rsidR="00740FF0" w:rsidRPr="007E4C66">
        <w:rPr>
          <w:rStyle w:val="FootnoteReference"/>
          <w:sz w:val="26"/>
          <w:szCs w:val="26"/>
        </w:rPr>
        <w:footnoteReference w:id="18"/>
      </w:r>
      <w:r w:rsidR="009E5A9B" w:rsidRPr="007E4C66">
        <w:rPr>
          <w:sz w:val="26"/>
          <w:szCs w:val="26"/>
        </w:rPr>
        <w:t xml:space="preserve"> </w:t>
      </w:r>
    </w:p>
    <w:p w14:paraId="4B3E3A7F" w14:textId="52A29640" w:rsidR="00A931A8" w:rsidRPr="007E4C66" w:rsidRDefault="004A74B3" w:rsidP="00D6543B">
      <w:pPr>
        <w:rPr>
          <w:sz w:val="26"/>
          <w:szCs w:val="26"/>
        </w:rPr>
      </w:pPr>
      <w:r w:rsidRPr="007E4C66">
        <w:rPr>
          <w:sz w:val="26"/>
          <w:szCs w:val="26"/>
        </w:rPr>
        <w:t>Alt</w:t>
      </w:r>
      <w:r w:rsidR="009E5A9B" w:rsidRPr="007E4C66">
        <w:rPr>
          <w:sz w:val="26"/>
          <w:szCs w:val="26"/>
        </w:rPr>
        <w:t xml:space="preserve">hough this is called the true object exclusion, the true object of the entire transaction is only one </w:t>
      </w:r>
      <w:r w:rsidR="009315AF" w:rsidRPr="007E4C66">
        <w:rPr>
          <w:sz w:val="26"/>
          <w:szCs w:val="26"/>
        </w:rPr>
        <w:t xml:space="preserve">of three </w:t>
      </w:r>
      <w:r w:rsidR="009E5A9B" w:rsidRPr="007E4C66">
        <w:rPr>
          <w:sz w:val="26"/>
          <w:szCs w:val="26"/>
        </w:rPr>
        <w:t>element</w:t>
      </w:r>
      <w:r w:rsidR="009315AF" w:rsidRPr="007E4C66">
        <w:rPr>
          <w:sz w:val="26"/>
          <w:szCs w:val="26"/>
        </w:rPr>
        <w:t>s</w:t>
      </w:r>
      <w:r w:rsidR="009E5A9B" w:rsidRPr="007E4C66">
        <w:rPr>
          <w:sz w:val="26"/>
          <w:szCs w:val="26"/>
        </w:rPr>
        <w:t xml:space="preserve"> of this exclusion. </w:t>
      </w:r>
      <w:r w:rsidR="009315AF" w:rsidRPr="007E4C66">
        <w:rPr>
          <w:sz w:val="26"/>
          <w:szCs w:val="26"/>
        </w:rPr>
        <w:t xml:space="preserve">The other two elements are </w:t>
      </w:r>
      <w:r w:rsidR="002905C2" w:rsidRPr="007E4C66">
        <w:rPr>
          <w:sz w:val="26"/>
          <w:szCs w:val="26"/>
        </w:rPr>
        <w:t xml:space="preserve">(1) </w:t>
      </w:r>
      <w:r w:rsidR="009315AF" w:rsidRPr="007E4C66">
        <w:rPr>
          <w:sz w:val="26"/>
          <w:szCs w:val="26"/>
        </w:rPr>
        <w:t xml:space="preserve">that the </w:t>
      </w:r>
      <w:r w:rsidR="00253AF6" w:rsidRPr="007E4C66">
        <w:rPr>
          <w:sz w:val="26"/>
          <w:szCs w:val="26"/>
        </w:rPr>
        <w:t>TPP</w:t>
      </w:r>
      <w:r w:rsidR="009315AF" w:rsidRPr="007E4C66">
        <w:rPr>
          <w:rStyle w:val="FootnoteReference"/>
          <w:sz w:val="26"/>
          <w:szCs w:val="26"/>
        </w:rPr>
        <w:footnoteReference w:id="19"/>
      </w:r>
      <w:r w:rsidR="009315AF" w:rsidRPr="007E4C66">
        <w:rPr>
          <w:sz w:val="26"/>
          <w:szCs w:val="26"/>
        </w:rPr>
        <w:t xml:space="preserve"> is essential to the service and </w:t>
      </w:r>
      <w:r w:rsidR="002905C2" w:rsidRPr="007E4C66">
        <w:rPr>
          <w:sz w:val="26"/>
          <w:szCs w:val="26"/>
        </w:rPr>
        <w:t xml:space="preserve">(2) </w:t>
      </w:r>
      <w:r w:rsidR="009315AF" w:rsidRPr="007E4C66">
        <w:rPr>
          <w:sz w:val="26"/>
          <w:szCs w:val="26"/>
        </w:rPr>
        <w:t xml:space="preserve">that the </w:t>
      </w:r>
      <w:r w:rsidR="00253AF6" w:rsidRPr="007E4C66">
        <w:rPr>
          <w:sz w:val="26"/>
          <w:szCs w:val="26"/>
        </w:rPr>
        <w:t>TPP</w:t>
      </w:r>
      <w:r w:rsidR="009315AF" w:rsidRPr="007E4C66">
        <w:rPr>
          <w:sz w:val="26"/>
          <w:szCs w:val="26"/>
        </w:rPr>
        <w:t xml:space="preserve"> is provided exclusively in connection with the service. </w:t>
      </w:r>
      <w:r w:rsidR="009E5A9B" w:rsidRPr="007E4C66">
        <w:rPr>
          <w:sz w:val="26"/>
          <w:szCs w:val="26"/>
        </w:rPr>
        <w:t xml:space="preserve">This means that even if the true object of the transaction is an exempt service, the transaction might still </w:t>
      </w:r>
      <w:r w:rsidR="00E9773B" w:rsidRPr="007E4C66">
        <w:rPr>
          <w:sz w:val="26"/>
          <w:szCs w:val="26"/>
        </w:rPr>
        <w:t>fall</w:t>
      </w:r>
      <w:r w:rsidR="009E5A9B" w:rsidRPr="007E4C66">
        <w:rPr>
          <w:sz w:val="26"/>
          <w:szCs w:val="26"/>
        </w:rPr>
        <w:t xml:space="preserve"> under the Streamlined bundling rule.</w:t>
      </w:r>
      <w:r w:rsidR="009315AF" w:rsidRPr="007E4C66">
        <w:rPr>
          <w:sz w:val="26"/>
          <w:szCs w:val="26"/>
        </w:rPr>
        <w:t xml:space="preserve"> For example, if the true object of the transaction is an exempt service, but the </w:t>
      </w:r>
      <w:r w:rsidR="00253AF6" w:rsidRPr="007E4C66">
        <w:rPr>
          <w:sz w:val="26"/>
          <w:szCs w:val="26"/>
        </w:rPr>
        <w:t>TPP</w:t>
      </w:r>
      <w:r w:rsidR="009315AF" w:rsidRPr="007E4C66">
        <w:rPr>
          <w:sz w:val="26"/>
          <w:szCs w:val="26"/>
        </w:rPr>
        <w:t xml:space="preserve"> is </w:t>
      </w:r>
      <w:r w:rsidR="002905C2" w:rsidRPr="007E4C66">
        <w:rPr>
          <w:sz w:val="26"/>
          <w:szCs w:val="26"/>
        </w:rPr>
        <w:t xml:space="preserve">sometimes </w:t>
      </w:r>
      <w:r w:rsidR="009315AF" w:rsidRPr="007E4C66">
        <w:rPr>
          <w:sz w:val="26"/>
          <w:szCs w:val="26"/>
        </w:rPr>
        <w:t>provided independently of the service.</w:t>
      </w:r>
    </w:p>
    <w:p w14:paraId="65D9E267" w14:textId="295203CB" w:rsidR="00AD2818" w:rsidRPr="007E4C66" w:rsidRDefault="00D6543B" w:rsidP="00147D34">
      <w:pPr>
        <w:rPr>
          <w:sz w:val="26"/>
          <w:szCs w:val="26"/>
        </w:rPr>
      </w:pPr>
      <w:r w:rsidRPr="007E4C66">
        <w:rPr>
          <w:sz w:val="26"/>
          <w:szCs w:val="26"/>
        </w:rPr>
        <w:t>T</w:t>
      </w:r>
      <w:r w:rsidR="00AD2818" w:rsidRPr="007E4C66">
        <w:rPr>
          <w:sz w:val="26"/>
          <w:szCs w:val="26"/>
        </w:rPr>
        <w:t xml:space="preserve">he exclusions seem to address accuracy and fairness concerns. While there may be more than one product sold in the transaction, from </w:t>
      </w:r>
      <w:r w:rsidR="00E67C76" w:rsidRPr="007E4C66">
        <w:rPr>
          <w:sz w:val="26"/>
          <w:szCs w:val="26"/>
        </w:rPr>
        <w:t>the</w:t>
      </w:r>
      <w:r w:rsidR="00AD2818" w:rsidRPr="007E4C66">
        <w:rPr>
          <w:sz w:val="26"/>
          <w:szCs w:val="26"/>
        </w:rPr>
        <w:t xml:space="preserve"> taxpayer</w:t>
      </w:r>
      <w:r w:rsidR="00E67C76" w:rsidRPr="007E4C66">
        <w:rPr>
          <w:sz w:val="26"/>
          <w:szCs w:val="26"/>
        </w:rPr>
        <w:t>’s</w:t>
      </w:r>
      <w:r w:rsidR="00AD2818" w:rsidRPr="007E4C66">
        <w:rPr>
          <w:sz w:val="26"/>
          <w:szCs w:val="26"/>
        </w:rPr>
        <w:t xml:space="preserve"> perspective the </w:t>
      </w:r>
      <w:r w:rsidRPr="007E4C66">
        <w:rPr>
          <w:sz w:val="26"/>
          <w:szCs w:val="26"/>
        </w:rPr>
        <w:t>customer</w:t>
      </w:r>
      <w:r w:rsidR="00AD2818" w:rsidRPr="007E4C66">
        <w:rPr>
          <w:sz w:val="26"/>
          <w:szCs w:val="26"/>
        </w:rPr>
        <w:t xml:space="preserve"> is only interested in purchasing the product that is the true object of the transaction and </w:t>
      </w:r>
      <w:r w:rsidRPr="007E4C66">
        <w:rPr>
          <w:sz w:val="26"/>
          <w:szCs w:val="26"/>
        </w:rPr>
        <w:t xml:space="preserve">the transaction </w:t>
      </w:r>
      <w:r w:rsidR="00AD2818" w:rsidRPr="007E4C66">
        <w:rPr>
          <w:sz w:val="26"/>
          <w:szCs w:val="26"/>
        </w:rPr>
        <w:t xml:space="preserve">should be taxed accordingly. These two tests are subjective and defined on </w:t>
      </w:r>
      <w:r w:rsidR="00E67C76" w:rsidRPr="007E4C66">
        <w:rPr>
          <w:sz w:val="26"/>
          <w:szCs w:val="26"/>
        </w:rPr>
        <w:t xml:space="preserve">a </w:t>
      </w:r>
      <w:r w:rsidR="00AD2818" w:rsidRPr="007E4C66">
        <w:rPr>
          <w:sz w:val="26"/>
          <w:szCs w:val="26"/>
        </w:rPr>
        <w:t>state-by-state basis</w:t>
      </w:r>
      <w:r w:rsidR="00147D34" w:rsidRPr="007E4C66">
        <w:rPr>
          <w:sz w:val="26"/>
          <w:szCs w:val="26"/>
        </w:rPr>
        <w:t>, and it is presumed</w:t>
      </w:r>
      <w:r w:rsidR="004A74B3" w:rsidRPr="007E4C66">
        <w:rPr>
          <w:sz w:val="26"/>
          <w:szCs w:val="26"/>
        </w:rPr>
        <w:t>, perhaps arbitrarily, that</w:t>
      </w:r>
      <w:r w:rsidR="00147D34" w:rsidRPr="007E4C66">
        <w:rPr>
          <w:sz w:val="26"/>
          <w:szCs w:val="26"/>
        </w:rPr>
        <w:t xml:space="preserve"> there cannot be more than one true object</w:t>
      </w:r>
      <w:r w:rsidR="00AD2818" w:rsidRPr="007E4C66">
        <w:rPr>
          <w:sz w:val="26"/>
          <w:szCs w:val="26"/>
        </w:rPr>
        <w:t>.</w:t>
      </w:r>
    </w:p>
    <w:p w14:paraId="615D3775" w14:textId="2D13C10F" w:rsidR="005534DF" w:rsidRPr="007E4C66" w:rsidRDefault="009442EC" w:rsidP="005534DF">
      <w:pPr>
        <w:rPr>
          <w:b/>
          <w:bCs/>
          <w:sz w:val="26"/>
          <w:szCs w:val="26"/>
        </w:rPr>
      </w:pPr>
      <w:r w:rsidRPr="007E4C66">
        <w:rPr>
          <w:b/>
          <w:bCs/>
          <w:sz w:val="26"/>
          <w:szCs w:val="26"/>
        </w:rPr>
        <w:t>Study group findings:</w:t>
      </w:r>
    </w:p>
    <w:p w14:paraId="6290A029" w14:textId="23FD0315" w:rsidR="005534DF" w:rsidRPr="007E4C66" w:rsidRDefault="005534DF" w:rsidP="00147D34">
      <w:pPr>
        <w:rPr>
          <w:sz w:val="26"/>
          <w:szCs w:val="26"/>
        </w:rPr>
      </w:pPr>
      <w:r w:rsidRPr="007E4C66">
        <w:rPr>
          <w:sz w:val="26"/>
          <w:szCs w:val="26"/>
        </w:rPr>
        <w:t>The study group</w:t>
      </w:r>
      <w:r w:rsidR="00B71431" w:rsidRPr="007E4C66">
        <w:rPr>
          <w:sz w:val="26"/>
          <w:szCs w:val="26"/>
        </w:rPr>
        <w:t xml:space="preserve"> members experienced confusion </w:t>
      </w:r>
      <w:r w:rsidR="00E9773B" w:rsidRPr="007E4C66">
        <w:rPr>
          <w:sz w:val="26"/>
          <w:szCs w:val="26"/>
        </w:rPr>
        <w:t>about how the</w:t>
      </w:r>
      <w:r w:rsidR="00B71431" w:rsidRPr="007E4C66">
        <w:rPr>
          <w:sz w:val="26"/>
          <w:szCs w:val="26"/>
        </w:rPr>
        <w:t xml:space="preserve"> true object exclusion</w:t>
      </w:r>
      <w:r w:rsidR="00524A39" w:rsidRPr="007E4C66">
        <w:rPr>
          <w:sz w:val="26"/>
          <w:szCs w:val="26"/>
        </w:rPr>
        <w:t>s</w:t>
      </w:r>
      <w:r w:rsidR="00E9773B" w:rsidRPr="007E4C66">
        <w:rPr>
          <w:sz w:val="26"/>
          <w:szCs w:val="26"/>
        </w:rPr>
        <w:t xml:space="preserve"> work</w:t>
      </w:r>
      <w:r w:rsidR="00B71431" w:rsidRPr="007E4C66">
        <w:rPr>
          <w:sz w:val="26"/>
          <w:szCs w:val="26"/>
        </w:rPr>
        <w:t>.</w:t>
      </w:r>
      <w:r w:rsidR="009315AF" w:rsidRPr="007E4C66">
        <w:rPr>
          <w:sz w:val="26"/>
          <w:szCs w:val="26"/>
        </w:rPr>
        <w:t xml:space="preserve"> </w:t>
      </w:r>
      <w:r w:rsidR="00BC25D0" w:rsidRPr="007E4C66">
        <w:rPr>
          <w:sz w:val="26"/>
          <w:szCs w:val="26"/>
        </w:rPr>
        <w:t>S</w:t>
      </w:r>
      <w:r w:rsidR="00B71431" w:rsidRPr="007E4C66">
        <w:rPr>
          <w:sz w:val="26"/>
          <w:szCs w:val="26"/>
        </w:rPr>
        <w:t>pecifically, the study group members noted that the application to a transaction involving more than two services is unclear and that the terms of the exclusion do not specifically refer to digital products. The study group recommended clarifying these points.</w:t>
      </w:r>
    </w:p>
    <w:p w14:paraId="4B3E3A80" w14:textId="34BC16AA" w:rsidR="0033465C" w:rsidRDefault="00317E10" w:rsidP="00C55420">
      <w:pPr>
        <w:pStyle w:val="Heading2"/>
        <w:numPr>
          <w:ilvl w:val="0"/>
          <w:numId w:val="12"/>
        </w:numPr>
        <w:rPr>
          <w:rStyle w:val="Heading3Char"/>
        </w:rPr>
      </w:pPr>
      <w:r>
        <w:rPr>
          <w:rStyle w:val="Heading3Char"/>
        </w:rPr>
        <w:t>De minimis exclusion</w:t>
      </w:r>
    </w:p>
    <w:p w14:paraId="4B3E3A83" w14:textId="381C6D28" w:rsidR="0033465C" w:rsidRPr="007E4C66" w:rsidRDefault="00317E10" w:rsidP="0033465C">
      <w:pPr>
        <w:rPr>
          <w:sz w:val="26"/>
          <w:szCs w:val="26"/>
        </w:rPr>
      </w:pPr>
      <w:r w:rsidRPr="007E4C66">
        <w:rPr>
          <w:sz w:val="26"/>
          <w:szCs w:val="26"/>
        </w:rPr>
        <w:t xml:space="preserve"> </w:t>
      </w:r>
      <w:r w:rsidR="004971A4" w:rsidRPr="007E4C66">
        <w:rPr>
          <w:sz w:val="26"/>
          <w:szCs w:val="26"/>
        </w:rPr>
        <w:t xml:space="preserve">“De minimis” generally means lacking significance, lacking importance, or being so minor as to merit disregard. </w:t>
      </w:r>
      <w:r w:rsidR="00D64D0D" w:rsidRPr="007E4C66">
        <w:rPr>
          <w:sz w:val="26"/>
          <w:szCs w:val="26"/>
        </w:rPr>
        <w:t>The de minimis exclusion</w:t>
      </w:r>
      <w:r w:rsidRPr="007E4C66">
        <w:rPr>
          <w:sz w:val="26"/>
          <w:szCs w:val="26"/>
        </w:rPr>
        <w:t xml:space="preserve"> excludes from </w:t>
      </w:r>
      <w:r w:rsidR="00D6543B" w:rsidRPr="007E4C66">
        <w:rPr>
          <w:sz w:val="26"/>
          <w:szCs w:val="26"/>
        </w:rPr>
        <w:t xml:space="preserve">the </w:t>
      </w:r>
      <w:r w:rsidR="004971A4" w:rsidRPr="007E4C66">
        <w:rPr>
          <w:sz w:val="26"/>
          <w:szCs w:val="26"/>
        </w:rPr>
        <w:t xml:space="preserve">Streamlined </w:t>
      </w:r>
      <w:r w:rsidR="00D6543B" w:rsidRPr="007E4C66">
        <w:rPr>
          <w:sz w:val="26"/>
          <w:szCs w:val="26"/>
        </w:rPr>
        <w:t>bundl</w:t>
      </w:r>
      <w:r w:rsidR="004971A4" w:rsidRPr="007E4C66">
        <w:rPr>
          <w:sz w:val="26"/>
          <w:szCs w:val="26"/>
        </w:rPr>
        <w:t xml:space="preserve">ing </w:t>
      </w:r>
      <w:r w:rsidR="00D6543B" w:rsidRPr="007E4C66">
        <w:rPr>
          <w:sz w:val="26"/>
          <w:szCs w:val="26"/>
        </w:rPr>
        <w:t>rule</w:t>
      </w:r>
      <w:r w:rsidRPr="007E4C66">
        <w:rPr>
          <w:sz w:val="26"/>
          <w:szCs w:val="26"/>
        </w:rPr>
        <w:t xml:space="preserve"> a transaction that includes both taxable and nontaxable products if the price of the taxable product is 10 percent or less of the total price.</w:t>
      </w:r>
      <w:r w:rsidR="003C413C" w:rsidRPr="007E4C66">
        <w:rPr>
          <w:sz w:val="26"/>
          <w:szCs w:val="26"/>
        </w:rPr>
        <w:t xml:space="preserve"> Either purchase price or sales price can be used.</w:t>
      </w:r>
      <w:r w:rsidRPr="007E4C66">
        <w:rPr>
          <w:rStyle w:val="FootnoteReference"/>
          <w:sz w:val="26"/>
          <w:szCs w:val="26"/>
        </w:rPr>
        <w:footnoteReference w:id="20"/>
      </w:r>
    </w:p>
    <w:p w14:paraId="4217DA9B" w14:textId="48EE7EC2" w:rsidR="009B1145" w:rsidRPr="007E4C66" w:rsidRDefault="004971A4" w:rsidP="009B1145">
      <w:pPr>
        <w:rPr>
          <w:sz w:val="26"/>
          <w:szCs w:val="26"/>
        </w:rPr>
      </w:pPr>
      <w:r w:rsidRPr="007E4C66">
        <w:rPr>
          <w:sz w:val="26"/>
          <w:szCs w:val="26"/>
        </w:rPr>
        <w:lastRenderedPageBreak/>
        <w:t>This exclusion also</w:t>
      </w:r>
      <w:r w:rsidR="009B1145" w:rsidRPr="007E4C66">
        <w:rPr>
          <w:sz w:val="26"/>
          <w:szCs w:val="26"/>
        </w:rPr>
        <w:t xml:space="preserve"> seem</w:t>
      </w:r>
      <w:r w:rsidRPr="007E4C66">
        <w:rPr>
          <w:sz w:val="26"/>
          <w:szCs w:val="26"/>
        </w:rPr>
        <w:t>s</w:t>
      </w:r>
      <w:r w:rsidR="009B1145" w:rsidRPr="007E4C66">
        <w:rPr>
          <w:sz w:val="26"/>
          <w:szCs w:val="26"/>
        </w:rPr>
        <w:t xml:space="preserve"> to address accuracy and fairness concerns. </w:t>
      </w:r>
      <w:r w:rsidRPr="007E4C66">
        <w:rPr>
          <w:sz w:val="26"/>
          <w:szCs w:val="26"/>
        </w:rPr>
        <w:t>I</w:t>
      </w:r>
      <w:r w:rsidR="009B1145" w:rsidRPr="007E4C66">
        <w:rPr>
          <w:sz w:val="26"/>
          <w:szCs w:val="26"/>
        </w:rPr>
        <w:t xml:space="preserve">f a state </w:t>
      </w:r>
      <w:r w:rsidRPr="007E4C66">
        <w:rPr>
          <w:sz w:val="26"/>
          <w:szCs w:val="26"/>
        </w:rPr>
        <w:t>imposed</w:t>
      </w:r>
      <w:r w:rsidR="009B1145" w:rsidRPr="007E4C66">
        <w:rPr>
          <w:sz w:val="26"/>
          <w:szCs w:val="26"/>
        </w:rPr>
        <w:t xml:space="preserve"> sales tax on 100</w:t>
      </w:r>
      <w:r w:rsidR="00524A39" w:rsidRPr="007E4C66">
        <w:rPr>
          <w:sz w:val="26"/>
          <w:szCs w:val="26"/>
        </w:rPr>
        <w:t xml:space="preserve"> percent</w:t>
      </w:r>
      <w:r w:rsidR="009B1145" w:rsidRPr="007E4C66">
        <w:rPr>
          <w:sz w:val="26"/>
          <w:szCs w:val="26"/>
        </w:rPr>
        <w:t xml:space="preserve"> of the </w:t>
      </w:r>
      <w:r w:rsidRPr="007E4C66">
        <w:rPr>
          <w:sz w:val="26"/>
          <w:szCs w:val="26"/>
        </w:rPr>
        <w:t>price</w:t>
      </w:r>
      <w:r w:rsidR="009B1145" w:rsidRPr="007E4C66">
        <w:rPr>
          <w:sz w:val="26"/>
          <w:szCs w:val="26"/>
        </w:rPr>
        <w:t xml:space="preserve"> of </w:t>
      </w:r>
      <w:r w:rsidRPr="007E4C66">
        <w:rPr>
          <w:sz w:val="26"/>
          <w:szCs w:val="26"/>
        </w:rPr>
        <w:t>a</w:t>
      </w:r>
      <w:r w:rsidR="009B1145" w:rsidRPr="007E4C66">
        <w:rPr>
          <w:sz w:val="26"/>
          <w:szCs w:val="26"/>
        </w:rPr>
        <w:t xml:space="preserve"> bundle in cases where the bundle consists of only of a de minimis amount</w:t>
      </w:r>
      <w:r w:rsidR="000D07D3" w:rsidRPr="007E4C66">
        <w:rPr>
          <w:sz w:val="26"/>
          <w:szCs w:val="26"/>
        </w:rPr>
        <w:t xml:space="preserve"> of</w:t>
      </w:r>
      <w:r w:rsidR="009B1145" w:rsidRPr="007E4C66">
        <w:rPr>
          <w:sz w:val="26"/>
          <w:szCs w:val="26"/>
        </w:rPr>
        <w:t xml:space="preserve"> taxable items, that might be view</w:t>
      </w:r>
      <w:r w:rsidR="00025C25" w:rsidRPr="007E4C66">
        <w:rPr>
          <w:sz w:val="26"/>
          <w:szCs w:val="26"/>
        </w:rPr>
        <w:t>ed</w:t>
      </w:r>
      <w:r w:rsidR="009B1145" w:rsidRPr="007E4C66">
        <w:rPr>
          <w:sz w:val="26"/>
          <w:szCs w:val="26"/>
        </w:rPr>
        <w:t xml:space="preserve"> as unfair</w:t>
      </w:r>
      <w:r w:rsidR="00B94DE3" w:rsidRPr="007E4C66">
        <w:rPr>
          <w:sz w:val="26"/>
          <w:szCs w:val="26"/>
        </w:rPr>
        <w:t xml:space="preserve"> </w:t>
      </w:r>
      <w:r w:rsidR="00025C25" w:rsidRPr="007E4C66">
        <w:rPr>
          <w:sz w:val="26"/>
          <w:szCs w:val="26"/>
        </w:rPr>
        <w:t>or</w:t>
      </w:r>
      <w:r w:rsidR="00D86BC3" w:rsidRPr="007E4C66">
        <w:rPr>
          <w:sz w:val="26"/>
          <w:szCs w:val="26"/>
        </w:rPr>
        <w:t xml:space="preserve"> excessive.</w:t>
      </w:r>
      <w:r w:rsidR="00D13B6F" w:rsidRPr="007E4C66">
        <w:rPr>
          <w:sz w:val="26"/>
          <w:szCs w:val="26"/>
        </w:rPr>
        <w:t xml:space="preserve"> </w:t>
      </w:r>
    </w:p>
    <w:p w14:paraId="758DA9F3" w14:textId="262CC7DA" w:rsidR="005534DF" w:rsidRPr="007E4C66" w:rsidRDefault="009442EC" w:rsidP="005534DF">
      <w:pPr>
        <w:rPr>
          <w:b/>
          <w:bCs/>
          <w:sz w:val="26"/>
          <w:szCs w:val="26"/>
        </w:rPr>
      </w:pPr>
      <w:r w:rsidRPr="007E4C66">
        <w:rPr>
          <w:b/>
          <w:bCs/>
          <w:sz w:val="26"/>
          <w:szCs w:val="26"/>
        </w:rPr>
        <w:t>Study group findings:</w:t>
      </w:r>
    </w:p>
    <w:p w14:paraId="6255182F" w14:textId="6B2481EC" w:rsidR="005534DF" w:rsidRPr="007E4C66" w:rsidRDefault="005534DF" w:rsidP="009B1145">
      <w:pPr>
        <w:rPr>
          <w:sz w:val="26"/>
          <w:szCs w:val="26"/>
        </w:rPr>
      </w:pPr>
      <w:r w:rsidRPr="007E4C66">
        <w:rPr>
          <w:sz w:val="26"/>
          <w:szCs w:val="26"/>
        </w:rPr>
        <w:t>The study grou</w:t>
      </w:r>
      <w:r w:rsidR="00B71431" w:rsidRPr="007E4C66">
        <w:rPr>
          <w:sz w:val="26"/>
          <w:szCs w:val="26"/>
        </w:rPr>
        <w:t xml:space="preserve">p members </w:t>
      </w:r>
      <w:r w:rsidR="009315AF" w:rsidRPr="007E4C66">
        <w:rPr>
          <w:sz w:val="26"/>
          <w:szCs w:val="26"/>
        </w:rPr>
        <w:t>agreed that valuing the taxable portion of a bundle was</w:t>
      </w:r>
      <w:r w:rsidR="00B71431" w:rsidRPr="007E4C66">
        <w:rPr>
          <w:sz w:val="26"/>
          <w:szCs w:val="26"/>
        </w:rPr>
        <w:t xml:space="preserve"> an issue with the de minimis exclusion. Questions include the appropriate methodology to be used to value self-produced components and components not sold separately </w:t>
      </w:r>
      <w:r w:rsidR="00823CC1" w:rsidRPr="007E4C66">
        <w:rPr>
          <w:sz w:val="26"/>
          <w:szCs w:val="26"/>
        </w:rPr>
        <w:t>as well as</w:t>
      </w:r>
      <w:r w:rsidR="00B71431" w:rsidRPr="007E4C66">
        <w:rPr>
          <w:sz w:val="26"/>
          <w:szCs w:val="26"/>
        </w:rPr>
        <w:t xml:space="preserve"> how to value components when the total fee is spread across many users. The study group recommended adding detail on the appropriate valuation methodology.</w:t>
      </w:r>
    </w:p>
    <w:p w14:paraId="4B3E3A84" w14:textId="74EFE37B" w:rsidR="0033465C" w:rsidRDefault="00317E10" w:rsidP="00C55420">
      <w:pPr>
        <w:pStyle w:val="Heading2"/>
        <w:numPr>
          <w:ilvl w:val="0"/>
          <w:numId w:val="12"/>
        </w:numPr>
        <w:rPr>
          <w:rStyle w:val="Heading3Char"/>
        </w:rPr>
      </w:pPr>
      <w:r>
        <w:rPr>
          <w:rStyle w:val="Heading3Char"/>
        </w:rPr>
        <w:t>Food, drug, and medical equipment exclusion</w:t>
      </w:r>
    </w:p>
    <w:p w14:paraId="2BDC27E5" w14:textId="62593983" w:rsidR="004971A4" w:rsidRPr="007E4C66" w:rsidRDefault="00317E10" w:rsidP="0033465C">
      <w:pPr>
        <w:rPr>
          <w:sz w:val="26"/>
          <w:szCs w:val="26"/>
        </w:rPr>
      </w:pPr>
      <w:r w:rsidRPr="007E4C66">
        <w:rPr>
          <w:sz w:val="26"/>
          <w:szCs w:val="26"/>
        </w:rPr>
        <w:t xml:space="preserve">This exclusion is a version of the de minimis rule. </w:t>
      </w:r>
      <w:r w:rsidR="00D64D0D" w:rsidRPr="007E4C66">
        <w:rPr>
          <w:sz w:val="26"/>
          <w:szCs w:val="26"/>
        </w:rPr>
        <w:t>It excludes from the Streamlined bundling rule a</w:t>
      </w:r>
      <w:r w:rsidRPr="007E4C66">
        <w:rPr>
          <w:sz w:val="26"/>
          <w:szCs w:val="26"/>
        </w:rPr>
        <w:t xml:space="preserve"> transaction </w:t>
      </w:r>
      <w:r w:rsidR="00D64D0D" w:rsidRPr="007E4C66">
        <w:rPr>
          <w:sz w:val="26"/>
          <w:szCs w:val="26"/>
        </w:rPr>
        <w:t xml:space="preserve">that </w:t>
      </w:r>
      <w:r w:rsidRPr="007E4C66">
        <w:rPr>
          <w:sz w:val="26"/>
          <w:szCs w:val="26"/>
        </w:rPr>
        <w:t xml:space="preserve">involves food, drugs, or certain medical equipment or devices </w:t>
      </w:r>
      <w:r w:rsidR="00D64D0D" w:rsidRPr="007E4C66">
        <w:rPr>
          <w:sz w:val="26"/>
          <w:szCs w:val="26"/>
        </w:rPr>
        <w:t>if</w:t>
      </w:r>
      <w:r w:rsidRPr="007E4C66">
        <w:rPr>
          <w:sz w:val="26"/>
          <w:szCs w:val="26"/>
        </w:rPr>
        <w:t xml:space="preserve"> the purchase price or sales price of the taxable portion is 50 percent or less of the total purchase price or sales price.</w:t>
      </w:r>
      <w:r w:rsidRPr="007E4C66">
        <w:rPr>
          <w:rStyle w:val="FootnoteReference"/>
          <w:sz w:val="26"/>
          <w:szCs w:val="26"/>
        </w:rPr>
        <w:footnoteReference w:id="21"/>
      </w:r>
      <w:r w:rsidR="000D07D3" w:rsidRPr="007E4C66">
        <w:rPr>
          <w:sz w:val="26"/>
          <w:szCs w:val="26"/>
        </w:rPr>
        <w:t xml:space="preserve"> </w:t>
      </w:r>
    </w:p>
    <w:p w14:paraId="4B3E3A85" w14:textId="1E70A219" w:rsidR="002318E7" w:rsidRPr="007E4C66" w:rsidRDefault="009B0465" w:rsidP="0033465C">
      <w:pPr>
        <w:rPr>
          <w:sz w:val="26"/>
          <w:szCs w:val="26"/>
        </w:rPr>
      </w:pPr>
      <w:r w:rsidRPr="007E4C66">
        <w:rPr>
          <w:sz w:val="26"/>
          <w:szCs w:val="26"/>
        </w:rPr>
        <w:t>The rule</w:t>
      </w:r>
      <w:r w:rsidR="00AE1EE3" w:rsidRPr="007E4C66">
        <w:rPr>
          <w:sz w:val="26"/>
          <w:szCs w:val="26"/>
        </w:rPr>
        <w:t xml:space="preserve"> </w:t>
      </w:r>
      <w:r w:rsidR="00223208" w:rsidRPr="007E4C66">
        <w:rPr>
          <w:sz w:val="26"/>
          <w:szCs w:val="26"/>
        </w:rPr>
        <w:t xml:space="preserve">reflects a </w:t>
      </w:r>
      <w:r w:rsidRPr="007E4C66">
        <w:rPr>
          <w:sz w:val="26"/>
          <w:szCs w:val="26"/>
        </w:rPr>
        <w:t xml:space="preserve">policy preference </w:t>
      </w:r>
      <w:r w:rsidR="00223208" w:rsidRPr="007E4C66">
        <w:rPr>
          <w:sz w:val="26"/>
          <w:szCs w:val="26"/>
        </w:rPr>
        <w:t xml:space="preserve">for specific consumables and industries. The rule provides a more generous de minimis exclusion </w:t>
      </w:r>
      <w:r w:rsidRPr="007E4C66">
        <w:rPr>
          <w:sz w:val="26"/>
          <w:szCs w:val="26"/>
        </w:rPr>
        <w:t xml:space="preserve">to </w:t>
      </w:r>
      <w:r w:rsidR="00223208" w:rsidRPr="007E4C66">
        <w:rPr>
          <w:sz w:val="26"/>
          <w:szCs w:val="26"/>
        </w:rPr>
        <w:t>transactions involving food, drugs, and certain medical equipment</w:t>
      </w:r>
      <w:r w:rsidR="00AE1EE3" w:rsidRPr="007E4C66">
        <w:rPr>
          <w:sz w:val="26"/>
          <w:szCs w:val="26"/>
        </w:rPr>
        <w:t>.</w:t>
      </w:r>
      <w:r w:rsidR="00223208" w:rsidRPr="007E4C66">
        <w:rPr>
          <w:sz w:val="26"/>
          <w:szCs w:val="26"/>
        </w:rPr>
        <w:t xml:space="preserve"> As a result, transactions involving these products are less likely to be treated as a bundle, and therefore less likely to be taxed on their entire value.</w:t>
      </w:r>
    </w:p>
    <w:p w14:paraId="548BEC18" w14:textId="42336930" w:rsidR="00823CC1" w:rsidRPr="007E4C66" w:rsidRDefault="00823CC1" w:rsidP="0033465C">
      <w:pPr>
        <w:rPr>
          <w:b/>
          <w:bCs/>
          <w:sz w:val="26"/>
          <w:szCs w:val="26"/>
        </w:rPr>
      </w:pPr>
      <w:r w:rsidRPr="007E4C66">
        <w:rPr>
          <w:b/>
          <w:bCs/>
          <w:sz w:val="26"/>
          <w:szCs w:val="26"/>
        </w:rPr>
        <w:t>Study group findings:</w:t>
      </w:r>
    </w:p>
    <w:p w14:paraId="32F4CDAC" w14:textId="5BADD287" w:rsidR="00823CC1" w:rsidRPr="007E4C66" w:rsidRDefault="00823CC1" w:rsidP="0033465C">
      <w:pPr>
        <w:rPr>
          <w:sz w:val="26"/>
          <w:szCs w:val="26"/>
        </w:rPr>
      </w:pPr>
      <w:r w:rsidRPr="007E4C66">
        <w:rPr>
          <w:sz w:val="26"/>
          <w:szCs w:val="26"/>
        </w:rPr>
        <w:t>The study group did not study this exclusion in detail. However, this exclusion will likely create valuation issues similar to the general de minimis exclusion.</w:t>
      </w:r>
    </w:p>
    <w:bookmarkEnd w:id="1"/>
    <w:p w14:paraId="3C8F8517" w14:textId="6503AAAE" w:rsidR="008D26B8" w:rsidRPr="008D26B8" w:rsidRDefault="00120ACA" w:rsidP="008D26B8">
      <w:pPr>
        <w:pStyle w:val="Heading1"/>
        <w:rPr>
          <w:szCs w:val="36"/>
        </w:rPr>
      </w:pPr>
      <w:r>
        <w:rPr>
          <w:szCs w:val="36"/>
        </w:rPr>
        <w:t>4</w:t>
      </w:r>
      <w:r w:rsidR="008D26B8" w:rsidRPr="008D26B8">
        <w:rPr>
          <w:szCs w:val="36"/>
        </w:rPr>
        <w:t>. Results of staff research into other state approaches</w:t>
      </w:r>
    </w:p>
    <w:p w14:paraId="4B3E3A86" w14:textId="113D30EC" w:rsidR="00E364CF" w:rsidRDefault="008D26B8" w:rsidP="00E364CF">
      <w:pPr>
        <w:pStyle w:val="Heading2"/>
      </w:pPr>
      <w:r>
        <w:t>A</w:t>
      </w:r>
      <w:r w:rsidR="00DD0DF4">
        <w:t xml:space="preserve">. </w:t>
      </w:r>
      <w:r w:rsidR="00AC56F9">
        <w:t xml:space="preserve">Colorado’s </w:t>
      </w:r>
      <w:r w:rsidR="00332ABE">
        <w:t>t</w:t>
      </w:r>
      <w:r w:rsidR="00AC56F9">
        <w:t>ake on Bundling</w:t>
      </w:r>
    </w:p>
    <w:p w14:paraId="05C1DA90" w14:textId="1AF2FC13" w:rsidR="00A93D5A" w:rsidRPr="007E4C66" w:rsidRDefault="00A93D5A" w:rsidP="00A93D5A">
      <w:pPr>
        <w:rPr>
          <w:sz w:val="26"/>
          <w:szCs w:val="26"/>
        </w:rPr>
      </w:pPr>
      <w:r w:rsidRPr="007E4C66">
        <w:rPr>
          <w:sz w:val="26"/>
          <w:szCs w:val="26"/>
        </w:rPr>
        <w:t>Colorado imposes tax on the entire price of a bundled transaction.</w:t>
      </w:r>
      <w:r w:rsidRPr="007E4C66">
        <w:rPr>
          <w:rStyle w:val="FootnoteReference"/>
          <w:sz w:val="26"/>
          <w:szCs w:val="26"/>
        </w:rPr>
        <w:footnoteReference w:id="22"/>
      </w:r>
      <w:r w:rsidRPr="007E4C66">
        <w:rPr>
          <w:sz w:val="26"/>
          <w:szCs w:val="26"/>
        </w:rPr>
        <w:t xml:space="preserve"> Colorado also provides that services that are otherwise excluded from sales tax are taxable if provided as part of a </w:t>
      </w:r>
      <w:r w:rsidR="00BC25D0" w:rsidRPr="007E4C66">
        <w:rPr>
          <w:sz w:val="26"/>
          <w:szCs w:val="26"/>
        </w:rPr>
        <w:t>“</w:t>
      </w:r>
      <w:r w:rsidRPr="007E4C66">
        <w:rPr>
          <w:sz w:val="26"/>
          <w:szCs w:val="26"/>
        </w:rPr>
        <w:t>mixed transaction</w:t>
      </w:r>
      <w:r w:rsidR="00BC25D0" w:rsidRPr="007E4C66">
        <w:rPr>
          <w:sz w:val="26"/>
          <w:szCs w:val="26"/>
        </w:rPr>
        <w:t>”</w:t>
      </w:r>
      <w:r w:rsidRPr="007E4C66">
        <w:rPr>
          <w:sz w:val="26"/>
          <w:szCs w:val="26"/>
        </w:rPr>
        <w:t xml:space="preserve"> that includes the sale of</w:t>
      </w:r>
      <w:r w:rsidR="003E394D" w:rsidRPr="007E4C66">
        <w:rPr>
          <w:sz w:val="26"/>
          <w:szCs w:val="26"/>
        </w:rPr>
        <w:t xml:space="preserve"> </w:t>
      </w:r>
      <w:r w:rsidRPr="007E4C66">
        <w:rPr>
          <w:sz w:val="26"/>
          <w:szCs w:val="26"/>
        </w:rPr>
        <w:t>TPP or taxable services.</w:t>
      </w:r>
      <w:r w:rsidRPr="007E4C66">
        <w:rPr>
          <w:rStyle w:val="FootnoteReference"/>
          <w:sz w:val="26"/>
          <w:szCs w:val="26"/>
        </w:rPr>
        <w:footnoteReference w:id="23"/>
      </w:r>
      <w:r w:rsidRPr="007E4C66">
        <w:rPr>
          <w:sz w:val="26"/>
          <w:szCs w:val="26"/>
        </w:rPr>
        <w:t xml:space="preserve"> Colorado law uses </w:t>
      </w:r>
      <w:r w:rsidRPr="007E4C66">
        <w:rPr>
          <w:sz w:val="26"/>
          <w:szCs w:val="26"/>
        </w:rPr>
        <w:lastRenderedPageBreak/>
        <w:t xml:space="preserve">the term “separable” for bundling analysis. This concept is from the </w:t>
      </w:r>
      <w:r w:rsidRPr="007E4C66">
        <w:rPr>
          <w:i/>
          <w:iCs/>
          <w:sz w:val="26"/>
          <w:szCs w:val="26"/>
        </w:rPr>
        <w:t>A.D. Store</w:t>
      </w:r>
      <w:r w:rsidRPr="007E4C66">
        <w:rPr>
          <w:sz w:val="26"/>
          <w:szCs w:val="26"/>
        </w:rPr>
        <w:t xml:space="preserve"> case.</w:t>
      </w:r>
      <w:r w:rsidRPr="007E4C66">
        <w:rPr>
          <w:sz w:val="26"/>
          <w:szCs w:val="26"/>
          <w:vertAlign w:val="superscript"/>
        </w:rPr>
        <w:footnoteReference w:id="24"/>
      </w:r>
      <w:r w:rsidRPr="007E4C66">
        <w:rPr>
          <w:sz w:val="26"/>
          <w:szCs w:val="26"/>
        </w:rPr>
        <w:t xml:space="preserve"> This is a similar concept to “distinct and identifiable” under Streamlined. Colorado Special Rule 18</w:t>
      </w:r>
      <w:r w:rsidRPr="007E4C66">
        <w:rPr>
          <w:rStyle w:val="FootnoteReference"/>
          <w:sz w:val="26"/>
          <w:szCs w:val="26"/>
        </w:rPr>
        <w:footnoteReference w:id="25"/>
      </w:r>
      <w:r w:rsidRPr="007E4C66">
        <w:rPr>
          <w:sz w:val="26"/>
          <w:szCs w:val="26"/>
        </w:rPr>
        <w:t xml:space="preserve"> states that transportation charges are not taxable if they are both separable and stated separately on a written invoice. In general, the Department requires the nontaxable items to be separately stated </w:t>
      </w:r>
      <w:r w:rsidR="00B101A2" w:rsidRPr="007E4C66">
        <w:rPr>
          <w:sz w:val="26"/>
          <w:szCs w:val="26"/>
        </w:rPr>
        <w:t xml:space="preserve">to the customer </w:t>
      </w:r>
      <w:r w:rsidRPr="007E4C66">
        <w:rPr>
          <w:sz w:val="26"/>
          <w:szCs w:val="26"/>
        </w:rPr>
        <w:t>to avoid tax if those items are separable.</w:t>
      </w:r>
    </w:p>
    <w:p w14:paraId="3A59B19C" w14:textId="653F3FB9" w:rsidR="00D47176" w:rsidRPr="007E4C66" w:rsidRDefault="00A93D5A" w:rsidP="005C46E9">
      <w:pPr>
        <w:rPr>
          <w:sz w:val="26"/>
          <w:szCs w:val="26"/>
        </w:rPr>
      </w:pPr>
      <w:r w:rsidRPr="007E4C66">
        <w:rPr>
          <w:sz w:val="26"/>
          <w:szCs w:val="26"/>
        </w:rPr>
        <w:t>Colorado Private Letter Ruling 23-004</w:t>
      </w:r>
      <w:r w:rsidR="00332ABE" w:rsidRPr="007E4C66">
        <w:rPr>
          <w:rStyle w:val="FootnoteReference"/>
          <w:sz w:val="26"/>
          <w:szCs w:val="26"/>
        </w:rPr>
        <w:footnoteReference w:id="26"/>
      </w:r>
      <w:r w:rsidRPr="007E4C66">
        <w:rPr>
          <w:sz w:val="26"/>
          <w:szCs w:val="26"/>
        </w:rPr>
        <w:t xml:space="preserve"> addresses the concept of separability. The ruling describes an item as separable if its nature remains the same whether it is contracted for as a part of the mixed transaction, or at a later time, and purchase of the item at a later time is possible.</w:t>
      </w:r>
      <w:r w:rsidRPr="007E4C66">
        <w:rPr>
          <w:rStyle w:val="FootnoteReference"/>
          <w:sz w:val="26"/>
          <w:szCs w:val="26"/>
        </w:rPr>
        <w:footnoteReference w:id="27"/>
      </w:r>
      <w:r w:rsidRPr="007E4C66">
        <w:rPr>
          <w:sz w:val="26"/>
          <w:szCs w:val="26"/>
        </w:rPr>
        <w:t xml:space="preserve"> The ruling addressed travel experience packages that were sold for a fixed price. The ruling turned on the fact that the seller did not market or sell the parts of the package separately. The Department determined this meant the elements were not separable. Because the items were not separable, the true object test applied rather than the bundling treatment. The Department then determined the true object of the transaction was the travel experience.</w:t>
      </w:r>
    </w:p>
    <w:p w14:paraId="46D87EAE" w14:textId="10B36D23" w:rsidR="00A93D5A" w:rsidRDefault="008D26B8" w:rsidP="007E6ADF">
      <w:pPr>
        <w:pStyle w:val="Heading2"/>
      </w:pPr>
      <w:r>
        <w:t>B</w:t>
      </w:r>
      <w:r w:rsidR="007E6ADF">
        <w:t xml:space="preserve">. </w:t>
      </w:r>
      <w:r w:rsidR="00AC56F9">
        <w:t>Other State Treatment</w:t>
      </w:r>
    </w:p>
    <w:p w14:paraId="500CE869" w14:textId="7FC8A5ED" w:rsidR="001D4A16" w:rsidRPr="007E4C66" w:rsidRDefault="00F21DB9" w:rsidP="002718DB">
      <w:pPr>
        <w:rPr>
          <w:sz w:val="26"/>
          <w:szCs w:val="26"/>
        </w:rPr>
      </w:pPr>
      <w:r w:rsidRPr="007E4C66">
        <w:rPr>
          <w:sz w:val="26"/>
          <w:szCs w:val="26"/>
        </w:rPr>
        <w:t xml:space="preserve">Bundling involves distinct and identifiable </w:t>
      </w:r>
      <w:r w:rsidR="00F33DBC" w:rsidRPr="007E4C66">
        <w:rPr>
          <w:sz w:val="26"/>
          <w:szCs w:val="26"/>
        </w:rPr>
        <w:t>products</w:t>
      </w:r>
      <w:r w:rsidRPr="007E4C66">
        <w:rPr>
          <w:sz w:val="26"/>
          <w:szCs w:val="26"/>
        </w:rPr>
        <w:t xml:space="preserve">, sometimes referred to as separable </w:t>
      </w:r>
      <w:r w:rsidR="00F33DBC" w:rsidRPr="007E4C66">
        <w:rPr>
          <w:sz w:val="26"/>
          <w:szCs w:val="26"/>
        </w:rPr>
        <w:t>products</w:t>
      </w:r>
      <w:r w:rsidRPr="007E4C66">
        <w:rPr>
          <w:sz w:val="26"/>
          <w:szCs w:val="26"/>
        </w:rPr>
        <w:t xml:space="preserve">. </w:t>
      </w:r>
      <w:r w:rsidR="00332ABE" w:rsidRPr="007E4C66">
        <w:rPr>
          <w:sz w:val="26"/>
          <w:szCs w:val="26"/>
        </w:rPr>
        <w:t>However, some state rules apply</w:t>
      </w:r>
      <w:r w:rsidR="00A112B6" w:rsidRPr="007E4C66">
        <w:rPr>
          <w:sz w:val="26"/>
          <w:szCs w:val="26"/>
        </w:rPr>
        <w:t xml:space="preserve"> in cases where the components are not separable</w:t>
      </w:r>
      <w:r w:rsidR="004057AD" w:rsidRPr="007E4C66">
        <w:rPr>
          <w:sz w:val="26"/>
          <w:szCs w:val="26"/>
        </w:rPr>
        <w:t>, while others</w:t>
      </w:r>
      <w:r w:rsidR="00B32160" w:rsidRPr="007E4C66">
        <w:rPr>
          <w:sz w:val="26"/>
          <w:szCs w:val="26"/>
        </w:rPr>
        <w:t xml:space="preserve"> </w:t>
      </w:r>
      <w:r w:rsidR="00A112B6" w:rsidRPr="007E4C66">
        <w:rPr>
          <w:sz w:val="26"/>
          <w:szCs w:val="26"/>
        </w:rPr>
        <w:t xml:space="preserve">do not </w:t>
      </w:r>
      <w:r w:rsidR="004057AD" w:rsidRPr="007E4C66">
        <w:rPr>
          <w:sz w:val="26"/>
          <w:szCs w:val="26"/>
        </w:rPr>
        <w:t>distinguish</w:t>
      </w:r>
      <w:r w:rsidR="00A112B6" w:rsidRPr="007E4C66">
        <w:rPr>
          <w:sz w:val="26"/>
          <w:szCs w:val="26"/>
        </w:rPr>
        <w:t xml:space="preserve"> between separable and inseparable components.</w:t>
      </w:r>
      <w:r w:rsidR="00A440D1" w:rsidRPr="007E4C66">
        <w:rPr>
          <w:rStyle w:val="FootnoteReference"/>
          <w:sz w:val="26"/>
          <w:szCs w:val="26"/>
        </w:rPr>
        <w:footnoteReference w:id="28"/>
      </w:r>
    </w:p>
    <w:p w14:paraId="4B3E3A88" w14:textId="1E057D0A" w:rsidR="00E364CF" w:rsidRDefault="00317E10" w:rsidP="00C55420">
      <w:pPr>
        <w:pStyle w:val="Heading2"/>
        <w:numPr>
          <w:ilvl w:val="0"/>
          <w:numId w:val="1"/>
        </w:numPr>
        <w:rPr>
          <w:rStyle w:val="Heading3Char"/>
        </w:rPr>
      </w:pPr>
      <w:r>
        <w:rPr>
          <w:rStyle w:val="Heading3Char"/>
        </w:rPr>
        <w:t>The role of sales price</w:t>
      </w:r>
    </w:p>
    <w:p w14:paraId="68E00143" w14:textId="4E76235F" w:rsidR="00786D66" w:rsidRPr="007E4C66" w:rsidRDefault="00317E10" w:rsidP="00207DE5">
      <w:pPr>
        <w:rPr>
          <w:sz w:val="26"/>
          <w:szCs w:val="26"/>
        </w:rPr>
      </w:pPr>
      <w:r w:rsidRPr="007E4C66">
        <w:rPr>
          <w:sz w:val="26"/>
          <w:szCs w:val="26"/>
        </w:rPr>
        <w:t xml:space="preserve">Many states address </w:t>
      </w:r>
      <w:r w:rsidR="00C57020" w:rsidRPr="007E4C66">
        <w:rPr>
          <w:sz w:val="26"/>
          <w:szCs w:val="26"/>
        </w:rPr>
        <w:t xml:space="preserve">the issue raised by </w:t>
      </w:r>
      <w:r w:rsidR="00855C55" w:rsidRPr="007E4C66">
        <w:rPr>
          <w:sz w:val="26"/>
          <w:szCs w:val="26"/>
        </w:rPr>
        <w:t xml:space="preserve">the </w:t>
      </w:r>
      <w:r w:rsidR="00C0484A" w:rsidRPr="007E4C66">
        <w:rPr>
          <w:sz w:val="26"/>
          <w:szCs w:val="26"/>
        </w:rPr>
        <w:t>mixing of taxable and nontaxable components</w:t>
      </w:r>
      <w:r w:rsidR="00E5551B" w:rsidRPr="007E4C66">
        <w:rPr>
          <w:sz w:val="26"/>
          <w:szCs w:val="26"/>
        </w:rPr>
        <w:t xml:space="preserve"> by relying</w:t>
      </w:r>
      <w:r w:rsidR="00B526C8" w:rsidRPr="007E4C66">
        <w:rPr>
          <w:sz w:val="26"/>
          <w:szCs w:val="26"/>
        </w:rPr>
        <w:t xml:space="preserve"> on the definition of “sales price” or an equivalent term</w:t>
      </w:r>
      <w:r w:rsidR="00BE5479" w:rsidRPr="007E4C66">
        <w:rPr>
          <w:sz w:val="26"/>
          <w:szCs w:val="26"/>
        </w:rPr>
        <w:t>.</w:t>
      </w:r>
      <w:r w:rsidR="00786D66" w:rsidRPr="007E4C66">
        <w:rPr>
          <w:sz w:val="26"/>
          <w:szCs w:val="26"/>
        </w:rPr>
        <w:t xml:space="preserve"> </w:t>
      </w:r>
    </w:p>
    <w:p w14:paraId="516CC147" w14:textId="475A7326" w:rsidR="00786D66" w:rsidRPr="007E4C66" w:rsidRDefault="00786D66" w:rsidP="00207DE5">
      <w:pPr>
        <w:rPr>
          <w:sz w:val="26"/>
          <w:szCs w:val="26"/>
        </w:rPr>
      </w:pPr>
      <w:r w:rsidRPr="007E4C66">
        <w:rPr>
          <w:b/>
          <w:bCs/>
          <w:sz w:val="26"/>
          <w:szCs w:val="26"/>
        </w:rPr>
        <w:t>Florida</w:t>
      </w:r>
    </w:p>
    <w:p w14:paraId="4B3E3A89" w14:textId="2440C8CE" w:rsidR="00207DE5" w:rsidRPr="007E4C66" w:rsidRDefault="00BE5479" w:rsidP="00207DE5">
      <w:pPr>
        <w:rPr>
          <w:sz w:val="26"/>
          <w:szCs w:val="26"/>
        </w:rPr>
      </w:pPr>
      <w:r w:rsidRPr="007E4C66">
        <w:rPr>
          <w:sz w:val="26"/>
          <w:szCs w:val="26"/>
        </w:rPr>
        <w:t xml:space="preserve">A </w:t>
      </w:r>
      <w:r w:rsidR="005E2312" w:rsidRPr="007E4C66">
        <w:rPr>
          <w:sz w:val="26"/>
          <w:szCs w:val="26"/>
        </w:rPr>
        <w:t>straightforward</w:t>
      </w:r>
      <w:r w:rsidRPr="007E4C66">
        <w:rPr>
          <w:sz w:val="26"/>
          <w:szCs w:val="26"/>
        </w:rPr>
        <w:t xml:space="preserve"> example of this is</w:t>
      </w:r>
      <w:r w:rsidR="00FA30BB" w:rsidRPr="007E4C66">
        <w:rPr>
          <w:sz w:val="26"/>
          <w:szCs w:val="26"/>
        </w:rPr>
        <w:t xml:space="preserve"> Florida’s definition of “sales price”</w:t>
      </w:r>
      <w:r w:rsidR="00607030" w:rsidRPr="007E4C66">
        <w:rPr>
          <w:sz w:val="26"/>
          <w:szCs w:val="26"/>
        </w:rPr>
        <w:t xml:space="preserve"> as the total amount paid, including any services that are part of the sale.</w:t>
      </w:r>
      <w:r w:rsidR="00317E10" w:rsidRPr="007E4C66">
        <w:rPr>
          <w:rStyle w:val="FootnoteReference"/>
          <w:sz w:val="26"/>
          <w:szCs w:val="26"/>
        </w:rPr>
        <w:footnoteReference w:id="29"/>
      </w:r>
      <w:r w:rsidR="00972F51" w:rsidRPr="007E4C66">
        <w:rPr>
          <w:sz w:val="26"/>
          <w:szCs w:val="26"/>
        </w:rPr>
        <w:t xml:space="preserve"> </w:t>
      </w:r>
      <w:r w:rsidR="005E2312" w:rsidRPr="007E4C66">
        <w:rPr>
          <w:sz w:val="26"/>
          <w:szCs w:val="26"/>
        </w:rPr>
        <w:t>Florida</w:t>
      </w:r>
      <w:r w:rsidR="00972F51" w:rsidRPr="007E4C66">
        <w:rPr>
          <w:sz w:val="26"/>
          <w:szCs w:val="26"/>
        </w:rPr>
        <w:t>’s law</w:t>
      </w:r>
      <w:r w:rsidR="005E2312" w:rsidRPr="007E4C66">
        <w:rPr>
          <w:sz w:val="26"/>
          <w:szCs w:val="26"/>
        </w:rPr>
        <w:t xml:space="preserve"> </w:t>
      </w:r>
      <w:r w:rsidR="004B360C" w:rsidRPr="007E4C66">
        <w:rPr>
          <w:sz w:val="26"/>
          <w:szCs w:val="26"/>
        </w:rPr>
        <w:t>then</w:t>
      </w:r>
      <w:r w:rsidR="005E2312" w:rsidRPr="007E4C66">
        <w:rPr>
          <w:sz w:val="26"/>
          <w:szCs w:val="26"/>
        </w:rPr>
        <w:t xml:space="preserve"> </w:t>
      </w:r>
      <w:r w:rsidR="00AD3F04" w:rsidRPr="007E4C66">
        <w:rPr>
          <w:sz w:val="26"/>
          <w:szCs w:val="26"/>
        </w:rPr>
        <w:t xml:space="preserve">excludes </w:t>
      </w:r>
      <w:r w:rsidR="004B360C" w:rsidRPr="007E4C66">
        <w:rPr>
          <w:sz w:val="26"/>
          <w:szCs w:val="26"/>
        </w:rPr>
        <w:t>from tax</w:t>
      </w:r>
      <w:r w:rsidR="009C7A50" w:rsidRPr="007E4C66">
        <w:rPr>
          <w:sz w:val="26"/>
          <w:szCs w:val="26"/>
        </w:rPr>
        <w:t xml:space="preserve"> </w:t>
      </w:r>
      <w:r w:rsidR="009C7A50" w:rsidRPr="007E4C66">
        <w:rPr>
          <w:sz w:val="26"/>
          <w:szCs w:val="26"/>
        </w:rPr>
        <w:lastRenderedPageBreak/>
        <w:t xml:space="preserve">professional or personal services transactions involving taxable sales </w:t>
      </w:r>
      <w:r w:rsidR="004B360C" w:rsidRPr="007E4C66">
        <w:rPr>
          <w:sz w:val="26"/>
          <w:szCs w:val="26"/>
        </w:rPr>
        <w:t xml:space="preserve">that are </w:t>
      </w:r>
      <w:r w:rsidR="00B367F5" w:rsidRPr="007E4C66">
        <w:rPr>
          <w:sz w:val="26"/>
          <w:szCs w:val="26"/>
        </w:rPr>
        <w:t xml:space="preserve">inconsequential and </w:t>
      </w:r>
      <w:r w:rsidR="004B360C" w:rsidRPr="007E4C66">
        <w:rPr>
          <w:sz w:val="26"/>
          <w:szCs w:val="26"/>
        </w:rPr>
        <w:t>not separately stated.</w:t>
      </w:r>
      <w:r w:rsidR="00821E6C" w:rsidRPr="007E4C66">
        <w:rPr>
          <w:rStyle w:val="FootnoteReference"/>
          <w:sz w:val="26"/>
          <w:szCs w:val="26"/>
        </w:rPr>
        <w:footnoteReference w:id="30"/>
      </w:r>
    </w:p>
    <w:p w14:paraId="4B3E3A8A" w14:textId="2D52B2D4" w:rsidR="003375CD" w:rsidRPr="007E4C66" w:rsidRDefault="00317E10" w:rsidP="00207DE5">
      <w:pPr>
        <w:rPr>
          <w:sz w:val="26"/>
          <w:szCs w:val="26"/>
        </w:rPr>
      </w:pPr>
      <w:r w:rsidRPr="007E4C66">
        <w:rPr>
          <w:sz w:val="26"/>
          <w:szCs w:val="26"/>
        </w:rPr>
        <w:t>Taken together, th</w:t>
      </w:r>
      <w:r w:rsidR="00DF247C" w:rsidRPr="007E4C66">
        <w:rPr>
          <w:sz w:val="26"/>
          <w:szCs w:val="26"/>
        </w:rPr>
        <w:t>e</w:t>
      </w:r>
      <w:r w:rsidR="00E9773B" w:rsidRPr="007E4C66">
        <w:rPr>
          <w:sz w:val="26"/>
          <w:szCs w:val="26"/>
        </w:rPr>
        <w:t>se</w:t>
      </w:r>
      <w:r w:rsidR="00DF247C" w:rsidRPr="007E4C66">
        <w:rPr>
          <w:sz w:val="26"/>
          <w:szCs w:val="26"/>
        </w:rPr>
        <w:t xml:space="preserve"> two provisions </w:t>
      </w:r>
      <w:r w:rsidR="00D64D0D" w:rsidRPr="007E4C66">
        <w:rPr>
          <w:sz w:val="26"/>
          <w:szCs w:val="26"/>
        </w:rPr>
        <w:t>from Florida’s law</w:t>
      </w:r>
      <w:r w:rsidRPr="007E4C66">
        <w:rPr>
          <w:sz w:val="26"/>
          <w:szCs w:val="26"/>
        </w:rPr>
        <w:t xml:space="preserve"> create a rule</w:t>
      </w:r>
      <w:r w:rsidR="00494EDC" w:rsidRPr="007E4C66">
        <w:rPr>
          <w:sz w:val="26"/>
          <w:szCs w:val="26"/>
        </w:rPr>
        <w:t xml:space="preserve"> under which any transaction that includes taxable TPP is taxable on the entire amount charged, regardless of the inclusion of nontaxable services</w:t>
      </w:r>
      <w:r w:rsidR="00633C67" w:rsidRPr="007E4C66">
        <w:rPr>
          <w:sz w:val="26"/>
          <w:szCs w:val="26"/>
        </w:rPr>
        <w:t>, unless those services are both inconsequential and separately stated.</w:t>
      </w:r>
      <w:r w:rsidR="000F6510" w:rsidRPr="007E4C66">
        <w:rPr>
          <w:sz w:val="26"/>
          <w:szCs w:val="26"/>
        </w:rPr>
        <w:t xml:space="preserve"> Other states rely on similar language.</w:t>
      </w:r>
      <w:r w:rsidR="000F6510" w:rsidRPr="007E4C66">
        <w:rPr>
          <w:rStyle w:val="FootnoteReference"/>
          <w:sz w:val="26"/>
          <w:szCs w:val="26"/>
        </w:rPr>
        <w:footnoteReference w:id="31"/>
      </w:r>
    </w:p>
    <w:p w14:paraId="4E2CB60F" w14:textId="71C64C86" w:rsidR="00786D66" w:rsidRPr="007E4C66" w:rsidRDefault="00786D66" w:rsidP="00207DE5">
      <w:pPr>
        <w:rPr>
          <w:b/>
          <w:bCs/>
          <w:sz w:val="26"/>
          <w:szCs w:val="26"/>
        </w:rPr>
      </w:pPr>
      <w:r w:rsidRPr="007E4C66">
        <w:rPr>
          <w:b/>
          <w:bCs/>
          <w:sz w:val="26"/>
          <w:szCs w:val="26"/>
        </w:rPr>
        <w:t>Idaho</w:t>
      </w:r>
    </w:p>
    <w:p w14:paraId="4B3E3A8B" w14:textId="77777777" w:rsidR="00287D3D" w:rsidRPr="007E4C66" w:rsidRDefault="00317E10" w:rsidP="00207DE5">
      <w:pPr>
        <w:rPr>
          <w:sz w:val="26"/>
          <w:szCs w:val="26"/>
        </w:rPr>
      </w:pPr>
      <w:r w:rsidRPr="007E4C66">
        <w:rPr>
          <w:sz w:val="26"/>
          <w:szCs w:val="26"/>
        </w:rPr>
        <w:t xml:space="preserve">Idaho </w:t>
      </w:r>
      <w:r w:rsidR="00B02795" w:rsidRPr="007E4C66">
        <w:rPr>
          <w:sz w:val="26"/>
          <w:szCs w:val="26"/>
        </w:rPr>
        <w:t>has adopted a</w:t>
      </w:r>
      <w:r w:rsidRPr="007E4C66">
        <w:rPr>
          <w:sz w:val="26"/>
          <w:szCs w:val="26"/>
        </w:rPr>
        <w:t xml:space="preserve"> regulation under the</w:t>
      </w:r>
      <w:r w:rsidR="00B02795" w:rsidRPr="007E4C66">
        <w:rPr>
          <w:sz w:val="26"/>
          <w:szCs w:val="26"/>
        </w:rPr>
        <w:t>ir</w:t>
      </w:r>
      <w:r w:rsidRPr="007E4C66">
        <w:rPr>
          <w:sz w:val="26"/>
          <w:szCs w:val="26"/>
        </w:rPr>
        <w:t xml:space="preserve"> statutory definitions of “retail sale,” “sale,” and “sales price.”</w:t>
      </w:r>
      <w:r w:rsidRPr="007E4C66">
        <w:rPr>
          <w:rStyle w:val="FootnoteReference"/>
          <w:sz w:val="26"/>
          <w:szCs w:val="26"/>
        </w:rPr>
        <w:footnoteReference w:id="32"/>
      </w:r>
      <w:r w:rsidRPr="007E4C66">
        <w:rPr>
          <w:sz w:val="26"/>
          <w:szCs w:val="26"/>
        </w:rPr>
        <w:t xml:space="preserve"> </w:t>
      </w:r>
      <w:r w:rsidR="008D5A06" w:rsidRPr="007E4C66">
        <w:rPr>
          <w:sz w:val="26"/>
          <w:szCs w:val="26"/>
        </w:rPr>
        <w:t xml:space="preserve">The rule provides that when a sale of TPP includes incidental services, </w:t>
      </w:r>
      <w:r w:rsidR="0054744C" w:rsidRPr="007E4C66">
        <w:rPr>
          <w:sz w:val="26"/>
          <w:szCs w:val="26"/>
        </w:rPr>
        <w:t>sales tax applies to the entire amount charged.</w:t>
      </w:r>
      <w:r w:rsidR="008F2586" w:rsidRPr="007E4C66">
        <w:rPr>
          <w:sz w:val="26"/>
          <w:szCs w:val="26"/>
        </w:rPr>
        <w:t xml:space="preserve"> The rule further provides that if </w:t>
      </w:r>
      <w:r w:rsidR="00515E9C" w:rsidRPr="007E4C66">
        <w:rPr>
          <w:sz w:val="26"/>
          <w:szCs w:val="26"/>
        </w:rPr>
        <w:t xml:space="preserve">a service transaction includes incidental </w:t>
      </w:r>
      <w:r w:rsidR="008F2586" w:rsidRPr="007E4C66">
        <w:rPr>
          <w:sz w:val="26"/>
          <w:szCs w:val="26"/>
        </w:rPr>
        <w:t>TPP, the transaction is not taxable</w:t>
      </w:r>
      <w:r w:rsidR="00515E9C" w:rsidRPr="007E4C66">
        <w:rPr>
          <w:sz w:val="26"/>
          <w:szCs w:val="26"/>
        </w:rPr>
        <w:t>. The rule provides</w:t>
      </w:r>
      <w:r w:rsidR="00EC700D" w:rsidRPr="007E4C66">
        <w:rPr>
          <w:sz w:val="26"/>
          <w:szCs w:val="26"/>
        </w:rPr>
        <w:t xml:space="preserve"> that the test is whether the </w:t>
      </w:r>
      <w:r w:rsidR="009629E4" w:rsidRPr="007E4C66">
        <w:rPr>
          <w:sz w:val="26"/>
          <w:szCs w:val="26"/>
        </w:rPr>
        <w:t>service involved is consequential or inconsequential.</w:t>
      </w:r>
    </w:p>
    <w:p w14:paraId="4B3E3A8C" w14:textId="71E49FE5" w:rsidR="000656D3" w:rsidRPr="008A4DAD" w:rsidRDefault="005A6D92" w:rsidP="00C55420">
      <w:pPr>
        <w:pStyle w:val="Heading2"/>
        <w:numPr>
          <w:ilvl w:val="0"/>
          <w:numId w:val="1"/>
        </w:numPr>
        <w:rPr>
          <w:sz w:val="28"/>
          <w:szCs w:val="28"/>
        </w:rPr>
      </w:pPr>
      <w:r>
        <w:rPr>
          <w:rStyle w:val="Heading3Char"/>
        </w:rPr>
        <w:t xml:space="preserve">Rules not based on </w:t>
      </w:r>
      <w:r w:rsidR="004B3FED">
        <w:rPr>
          <w:rStyle w:val="Heading3Char"/>
        </w:rPr>
        <w:t>sales price</w:t>
      </w:r>
    </w:p>
    <w:p w14:paraId="4B3E3A90" w14:textId="77777777" w:rsidR="006025E9" w:rsidRPr="007E4C66" w:rsidRDefault="00317E10" w:rsidP="00836A73">
      <w:pPr>
        <w:rPr>
          <w:b/>
          <w:bCs/>
          <w:sz w:val="26"/>
          <w:szCs w:val="26"/>
        </w:rPr>
      </w:pPr>
      <w:r w:rsidRPr="007E4C66">
        <w:rPr>
          <w:b/>
          <w:bCs/>
          <w:sz w:val="26"/>
          <w:szCs w:val="26"/>
        </w:rPr>
        <w:t>Arizona</w:t>
      </w:r>
    </w:p>
    <w:p w14:paraId="4B3E3A92" w14:textId="6055CCCC" w:rsidR="00F27373" w:rsidRPr="007E4C66" w:rsidRDefault="00317E10" w:rsidP="00836A73">
      <w:pPr>
        <w:rPr>
          <w:sz w:val="26"/>
          <w:szCs w:val="26"/>
        </w:rPr>
      </w:pPr>
      <w:r w:rsidRPr="007E4C66">
        <w:rPr>
          <w:sz w:val="26"/>
          <w:szCs w:val="26"/>
        </w:rPr>
        <w:t>In Arizona,</w:t>
      </w:r>
      <w:r w:rsidR="00AF71B1" w:rsidRPr="007E4C66">
        <w:rPr>
          <w:rFonts w:ascii="Calibri" w:eastAsia="Times New Roman" w:hAnsi="Calibri" w:cs="Calibri"/>
          <w:color w:val="000000"/>
          <w:kern w:val="0"/>
          <w:sz w:val="26"/>
          <w:szCs w:val="26"/>
          <w14:ligatures w14:val="none"/>
        </w:rPr>
        <w:t xml:space="preserve"> </w:t>
      </w:r>
      <w:r w:rsidR="00AF71B1" w:rsidRPr="007E4C66">
        <w:rPr>
          <w:sz w:val="26"/>
          <w:szCs w:val="26"/>
        </w:rPr>
        <w:t xml:space="preserve">TPP and services that are transferred together for a single, non-segregated price are taxable on the entire amount charged, if the </w:t>
      </w:r>
      <w:r w:rsidR="00C4321F" w:rsidRPr="007E4C66">
        <w:rPr>
          <w:sz w:val="26"/>
          <w:szCs w:val="26"/>
        </w:rPr>
        <w:t>TPP</w:t>
      </w:r>
      <w:r w:rsidR="00AF71B1" w:rsidRPr="007E4C66">
        <w:rPr>
          <w:sz w:val="26"/>
          <w:szCs w:val="26"/>
        </w:rPr>
        <w:t xml:space="preserve"> is a consequential element of the transaction.</w:t>
      </w:r>
      <w:r w:rsidRPr="007E4C66">
        <w:rPr>
          <w:rStyle w:val="FootnoteReference"/>
          <w:sz w:val="26"/>
          <w:szCs w:val="26"/>
        </w:rPr>
        <w:footnoteReference w:id="33"/>
      </w:r>
      <w:r w:rsidR="00435649" w:rsidRPr="007E4C66">
        <w:rPr>
          <w:sz w:val="26"/>
          <w:szCs w:val="26"/>
        </w:rPr>
        <w:t xml:space="preserve"> </w:t>
      </w:r>
      <w:r w:rsidR="00EC77FD" w:rsidRPr="007E4C66">
        <w:rPr>
          <w:sz w:val="26"/>
          <w:szCs w:val="26"/>
        </w:rPr>
        <w:t xml:space="preserve">Arizona also provides that </w:t>
      </w:r>
      <w:r w:rsidR="00EB37AC" w:rsidRPr="007E4C66">
        <w:rPr>
          <w:sz w:val="26"/>
          <w:szCs w:val="26"/>
        </w:rPr>
        <w:t>whe</w:t>
      </w:r>
      <w:r w:rsidR="00332ABE" w:rsidRPr="007E4C66">
        <w:rPr>
          <w:sz w:val="26"/>
          <w:szCs w:val="26"/>
        </w:rPr>
        <w:t>n</w:t>
      </w:r>
      <w:r w:rsidR="00EB37AC" w:rsidRPr="007E4C66">
        <w:rPr>
          <w:sz w:val="26"/>
          <w:szCs w:val="26"/>
        </w:rPr>
        <w:t xml:space="preserve"> the TPP is an inconsequential element of rendering </w:t>
      </w:r>
      <w:r w:rsidR="00332ABE" w:rsidRPr="007E4C66">
        <w:rPr>
          <w:sz w:val="26"/>
          <w:szCs w:val="26"/>
        </w:rPr>
        <w:t>a</w:t>
      </w:r>
      <w:r w:rsidR="00EB37AC" w:rsidRPr="007E4C66">
        <w:rPr>
          <w:sz w:val="26"/>
          <w:szCs w:val="26"/>
        </w:rPr>
        <w:t xml:space="preserve"> nontaxable service, then the entire amount is not taxed.</w:t>
      </w:r>
      <w:r w:rsidRPr="007E4C66">
        <w:rPr>
          <w:rStyle w:val="FootnoteReference"/>
          <w:sz w:val="26"/>
          <w:szCs w:val="26"/>
        </w:rPr>
        <w:footnoteReference w:id="34"/>
      </w:r>
      <w:r w:rsidR="00A30082" w:rsidRPr="007E4C66">
        <w:rPr>
          <w:sz w:val="26"/>
          <w:szCs w:val="26"/>
        </w:rPr>
        <w:t xml:space="preserve"> T</w:t>
      </w:r>
      <w:r w:rsidR="00374396" w:rsidRPr="007E4C66">
        <w:rPr>
          <w:sz w:val="26"/>
          <w:szCs w:val="26"/>
        </w:rPr>
        <w:t xml:space="preserve">o qualify as an “inconsequential element:” (1) the amount paid by the </w:t>
      </w:r>
      <w:r w:rsidR="00184B50" w:rsidRPr="007E4C66">
        <w:rPr>
          <w:sz w:val="26"/>
          <w:szCs w:val="26"/>
        </w:rPr>
        <w:t>service provider for the TPP must be less than 15</w:t>
      </w:r>
      <w:r w:rsidR="006136B8" w:rsidRPr="007E4C66">
        <w:rPr>
          <w:sz w:val="26"/>
          <w:szCs w:val="26"/>
        </w:rPr>
        <w:t xml:space="preserve"> percent</w:t>
      </w:r>
      <w:r w:rsidR="00184B50" w:rsidRPr="007E4C66">
        <w:rPr>
          <w:sz w:val="26"/>
          <w:szCs w:val="26"/>
        </w:rPr>
        <w:t xml:space="preserve"> of the amount charged by the service provider for their service; </w:t>
      </w:r>
      <w:r w:rsidR="00E9773B" w:rsidRPr="007E4C66">
        <w:rPr>
          <w:sz w:val="26"/>
          <w:szCs w:val="26"/>
        </w:rPr>
        <w:t xml:space="preserve">(2) </w:t>
      </w:r>
      <w:r w:rsidR="00184B50" w:rsidRPr="007E4C66">
        <w:rPr>
          <w:sz w:val="26"/>
          <w:szCs w:val="26"/>
        </w:rPr>
        <w:t>the TPP must not be in a form that is subject to retail sale; and (3)</w:t>
      </w:r>
      <w:r w:rsidR="009870EC" w:rsidRPr="007E4C66">
        <w:rPr>
          <w:sz w:val="26"/>
          <w:szCs w:val="26"/>
        </w:rPr>
        <w:t xml:space="preserve"> there is no separately stated charge for the TPP.</w:t>
      </w:r>
      <w:r w:rsidRPr="007E4C66">
        <w:rPr>
          <w:rStyle w:val="FootnoteReference"/>
          <w:sz w:val="26"/>
          <w:szCs w:val="26"/>
        </w:rPr>
        <w:footnoteReference w:id="35"/>
      </w:r>
    </w:p>
    <w:p w14:paraId="481B0928" w14:textId="1A465E82" w:rsidR="00830A7F" w:rsidRPr="007E4C66" w:rsidRDefault="00830A7F" w:rsidP="00836A73">
      <w:pPr>
        <w:rPr>
          <w:b/>
          <w:bCs/>
          <w:sz w:val="26"/>
          <w:szCs w:val="26"/>
        </w:rPr>
      </w:pPr>
      <w:r w:rsidRPr="007E4C66">
        <w:rPr>
          <w:b/>
          <w:bCs/>
          <w:sz w:val="26"/>
          <w:szCs w:val="26"/>
        </w:rPr>
        <w:t xml:space="preserve">California </w:t>
      </w:r>
      <w:r w:rsidR="008E18DE" w:rsidRPr="007E4C66">
        <w:rPr>
          <w:b/>
          <w:bCs/>
          <w:sz w:val="26"/>
          <w:szCs w:val="26"/>
        </w:rPr>
        <w:t>–</w:t>
      </w:r>
      <w:r w:rsidRPr="007E4C66">
        <w:rPr>
          <w:b/>
          <w:bCs/>
          <w:sz w:val="26"/>
          <w:szCs w:val="26"/>
        </w:rPr>
        <w:t xml:space="preserve"> </w:t>
      </w:r>
      <w:r w:rsidR="008E18DE" w:rsidRPr="007E4C66">
        <w:rPr>
          <w:b/>
          <w:bCs/>
          <w:sz w:val="26"/>
          <w:szCs w:val="26"/>
        </w:rPr>
        <w:t>subject matter specific rules</w:t>
      </w:r>
    </w:p>
    <w:p w14:paraId="434394A6" w14:textId="5221A854" w:rsidR="00830A7F" w:rsidRPr="007E4C66" w:rsidRDefault="00680084" w:rsidP="00830A7F">
      <w:pPr>
        <w:rPr>
          <w:sz w:val="26"/>
          <w:szCs w:val="26"/>
        </w:rPr>
      </w:pPr>
      <w:r w:rsidRPr="007E4C66">
        <w:rPr>
          <w:i/>
          <w:iCs/>
          <w:sz w:val="26"/>
          <w:szCs w:val="26"/>
        </w:rPr>
        <w:t>For newspapers and periodicals:</w:t>
      </w:r>
      <w:r w:rsidRPr="007E4C66">
        <w:rPr>
          <w:sz w:val="26"/>
          <w:szCs w:val="26"/>
        </w:rPr>
        <w:t xml:space="preserve"> </w:t>
      </w:r>
      <w:r w:rsidR="008E18DE" w:rsidRPr="007E4C66">
        <w:rPr>
          <w:sz w:val="26"/>
          <w:szCs w:val="26"/>
        </w:rPr>
        <w:t xml:space="preserve">California regulations </w:t>
      </w:r>
      <w:r w:rsidR="00830A7F" w:rsidRPr="007E4C66">
        <w:rPr>
          <w:sz w:val="26"/>
          <w:szCs w:val="26"/>
        </w:rPr>
        <w:t xml:space="preserve">define the term </w:t>
      </w:r>
      <w:r w:rsidR="002905C2" w:rsidRPr="007E4C66">
        <w:rPr>
          <w:sz w:val="26"/>
          <w:szCs w:val="26"/>
        </w:rPr>
        <w:t>“</w:t>
      </w:r>
      <w:r w:rsidR="00830A7F" w:rsidRPr="007E4C66">
        <w:rPr>
          <w:sz w:val="26"/>
          <w:szCs w:val="26"/>
        </w:rPr>
        <w:t>mixed newspaper subscription</w:t>
      </w:r>
      <w:r w:rsidR="002905C2" w:rsidRPr="007E4C66">
        <w:rPr>
          <w:sz w:val="26"/>
          <w:szCs w:val="26"/>
        </w:rPr>
        <w:t>”</w:t>
      </w:r>
      <w:r w:rsidR="00BD7374" w:rsidRPr="007E4C66">
        <w:rPr>
          <w:rStyle w:val="FootnoteReference"/>
          <w:sz w:val="26"/>
          <w:szCs w:val="26"/>
        </w:rPr>
        <w:footnoteReference w:id="36"/>
      </w:r>
      <w:r w:rsidR="008E18DE" w:rsidRPr="007E4C66">
        <w:rPr>
          <w:sz w:val="26"/>
          <w:szCs w:val="26"/>
        </w:rPr>
        <w:t xml:space="preserve"> and establish a presumption </w:t>
      </w:r>
      <w:r w:rsidR="00041073" w:rsidRPr="007E4C66">
        <w:rPr>
          <w:sz w:val="26"/>
          <w:szCs w:val="26"/>
        </w:rPr>
        <w:t>that 47</w:t>
      </w:r>
      <w:r w:rsidR="006136B8" w:rsidRPr="007E4C66">
        <w:rPr>
          <w:sz w:val="26"/>
          <w:szCs w:val="26"/>
        </w:rPr>
        <w:t xml:space="preserve"> percent</w:t>
      </w:r>
      <w:r w:rsidR="00041073" w:rsidRPr="007E4C66">
        <w:rPr>
          <w:sz w:val="26"/>
          <w:szCs w:val="26"/>
        </w:rPr>
        <w:t xml:space="preserve"> of the charge for a mixed </w:t>
      </w:r>
      <w:r w:rsidR="00041073" w:rsidRPr="007E4C66">
        <w:rPr>
          <w:sz w:val="26"/>
          <w:szCs w:val="26"/>
        </w:rPr>
        <w:lastRenderedPageBreak/>
        <w:t>newspaper subscription is taxable and 53</w:t>
      </w:r>
      <w:r w:rsidR="006136B8" w:rsidRPr="007E4C66">
        <w:rPr>
          <w:sz w:val="26"/>
          <w:szCs w:val="26"/>
        </w:rPr>
        <w:t xml:space="preserve"> percent</w:t>
      </w:r>
      <w:r w:rsidR="00041073" w:rsidRPr="007E4C66">
        <w:rPr>
          <w:sz w:val="26"/>
          <w:szCs w:val="26"/>
        </w:rPr>
        <w:t xml:space="preserve"> is non-taxable</w:t>
      </w:r>
      <w:r w:rsidR="00332ABE" w:rsidRPr="007E4C66">
        <w:rPr>
          <w:sz w:val="26"/>
          <w:szCs w:val="26"/>
        </w:rPr>
        <w:t>.</w:t>
      </w:r>
      <w:r w:rsidR="00332ABE" w:rsidRPr="007E4C66">
        <w:rPr>
          <w:rStyle w:val="FootnoteReference"/>
          <w:sz w:val="26"/>
          <w:szCs w:val="26"/>
        </w:rPr>
        <w:footnoteReference w:id="37"/>
      </w:r>
      <w:r w:rsidR="00332ABE" w:rsidRPr="007E4C66">
        <w:rPr>
          <w:sz w:val="26"/>
          <w:szCs w:val="26"/>
        </w:rPr>
        <w:t xml:space="preserve"> The percentages are</w:t>
      </w:r>
      <w:r w:rsidR="00041073" w:rsidRPr="007E4C66">
        <w:rPr>
          <w:sz w:val="26"/>
          <w:szCs w:val="26"/>
        </w:rPr>
        <w:t xml:space="preserve"> based on a study the newspaper industry provided. It also provides a formula that publishers can use to rebut the presumption and establish a larger nontaxable percentage.</w:t>
      </w:r>
      <w:r w:rsidRPr="007E4C66">
        <w:rPr>
          <w:rStyle w:val="FootnoteReference"/>
          <w:sz w:val="26"/>
          <w:szCs w:val="26"/>
        </w:rPr>
        <w:footnoteReference w:id="38"/>
      </w:r>
    </w:p>
    <w:p w14:paraId="4E96D710" w14:textId="01698F4E" w:rsidR="00435A26" w:rsidRPr="007E4C66" w:rsidRDefault="00CF64EC" w:rsidP="00830A7F">
      <w:pPr>
        <w:rPr>
          <w:sz w:val="26"/>
          <w:szCs w:val="26"/>
        </w:rPr>
      </w:pPr>
      <w:r w:rsidRPr="007E4C66">
        <w:rPr>
          <w:i/>
          <w:iCs/>
          <w:sz w:val="26"/>
          <w:szCs w:val="26"/>
        </w:rPr>
        <w:t>For technology transfer agreements</w:t>
      </w:r>
      <w:r w:rsidR="009D4FB1" w:rsidRPr="007E4C66">
        <w:rPr>
          <w:rStyle w:val="FootnoteReference"/>
          <w:i/>
          <w:iCs/>
          <w:sz w:val="26"/>
          <w:szCs w:val="26"/>
        </w:rPr>
        <w:footnoteReference w:id="39"/>
      </w:r>
      <w:r w:rsidRPr="007E4C66">
        <w:rPr>
          <w:i/>
          <w:iCs/>
          <w:sz w:val="26"/>
          <w:szCs w:val="26"/>
        </w:rPr>
        <w:t xml:space="preserve"> </w:t>
      </w:r>
      <w:r w:rsidRPr="007E4C66">
        <w:rPr>
          <w:sz w:val="26"/>
          <w:szCs w:val="26"/>
        </w:rPr>
        <w:t xml:space="preserve">(TTAs): </w:t>
      </w:r>
      <w:r w:rsidR="00277776" w:rsidRPr="007E4C66">
        <w:rPr>
          <w:sz w:val="26"/>
          <w:szCs w:val="26"/>
        </w:rPr>
        <w:t xml:space="preserve">California </w:t>
      </w:r>
      <w:r w:rsidR="002C5531" w:rsidRPr="007E4C66">
        <w:rPr>
          <w:sz w:val="26"/>
          <w:szCs w:val="26"/>
        </w:rPr>
        <w:t>law</w:t>
      </w:r>
      <w:r w:rsidR="00830A7F" w:rsidRPr="007E4C66">
        <w:rPr>
          <w:sz w:val="26"/>
          <w:szCs w:val="26"/>
        </w:rPr>
        <w:t xml:space="preserve"> establish</w:t>
      </w:r>
      <w:r w:rsidR="002C5531" w:rsidRPr="007E4C66">
        <w:rPr>
          <w:sz w:val="26"/>
          <w:szCs w:val="26"/>
        </w:rPr>
        <w:t>es</w:t>
      </w:r>
      <w:r w:rsidR="00830A7F" w:rsidRPr="007E4C66">
        <w:rPr>
          <w:sz w:val="26"/>
          <w:szCs w:val="26"/>
        </w:rPr>
        <w:t xml:space="preserve"> a formula for determining the taxable portion of a transaction involving the transfer of TPP and patent or copyright interests.</w:t>
      </w:r>
      <w:r w:rsidR="00E25883" w:rsidRPr="007E4C66">
        <w:rPr>
          <w:rStyle w:val="FootnoteReference"/>
          <w:sz w:val="26"/>
          <w:szCs w:val="26"/>
        </w:rPr>
        <w:footnoteReference w:id="40"/>
      </w:r>
    </w:p>
    <w:p w14:paraId="12AA7C59" w14:textId="0983B838" w:rsidR="00830A7F" w:rsidRPr="007E4C66" w:rsidRDefault="00830A7F" w:rsidP="00830A7F">
      <w:pPr>
        <w:rPr>
          <w:sz w:val="26"/>
          <w:szCs w:val="26"/>
        </w:rPr>
      </w:pPr>
      <w:r w:rsidRPr="007E4C66">
        <w:rPr>
          <w:sz w:val="26"/>
          <w:szCs w:val="26"/>
        </w:rPr>
        <w:t>The statut</w:t>
      </w:r>
      <w:r w:rsidR="00435A26" w:rsidRPr="007E4C66">
        <w:rPr>
          <w:sz w:val="26"/>
          <w:szCs w:val="26"/>
        </w:rPr>
        <w:t xml:space="preserve">e provides that </w:t>
      </w:r>
      <w:r w:rsidR="00E27A63" w:rsidRPr="007E4C66">
        <w:rPr>
          <w:sz w:val="26"/>
          <w:szCs w:val="26"/>
        </w:rPr>
        <w:t xml:space="preserve">gross receipts do not include </w:t>
      </w:r>
      <w:r w:rsidR="00435A26" w:rsidRPr="007E4C66">
        <w:rPr>
          <w:sz w:val="26"/>
          <w:szCs w:val="26"/>
        </w:rPr>
        <w:t xml:space="preserve">the amount charged for intangible personal property </w:t>
      </w:r>
      <w:r w:rsidR="008A2465" w:rsidRPr="007E4C66">
        <w:rPr>
          <w:sz w:val="26"/>
          <w:szCs w:val="26"/>
        </w:rPr>
        <w:t xml:space="preserve">transferred with TPP in a </w:t>
      </w:r>
      <w:r w:rsidR="00E27A63" w:rsidRPr="007E4C66">
        <w:rPr>
          <w:sz w:val="26"/>
          <w:szCs w:val="26"/>
        </w:rPr>
        <w:t>TTA if the TTA separately states a reasonable price for the TPP.</w:t>
      </w:r>
      <w:r w:rsidR="00907E1E" w:rsidRPr="007E4C66">
        <w:rPr>
          <w:sz w:val="26"/>
          <w:szCs w:val="26"/>
        </w:rPr>
        <w:t xml:space="preserve"> If the price for the TPP is not separately stated </w:t>
      </w:r>
      <w:r w:rsidR="00746F31" w:rsidRPr="007E4C66">
        <w:rPr>
          <w:sz w:val="26"/>
          <w:szCs w:val="26"/>
        </w:rPr>
        <w:t>and the TPP</w:t>
      </w:r>
      <w:r w:rsidR="00786D66" w:rsidRPr="007E4C66">
        <w:rPr>
          <w:sz w:val="26"/>
          <w:szCs w:val="26"/>
        </w:rPr>
        <w:t>,</w:t>
      </w:r>
      <w:r w:rsidR="00746F31" w:rsidRPr="007E4C66">
        <w:rPr>
          <w:sz w:val="26"/>
          <w:szCs w:val="26"/>
        </w:rPr>
        <w:t xml:space="preserve"> or like TPP</w:t>
      </w:r>
      <w:r w:rsidR="00786D66" w:rsidRPr="007E4C66">
        <w:rPr>
          <w:sz w:val="26"/>
          <w:szCs w:val="26"/>
        </w:rPr>
        <w:t>,</w:t>
      </w:r>
      <w:r w:rsidR="00746F31" w:rsidRPr="007E4C66">
        <w:rPr>
          <w:sz w:val="26"/>
          <w:szCs w:val="26"/>
        </w:rPr>
        <w:t xml:space="preserve"> has been offered for sale or lease to third parties, </w:t>
      </w:r>
      <w:r w:rsidR="007B7CD6" w:rsidRPr="007E4C66">
        <w:rPr>
          <w:sz w:val="26"/>
          <w:szCs w:val="26"/>
        </w:rPr>
        <w:t xml:space="preserve">then the price </w:t>
      </w:r>
      <w:r w:rsidR="00746F31" w:rsidRPr="007E4C66">
        <w:rPr>
          <w:sz w:val="26"/>
          <w:szCs w:val="26"/>
        </w:rPr>
        <w:t>for</w:t>
      </w:r>
      <w:r w:rsidR="007B7CD6" w:rsidRPr="007E4C66">
        <w:rPr>
          <w:sz w:val="26"/>
          <w:szCs w:val="26"/>
        </w:rPr>
        <w:t xml:space="preserve"> third parties is used to price the TPP.</w:t>
      </w:r>
      <w:r w:rsidR="005F4FED" w:rsidRPr="007E4C66">
        <w:rPr>
          <w:sz w:val="26"/>
          <w:szCs w:val="26"/>
        </w:rPr>
        <w:t xml:space="preserve"> The remainder </w:t>
      </w:r>
      <w:r w:rsidR="00786D66" w:rsidRPr="007E4C66">
        <w:rPr>
          <w:sz w:val="26"/>
          <w:szCs w:val="26"/>
        </w:rPr>
        <w:t xml:space="preserve">of the </w:t>
      </w:r>
      <w:r w:rsidR="00DC4EF7" w:rsidRPr="007E4C66">
        <w:rPr>
          <w:sz w:val="26"/>
          <w:szCs w:val="26"/>
        </w:rPr>
        <w:t xml:space="preserve">amount charged </w:t>
      </w:r>
      <w:r w:rsidR="007D4FF8" w:rsidRPr="007E4C66">
        <w:rPr>
          <w:sz w:val="26"/>
          <w:szCs w:val="26"/>
        </w:rPr>
        <w:t xml:space="preserve">is </w:t>
      </w:r>
      <w:r w:rsidR="00DC4EF7" w:rsidRPr="007E4C66">
        <w:rPr>
          <w:sz w:val="26"/>
          <w:szCs w:val="26"/>
        </w:rPr>
        <w:t xml:space="preserve">attributable to </w:t>
      </w:r>
      <w:r w:rsidR="005F4FED" w:rsidRPr="007E4C66">
        <w:rPr>
          <w:sz w:val="26"/>
          <w:szCs w:val="26"/>
        </w:rPr>
        <w:t>the intangible property transferred.</w:t>
      </w:r>
      <w:r w:rsidR="002F24CC" w:rsidRPr="007E4C66">
        <w:rPr>
          <w:rStyle w:val="FootnoteReference"/>
          <w:sz w:val="26"/>
          <w:szCs w:val="26"/>
        </w:rPr>
        <w:footnoteReference w:id="41"/>
      </w:r>
    </w:p>
    <w:p w14:paraId="4CB05649" w14:textId="70CAF089" w:rsidR="00AD344C" w:rsidRPr="007E4C66" w:rsidRDefault="00746F31" w:rsidP="00BD38B9">
      <w:pPr>
        <w:rPr>
          <w:sz w:val="26"/>
          <w:szCs w:val="26"/>
        </w:rPr>
      </w:pPr>
      <w:r w:rsidRPr="007E4C66">
        <w:rPr>
          <w:sz w:val="26"/>
          <w:szCs w:val="26"/>
        </w:rPr>
        <w:t xml:space="preserve">If the </w:t>
      </w:r>
      <w:r w:rsidR="00A50EA8" w:rsidRPr="007E4C66">
        <w:rPr>
          <w:sz w:val="26"/>
          <w:szCs w:val="26"/>
        </w:rPr>
        <w:t>TTA does not separately state the price for the TPP and the TPP</w:t>
      </w:r>
      <w:r w:rsidR="00DC4EF7" w:rsidRPr="007E4C66">
        <w:rPr>
          <w:sz w:val="26"/>
          <w:szCs w:val="26"/>
        </w:rPr>
        <w:t>,</w:t>
      </w:r>
      <w:r w:rsidR="00A50EA8" w:rsidRPr="007E4C66">
        <w:rPr>
          <w:sz w:val="26"/>
          <w:szCs w:val="26"/>
        </w:rPr>
        <w:t xml:space="preserve"> or like TPP</w:t>
      </w:r>
      <w:r w:rsidR="00DC4EF7" w:rsidRPr="007E4C66">
        <w:rPr>
          <w:sz w:val="26"/>
          <w:szCs w:val="26"/>
        </w:rPr>
        <w:t>,</w:t>
      </w:r>
      <w:r w:rsidR="00A50EA8" w:rsidRPr="007E4C66">
        <w:rPr>
          <w:sz w:val="26"/>
          <w:szCs w:val="26"/>
        </w:rPr>
        <w:t xml:space="preserve"> has not been offered for sale or lease to third parties, then </w:t>
      </w:r>
      <w:r w:rsidR="00975775" w:rsidRPr="007E4C66">
        <w:rPr>
          <w:sz w:val="26"/>
          <w:szCs w:val="26"/>
        </w:rPr>
        <w:t>the TPP is priced equal to 200 percent of the cost of materials and labor used to produce the TPP, with the remaining amount charged being attributable to the intangible property transferred.</w:t>
      </w:r>
      <w:r w:rsidR="00975775" w:rsidRPr="007E4C66">
        <w:rPr>
          <w:rStyle w:val="FootnoteReference"/>
          <w:sz w:val="26"/>
          <w:szCs w:val="26"/>
        </w:rPr>
        <w:footnoteReference w:id="42"/>
      </w:r>
    </w:p>
    <w:p w14:paraId="526D9704" w14:textId="02E43CB5" w:rsidR="005C1D35" w:rsidRPr="005C1D35" w:rsidRDefault="008D26B8" w:rsidP="005C1D35">
      <w:pPr>
        <w:pStyle w:val="Heading2"/>
      </w:pPr>
      <w:r>
        <w:t>C</w:t>
      </w:r>
      <w:r w:rsidR="00E364CF">
        <w:t xml:space="preserve">. True </w:t>
      </w:r>
      <w:r w:rsidR="00DC4EF7">
        <w:t>O</w:t>
      </w:r>
      <w:r w:rsidR="00E364CF">
        <w:t xml:space="preserve">bject </w:t>
      </w:r>
      <w:r w:rsidR="00DC4EF7">
        <w:t>T</w:t>
      </w:r>
      <w:r w:rsidR="00E364CF">
        <w:t xml:space="preserve">est and </w:t>
      </w:r>
      <w:r w:rsidR="00AD344C">
        <w:t>Mixed Transactions</w:t>
      </w:r>
    </w:p>
    <w:p w14:paraId="54DD6C49" w14:textId="73B2F228" w:rsidR="00C85989" w:rsidRPr="007E4C66" w:rsidRDefault="00C85989" w:rsidP="00925E55">
      <w:pPr>
        <w:rPr>
          <w:sz w:val="26"/>
          <w:szCs w:val="26"/>
        </w:rPr>
      </w:pPr>
      <w:r w:rsidRPr="007E4C66">
        <w:rPr>
          <w:sz w:val="26"/>
          <w:szCs w:val="26"/>
        </w:rPr>
        <w:t>The true object test</w:t>
      </w:r>
      <w:r w:rsidRPr="007E4C66">
        <w:rPr>
          <w:rStyle w:val="FootnoteReference"/>
          <w:sz w:val="26"/>
          <w:szCs w:val="26"/>
        </w:rPr>
        <w:footnoteReference w:id="43"/>
      </w:r>
      <w:r w:rsidRPr="007E4C66">
        <w:rPr>
          <w:sz w:val="26"/>
          <w:szCs w:val="26"/>
        </w:rPr>
        <w:t xml:space="preserve"> is a subjective test used to determine whether a transaction </w:t>
      </w:r>
      <w:r w:rsidR="00E778A4" w:rsidRPr="007E4C66">
        <w:rPr>
          <w:sz w:val="26"/>
          <w:szCs w:val="26"/>
        </w:rPr>
        <w:t xml:space="preserve">with inseparable elements </w:t>
      </w:r>
      <w:r w:rsidRPr="007E4C66">
        <w:rPr>
          <w:sz w:val="26"/>
          <w:szCs w:val="26"/>
        </w:rPr>
        <w:t xml:space="preserve">is </w:t>
      </w:r>
      <w:r w:rsidR="00680447" w:rsidRPr="007E4C66">
        <w:rPr>
          <w:sz w:val="26"/>
          <w:szCs w:val="26"/>
        </w:rPr>
        <w:t>treated according to</w:t>
      </w:r>
      <w:r w:rsidRPr="007E4C66">
        <w:rPr>
          <w:sz w:val="26"/>
          <w:szCs w:val="26"/>
        </w:rPr>
        <w:t xml:space="preserve"> its taxable </w:t>
      </w:r>
      <w:r w:rsidR="00B24F15" w:rsidRPr="007E4C66">
        <w:rPr>
          <w:sz w:val="26"/>
          <w:szCs w:val="26"/>
        </w:rPr>
        <w:t xml:space="preserve">or </w:t>
      </w:r>
      <w:r w:rsidRPr="007E4C66">
        <w:rPr>
          <w:sz w:val="26"/>
          <w:szCs w:val="26"/>
        </w:rPr>
        <w:t xml:space="preserve">its nontaxable </w:t>
      </w:r>
      <w:r w:rsidR="00680447" w:rsidRPr="007E4C66">
        <w:rPr>
          <w:sz w:val="26"/>
          <w:szCs w:val="26"/>
        </w:rPr>
        <w:t>components</w:t>
      </w:r>
      <w:r w:rsidRPr="007E4C66">
        <w:rPr>
          <w:sz w:val="26"/>
          <w:szCs w:val="26"/>
        </w:rPr>
        <w:t>.</w:t>
      </w:r>
      <w:r w:rsidRPr="007E4C66">
        <w:rPr>
          <w:rStyle w:val="FootnoteReference"/>
          <w:sz w:val="26"/>
          <w:szCs w:val="26"/>
        </w:rPr>
        <w:footnoteReference w:id="44"/>
      </w:r>
      <w:r w:rsidRPr="007E4C66">
        <w:rPr>
          <w:sz w:val="26"/>
          <w:szCs w:val="26"/>
        </w:rPr>
        <w:t xml:space="preserve"> </w:t>
      </w:r>
      <w:r w:rsidR="00931D75" w:rsidRPr="007E4C66">
        <w:rPr>
          <w:sz w:val="26"/>
          <w:szCs w:val="26"/>
        </w:rPr>
        <w:t xml:space="preserve">The fact that </w:t>
      </w:r>
      <w:r w:rsidR="00680447" w:rsidRPr="007E4C66">
        <w:rPr>
          <w:sz w:val="26"/>
          <w:szCs w:val="26"/>
        </w:rPr>
        <w:t>the true object test is</w:t>
      </w:r>
      <w:r w:rsidR="00931D75" w:rsidRPr="007E4C66">
        <w:rPr>
          <w:sz w:val="26"/>
          <w:szCs w:val="26"/>
        </w:rPr>
        <w:t xml:space="preserve"> used in</w:t>
      </w:r>
      <w:r w:rsidR="00680447" w:rsidRPr="007E4C66">
        <w:rPr>
          <w:sz w:val="26"/>
          <w:szCs w:val="26"/>
        </w:rPr>
        <w:t xml:space="preserve"> categorizing</w:t>
      </w:r>
      <w:r w:rsidR="00931D75" w:rsidRPr="007E4C66">
        <w:rPr>
          <w:sz w:val="26"/>
          <w:szCs w:val="26"/>
        </w:rPr>
        <w:t xml:space="preserve"> inseparable </w:t>
      </w:r>
      <w:r w:rsidR="00680447" w:rsidRPr="007E4C66">
        <w:rPr>
          <w:sz w:val="26"/>
          <w:szCs w:val="26"/>
        </w:rPr>
        <w:t xml:space="preserve">transactions </w:t>
      </w:r>
      <w:r w:rsidR="00931D75" w:rsidRPr="007E4C66">
        <w:rPr>
          <w:sz w:val="26"/>
          <w:szCs w:val="26"/>
        </w:rPr>
        <w:t xml:space="preserve">highlights </w:t>
      </w:r>
      <w:r w:rsidR="00680447" w:rsidRPr="007E4C66">
        <w:rPr>
          <w:sz w:val="26"/>
          <w:szCs w:val="26"/>
        </w:rPr>
        <w:t xml:space="preserve">concerns </w:t>
      </w:r>
      <w:r w:rsidR="00931D75" w:rsidRPr="007E4C66">
        <w:rPr>
          <w:sz w:val="26"/>
          <w:szCs w:val="26"/>
        </w:rPr>
        <w:t xml:space="preserve">that it might not be the best to use in conjunction with </w:t>
      </w:r>
      <w:r w:rsidR="002A3C60" w:rsidRPr="007E4C66">
        <w:rPr>
          <w:sz w:val="26"/>
          <w:szCs w:val="26"/>
        </w:rPr>
        <w:t>bundling</w:t>
      </w:r>
      <w:r w:rsidR="00680447" w:rsidRPr="007E4C66">
        <w:rPr>
          <w:sz w:val="26"/>
          <w:szCs w:val="26"/>
        </w:rPr>
        <w:t xml:space="preserve">. </w:t>
      </w:r>
      <w:r w:rsidRPr="007E4C66">
        <w:rPr>
          <w:sz w:val="26"/>
          <w:szCs w:val="26"/>
        </w:rPr>
        <w:t xml:space="preserve">Typically, the </w:t>
      </w:r>
      <w:r w:rsidRPr="007E4C66">
        <w:rPr>
          <w:sz w:val="26"/>
          <w:szCs w:val="26"/>
        </w:rPr>
        <w:lastRenderedPageBreak/>
        <w:t xml:space="preserve">distinction </w:t>
      </w:r>
      <w:r w:rsidR="00680447" w:rsidRPr="007E4C66">
        <w:rPr>
          <w:sz w:val="26"/>
          <w:szCs w:val="26"/>
        </w:rPr>
        <w:t xml:space="preserve">to be addressed under the test is that between </w:t>
      </w:r>
      <w:r w:rsidRPr="007E4C66">
        <w:rPr>
          <w:sz w:val="26"/>
          <w:szCs w:val="26"/>
        </w:rPr>
        <w:t xml:space="preserve">taxable </w:t>
      </w:r>
      <w:r w:rsidR="00253AF6" w:rsidRPr="007E4C66">
        <w:rPr>
          <w:sz w:val="26"/>
          <w:szCs w:val="26"/>
        </w:rPr>
        <w:t xml:space="preserve">TPP </w:t>
      </w:r>
      <w:r w:rsidRPr="007E4C66">
        <w:rPr>
          <w:sz w:val="26"/>
          <w:szCs w:val="26"/>
        </w:rPr>
        <w:t>and nontaxable services or intangibles.</w:t>
      </w:r>
      <w:r w:rsidRPr="007E4C66">
        <w:rPr>
          <w:rStyle w:val="FootnoteReference"/>
          <w:sz w:val="26"/>
          <w:szCs w:val="26"/>
        </w:rPr>
        <w:footnoteReference w:id="45"/>
      </w:r>
    </w:p>
    <w:p w14:paraId="4B3E3A9A" w14:textId="0B0AA91E" w:rsidR="00925E55" w:rsidRPr="007E4C66" w:rsidRDefault="00317E10" w:rsidP="00925E55">
      <w:pPr>
        <w:rPr>
          <w:sz w:val="26"/>
          <w:szCs w:val="26"/>
        </w:rPr>
      </w:pPr>
      <w:r w:rsidRPr="007E4C66">
        <w:rPr>
          <w:sz w:val="26"/>
          <w:szCs w:val="26"/>
        </w:rPr>
        <w:t xml:space="preserve">Tennessee has had extensive development in their true object test case law, so their law </w:t>
      </w:r>
      <w:r w:rsidR="00660DEC" w:rsidRPr="007E4C66">
        <w:rPr>
          <w:sz w:val="26"/>
          <w:szCs w:val="26"/>
        </w:rPr>
        <w:t xml:space="preserve">is useful </w:t>
      </w:r>
      <w:r w:rsidRPr="007E4C66">
        <w:rPr>
          <w:sz w:val="26"/>
          <w:szCs w:val="26"/>
        </w:rPr>
        <w:t>to provide the basics.</w:t>
      </w:r>
      <w:r w:rsidR="00537B70" w:rsidRPr="007E4C66">
        <w:rPr>
          <w:sz w:val="26"/>
          <w:szCs w:val="26"/>
        </w:rPr>
        <w:t xml:space="preserve"> </w:t>
      </w:r>
      <w:r w:rsidRPr="007E4C66">
        <w:rPr>
          <w:sz w:val="26"/>
          <w:szCs w:val="26"/>
        </w:rPr>
        <w:t>Examples of transactions subject to the true object test in Tennessee</w:t>
      </w:r>
      <w:r w:rsidR="007217E8" w:rsidRPr="007E4C66">
        <w:rPr>
          <w:sz w:val="26"/>
          <w:szCs w:val="26"/>
        </w:rPr>
        <w:t xml:space="preserve"> include</w:t>
      </w:r>
      <w:r w:rsidRPr="007E4C66">
        <w:rPr>
          <w:sz w:val="26"/>
          <w:szCs w:val="26"/>
        </w:rPr>
        <w:t>: a painting an artist was commissioned to make, discount cards, and for an example with two services, a staffing company that provides workers, which is a nontaxable service, to a company that repairs TPP, which is a taxable service.</w:t>
      </w:r>
      <w:r w:rsidRPr="007E4C66">
        <w:rPr>
          <w:sz w:val="26"/>
          <w:szCs w:val="26"/>
          <w:vertAlign w:val="superscript"/>
        </w:rPr>
        <w:footnoteReference w:id="46"/>
      </w:r>
    </w:p>
    <w:p w14:paraId="4B3E3A9B" w14:textId="77777777" w:rsidR="00925E55" w:rsidRPr="007E4C66" w:rsidRDefault="00317E10" w:rsidP="00925E55">
      <w:pPr>
        <w:rPr>
          <w:sz w:val="26"/>
          <w:szCs w:val="26"/>
        </w:rPr>
      </w:pPr>
      <w:r w:rsidRPr="007E4C66">
        <w:rPr>
          <w:sz w:val="26"/>
          <w:szCs w:val="26"/>
        </w:rPr>
        <w:t xml:space="preserve">In Tennessee, there are </w:t>
      </w:r>
      <w:r w:rsidR="006D75F5" w:rsidRPr="007E4C66">
        <w:rPr>
          <w:sz w:val="26"/>
          <w:szCs w:val="26"/>
        </w:rPr>
        <w:t xml:space="preserve">three categories of </w:t>
      </w:r>
      <w:r w:rsidRPr="007E4C66">
        <w:rPr>
          <w:sz w:val="26"/>
          <w:szCs w:val="26"/>
        </w:rPr>
        <w:t>results:</w:t>
      </w:r>
      <w:r w:rsidRPr="007E4C66">
        <w:rPr>
          <w:sz w:val="26"/>
          <w:szCs w:val="26"/>
          <w:vertAlign w:val="superscript"/>
        </w:rPr>
        <w:footnoteReference w:id="47"/>
      </w:r>
    </w:p>
    <w:p w14:paraId="4B3E3A9C" w14:textId="1904A77E" w:rsidR="00925E55" w:rsidRPr="007E4C66" w:rsidRDefault="00317E10" w:rsidP="00D81E83">
      <w:pPr>
        <w:rPr>
          <w:sz w:val="26"/>
          <w:szCs w:val="26"/>
        </w:rPr>
      </w:pPr>
      <w:r w:rsidRPr="007E4C66">
        <w:rPr>
          <w:sz w:val="26"/>
          <w:szCs w:val="26"/>
        </w:rPr>
        <w:t xml:space="preserve">1: A </w:t>
      </w:r>
      <w:r w:rsidR="007573D1" w:rsidRPr="007E4C66">
        <w:rPr>
          <w:sz w:val="26"/>
          <w:szCs w:val="26"/>
        </w:rPr>
        <w:t xml:space="preserve">transaction with a </w:t>
      </w:r>
      <w:r w:rsidRPr="007E4C66">
        <w:rPr>
          <w:sz w:val="26"/>
          <w:szCs w:val="26"/>
        </w:rPr>
        <w:t xml:space="preserve">taxable true object </w:t>
      </w:r>
      <w:r w:rsidR="007573D1" w:rsidRPr="007E4C66">
        <w:rPr>
          <w:sz w:val="26"/>
          <w:szCs w:val="26"/>
        </w:rPr>
        <w:t xml:space="preserve">means </w:t>
      </w:r>
      <w:r w:rsidRPr="007E4C66">
        <w:rPr>
          <w:sz w:val="26"/>
          <w:szCs w:val="26"/>
        </w:rPr>
        <w:t>any crucial, essential, necessary, consequential, or integral elements of the transaction are taxable. This is not an all or nothing result</w:t>
      </w:r>
      <w:r w:rsidR="007573D1" w:rsidRPr="007E4C66">
        <w:rPr>
          <w:sz w:val="26"/>
          <w:szCs w:val="26"/>
        </w:rPr>
        <w:t>.</w:t>
      </w:r>
      <w:r w:rsidRPr="007E4C66">
        <w:rPr>
          <w:sz w:val="26"/>
          <w:szCs w:val="26"/>
        </w:rPr>
        <w:t xml:space="preserve"> </w:t>
      </w:r>
      <w:r w:rsidR="007573D1" w:rsidRPr="007E4C66">
        <w:rPr>
          <w:sz w:val="26"/>
          <w:szCs w:val="26"/>
        </w:rPr>
        <w:t>E</w:t>
      </w:r>
      <w:r w:rsidRPr="007E4C66">
        <w:rPr>
          <w:sz w:val="26"/>
          <w:szCs w:val="26"/>
        </w:rPr>
        <w:t xml:space="preserve">ven with a taxable true object, only the crucial, essential, necessary, consequential, or integral </w:t>
      </w:r>
      <w:r w:rsidR="007573D1" w:rsidRPr="007E4C66">
        <w:rPr>
          <w:sz w:val="26"/>
          <w:szCs w:val="26"/>
        </w:rPr>
        <w:t>elements are taxable</w:t>
      </w:r>
      <w:r w:rsidRPr="007E4C66">
        <w:rPr>
          <w:sz w:val="26"/>
          <w:szCs w:val="26"/>
        </w:rPr>
        <w:t xml:space="preserve">. </w:t>
      </w:r>
      <w:r w:rsidR="007573D1" w:rsidRPr="007E4C66">
        <w:rPr>
          <w:sz w:val="26"/>
          <w:szCs w:val="26"/>
        </w:rPr>
        <w:t>Other components may be subject to different treatment</w:t>
      </w:r>
      <w:r w:rsidRPr="007E4C66">
        <w:rPr>
          <w:sz w:val="26"/>
          <w:szCs w:val="26"/>
        </w:rPr>
        <w:t xml:space="preserve">, even though the true object </w:t>
      </w:r>
      <w:r w:rsidR="007573D1" w:rsidRPr="007E4C66">
        <w:rPr>
          <w:sz w:val="26"/>
          <w:szCs w:val="26"/>
        </w:rPr>
        <w:t xml:space="preserve">of the transaction </w:t>
      </w:r>
      <w:r w:rsidRPr="007E4C66">
        <w:rPr>
          <w:sz w:val="26"/>
          <w:szCs w:val="26"/>
        </w:rPr>
        <w:t>is taxable.</w:t>
      </w:r>
      <w:r w:rsidR="00574171" w:rsidRPr="007E4C66">
        <w:rPr>
          <w:rStyle w:val="FootnoteReference"/>
          <w:sz w:val="26"/>
          <w:szCs w:val="26"/>
        </w:rPr>
        <w:footnoteReference w:id="48"/>
      </w:r>
    </w:p>
    <w:p w14:paraId="4B3E3A9D" w14:textId="363BAF6F" w:rsidR="00925E55" w:rsidRPr="007E4C66" w:rsidRDefault="00317E10" w:rsidP="00925E55">
      <w:pPr>
        <w:rPr>
          <w:sz w:val="26"/>
          <w:szCs w:val="26"/>
        </w:rPr>
      </w:pPr>
      <w:r w:rsidRPr="007E4C66">
        <w:rPr>
          <w:sz w:val="26"/>
          <w:szCs w:val="26"/>
        </w:rPr>
        <w:t xml:space="preserve">2: A transaction with any taxable component that is crucial, essential, necessary, consequential, or integral </w:t>
      </w:r>
      <w:r w:rsidR="0087002C" w:rsidRPr="007E4C66">
        <w:rPr>
          <w:sz w:val="26"/>
          <w:szCs w:val="26"/>
        </w:rPr>
        <w:t xml:space="preserve">means that transaction is </w:t>
      </w:r>
      <w:r w:rsidRPr="007E4C66">
        <w:rPr>
          <w:sz w:val="26"/>
          <w:szCs w:val="26"/>
        </w:rPr>
        <w:t>taxable, even if the true object</w:t>
      </w:r>
      <w:r w:rsidR="007573D1" w:rsidRPr="007E4C66">
        <w:rPr>
          <w:sz w:val="26"/>
          <w:szCs w:val="26"/>
        </w:rPr>
        <w:t xml:space="preserve"> of the transaction</w:t>
      </w:r>
      <w:r w:rsidRPr="007E4C66">
        <w:rPr>
          <w:sz w:val="26"/>
          <w:szCs w:val="26"/>
        </w:rPr>
        <w:t xml:space="preserve"> is not independently taxable. </w:t>
      </w:r>
    </w:p>
    <w:p w14:paraId="4B3E3A9E" w14:textId="09285E82" w:rsidR="00645B41" w:rsidRPr="007E4C66" w:rsidRDefault="00317E10" w:rsidP="00645B41">
      <w:pPr>
        <w:rPr>
          <w:sz w:val="26"/>
          <w:szCs w:val="26"/>
        </w:rPr>
      </w:pPr>
      <w:r w:rsidRPr="007E4C66">
        <w:rPr>
          <w:sz w:val="26"/>
          <w:szCs w:val="26"/>
        </w:rPr>
        <w:t xml:space="preserve">3: </w:t>
      </w:r>
      <w:r w:rsidR="0087002C" w:rsidRPr="007E4C66">
        <w:rPr>
          <w:sz w:val="26"/>
          <w:szCs w:val="26"/>
        </w:rPr>
        <w:t xml:space="preserve">A transaction with a </w:t>
      </w:r>
      <w:r w:rsidR="00D618C0" w:rsidRPr="007E4C66">
        <w:rPr>
          <w:sz w:val="26"/>
          <w:szCs w:val="26"/>
        </w:rPr>
        <w:t xml:space="preserve">nontaxable </w:t>
      </w:r>
      <w:r w:rsidRPr="007E4C66">
        <w:rPr>
          <w:sz w:val="26"/>
          <w:szCs w:val="26"/>
        </w:rPr>
        <w:t xml:space="preserve">true object and taxable items </w:t>
      </w:r>
      <w:r w:rsidR="002905C2" w:rsidRPr="007E4C66">
        <w:rPr>
          <w:sz w:val="26"/>
          <w:szCs w:val="26"/>
        </w:rPr>
        <w:t xml:space="preserve">that </w:t>
      </w:r>
      <w:r w:rsidRPr="007E4C66">
        <w:rPr>
          <w:sz w:val="26"/>
          <w:szCs w:val="26"/>
        </w:rPr>
        <w:t>are merely incidental to the true object</w:t>
      </w:r>
      <w:r w:rsidR="002905C2" w:rsidRPr="007E4C66">
        <w:rPr>
          <w:sz w:val="26"/>
          <w:szCs w:val="26"/>
        </w:rPr>
        <w:t xml:space="preserve"> </w:t>
      </w:r>
      <w:r w:rsidRPr="007E4C66">
        <w:rPr>
          <w:sz w:val="26"/>
          <w:szCs w:val="26"/>
        </w:rPr>
        <w:t>is not taxable.</w:t>
      </w:r>
    </w:p>
    <w:p w14:paraId="4B3E3AAF" w14:textId="02477479" w:rsidR="00851021" w:rsidRPr="007E4C66" w:rsidRDefault="00D2728C" w:rsidP="00C272D4">
      <w:pPr>
        <w:rPr>
          <w:sz w:val="26"/>
          <w:szCs w:val="26"/>
        </w:rPr>
      </w:pPr>
      <w:r w:rsidRPr="007E4C66">
        <w:rPr>
          <w:sz w:val="26"/>
          <w:szCs w:val="26"/>
        </w:rPr>
        <w:lastRenderedPageBreak/>
        <w:t>Note there are variants to the true object test</w:t>
      </w:r>
      <w:r w:rsidR="00E2327C" w:rsidRPr="007E4C66">
        <w:rPr>
          <w:rStyle w:val="FootnoteReference"/>
          <w:sz w:val="26"/>
          <w:szCs w:val="26"/>
        </w:rPr>
        <w:footnoteReference w:id="49"/>
      </w:r>
      <w:r w:rsidRPr="007E4C66">
        <w:rPr>
          <w:sz w:val="26"/>
          <w:szCs w:val="26"/>
        </w:rPr>
        <w:t xml:space="preserve"> </w:t>
      </w:r>
      <w:r w:rsidR="0057229F" w:rsidRPr="007E4C66">
        <w:rPr>
          <w:sz w:val="26"/>
          <w:szCs w:val="26"/>
        </w:rPr>
        <w:t>and</w:t>
      </w:r>
      <w:r w:rsidR="00CC7829" w:rsidRPr="007E4C66">
        <w:rPr>
          <w:sz w:val="26"/>
          <w:szCs w:val="26"/>
        </w:rPr>
        <w:t xml:space="preserve"> additional factors relevant to the true object test</w:t>
      </w:r>
      <w:r w:rsidR="00CC7829" w:rsidRPr="007E4C66">
        <w:rPr>
          <w:rStyle w:val="FootnoteReference"/>
          <w:sz w:val="26"/>
          <w:szCs w:val="26"/>
        </w:rPr>
        <w:footnoteReference w:id="50"/>
      </w:r>
      <w:r w:rsidR="00CC7829" w:rsidRPr="007E4C66">
        <w:rPr>
          <w:sz w:val="26"/>
          <w:szCs w:val="26"/>
        </w:rPr>
        <w:t xml:space="preserve"> </w:t>
      </w:r>
      <w:r w:rsidRPr="007E4C66">
        <w:rPr>
          <w:sz w:val="26"/>
          <w:szCs w:val="26"/>
        </w:rPr>
        <w:t>that are beyond the scope of this white paper.</w:t>
      </w:r>
    </w:p>
    <w:p w14:paraId="4B3E3AB3" w14:textId="29BE9B04" w:rsidR="00666EC4" w:rsidRPr="007E4C66" w:rsidRDefault="00C272D4" w:rsidP="00F548E6">
      <w:pPr>
        <w:rPr>
          <w:b/>
          <w:bCs/>
          <w:sz w:val="26"/>
          <w:szCs w:val="26"/>
        </w:rPr>
      </w:pPr>
      <w:r w:rsidRPr="007E4C66">
        <w:rPr>
          <w:sz w:val="26"/>
          <w:szCs w:val="26"/>
        </w:rPr>
        <w:t>One</w:t>
      </w:r>
      <w:r w:rsidR="00317E10" w:rsidRPr="007E4C66">
        <w:rPr>
          <w:sz w:val="26"/>
          <w:szCs w:val="26"/>
        </w:rPr>
        <w:t xml:space="preserve"> situation where the true object test is not applicable</w:t>
      </w:r>
      <w:r w:rsidRPr="007E4C66">
        <w:rPr>
          <w:sz w:val="26"/>
          <w:szCs w:val="26"/>
        </w:rPr>
        <w:t xml:space="preserve"> is that of </w:t>
      </w:r>
      <w:r w:rsidR="00317E10" w:rsidRPr="007E4C66">
        <w:rPr>
          <w:sz w:val="26"/>
          <w:szCs w:val="26"/>
        </w:rPr>
        <w:t xml:space="preserve">“mixed transactions.” Mixed transactions are those where the various </w:t>
      </w:r>
      <w:r w:rsidR="00AC56F9" w:rsidRPr="007E4C66">
        <w:rPr>
          <w:sz w:val="26"/>
          <w:szCs w:val="26"/>
        </w:rPr>
        <w:t>element</w:t>
      </w:r>
      <w:r w:rsidR="00E070B0" w:rsidRPr="007E4C66">
        <w:rPr>
          <w:sz w:val="26"/>
          <w:szCs w:val="26"/>
        </w:rPr>
        <w:t>s</w:t>
      </w:r>
      <w:r w:rsidR="00AC56F9" w:rsidRPr="007E4C66">
        <w:rPr>
          <w:sz w:val="26"/>
          <w:szCs w:val="26"/>
        </w:rPr>
        <w:t xml:space="preserve"> </w:t>
      </w:r>
      <w:r w:rsidR="00317E10" w:rsidRPr="007E4C66">
        <w:rPr>
          <w:sz w:val="26"/>
          <w:szCs w:val="26"/>
        </w:rPr>
        <w:t>being analyzed are not packaged, bundled, or intertwined enough to be viewed as one</w:t>
      </w:r>
      <w:r w:rsidR="00C20E62" w:rsidRPr="007E4C66">
        <w:rPr>
          <w:sz w:val="26"/>
          <w:szCs w:val="26"/>
        </w:rPr>
        <w:t>, o</w:t>
      </w:r>
      <w:r w:rsidR="00B9522B" w:rsidRPr="007E4C66">
        <w:rPr>
          <w:sz w:val="26"/>
          <w:szCs w:val="26"/>
        </w:rPr>
        <w:t>r</w:t>
      </w:r>
      <w:r w:rsidR="00A9544C" w:rsidRPr="007E4C66">
        <w:rPr>
          <w:sz w:val="26"/>
          <w:szCs w:val="26"/>
        </w:rPr>
        <w:t xml:space="preserve"> the elements</w:t>
      </w:r>
      <w:r w:rsidR="00317E10" w:rsidRPr="007E4C66">
        <w:rPr>
          <w:sz w:val="26"/>
          <w:szCs w:val="26"/>
        </w:rPr>
        <w:t xml:space="preserve"> have too much independence from one another to be viewed as one.</w:t>
      </w:r>
    </w:p>
    <w:p w14:paraId="4B3E3AB4" w14:textId="0DF0AEE9" w:rsidR="00F548E6" w:rsidRPr="007E4C66" w:rsidRDefault="00317E10" w:rsidP="00F548E6">
      <w:pPr>
        <w:rPr>
          <w:sz w:val="26"/>
          <w:szCs w:val="26"/>
        </w:rPr>
      </w:pPr>
      <w:r w:rsidRPr="007E4C66">
        <w:rPr>
          <w:sz w:val="26"/>
          <w:szCs w:val="26"/>
        </w:rPr>
        <w:t xml:space="preserve">In </w:t>
      </w:r>
      <w:r w:rsidRPr="007E4C66">
        <w:rPr>
          <w:i/>
          <w:iCs/>
          <w:sz w:val="26"/>
          <w:szCs w:val="26"/>
        </w:rPr>
        <w:t>Rylander v. San Antonio SMSA L.P.,</w:t>
      </w:r>
      <w:r w:rsidRPr="007E4C66">
        <w:rPr>
          <w:sz w:val="26"/>
          <w:szCs w:val="26"/>
          <w:vertAlign w:val="superscript"/>
        </w:rPr>
        <w:footnoteReference w:id="51"/>
      </w:r>
      <w:r w:rsidRPr="007E4C66">
        <w:rPr>
          <w:i/>
          <w:iCs/>
          <w:sz w:val="26"/>
          <w:szCs w:val="26"/>
        </w:rPr>
        <w:t xml:space="preserve"> </w:t>
      </w:r>
      <w:r w:rsidRPr="007E4C66">
        <w:rPr>
          <w:sz w:val="26"/>
          <w:szCs w:val="26"/>
        </w:rPr>
        <w:t xml:space="preserve">the court considered transactions for network equipment and engineering services to configure the equipment. The equipment and services were priced separately but invoiced together. The court held the equipment and the engineering services were independently desired and independently provided, were readily separable, and neither was “incident” to the other. The result was that the </w:t>
      </w:r>
      <w:r w:rsidR="00215BCF" w:rsidRPr="007068E9">
        <w:rPr>
          <w:sz w:val="26"/>
          <w:szCs w:val="26"/>
        </w:rPr>
        <w:t>true object test did not apply, and the</w:t>
      </w:r>
      <w:r w:rsidR="00215BCF" w:rsidRPr="007E4C66">
        <w:rPr>
          <w:sz w:val="26"/>
          <w:szCs w:val="26"/>
        </w:rPr>
        <w:t xml:space="preserve"> </w:t>
      </w:r>
      <w:r w:rsidR="00F77978" w:rsidRPr="007E4C66">
        <w:rPr>
          <w:sz w:val="26"/>
          <w:szCs w:val="26"/>
        </w:rPr>
        <w:t>engineering services and equipment</w:t>
      </w:r>
      <w:r w:rsidRPr="007E4C66">
        <w:rPr>
          <w:sz w:val="26"/>
          <w:szCs w:val="26"/>
        </w:rPr>
        <w:t xml:space="preserve"> </w:t>
      </w:r>
      <w:r w:rsidR="00FA56A9" w:rsidRPr="007E4C66">
        <w:rPr>
          <w:sz w:val="26"/>
          <w:szCs w:val="26"/>
        </w:rPr>
        <w:t>must be</w:t>
      </w:r>
      <w:r w:rsidRPr="007E4C66">
        <w:rPr>
          <w:sz w:val="26"/>
          <w:szCs w:val="26"/>
        </w:rPr>
        <w:t xml:space="preserve"> analyzed separately for taxability. In </w:t>
      </w:r>
      <w:r w:rsidRPr="007E4C66">
        <w:rPr>
          <w:i/>
          <w:iCs/>
          <w:sz w:val="26"/>
          <w:szCs w:val="26"/>
        </w:rPr>
        <w:t>SMSA</w:t>
      </w:r>
      <w:r w:rsidRPr="007E4C66">
        <w:rPr>
          <w:sz w:val="26"/>
          <w:szCs w:val="26"/>
        </w:rPr>
        <w:t xml:space="preserve">, the Texas court cited </w:t>
      </w:r>
      <w:r w:rsidR="00FA56A9" w:rsidRPr="007E4C66">
        <w:rPr>
          <w:sz w:val="26"/>
          <w:szCs w:val="26"/>
        </w:rPr>
        <w:t xml:space="preserve">extensively </w:t>
      </w:r>
      <w:r w:rsidRPr="007E4C66">
        <w:rPr>
          <w:sz w:val="26"/>
          <w:szCs w:val="26"/>
        </w:rPr>
        <w:t xml:space="preserve">to </w:t>
      </w:r>
      <w:r w:rsidRPr="007E4C66">
        <w:rPr>
          <w:i/>
          <w:iCs/>
          <w:sz w:val="26"/>
          <w:szCs w:val="26"/>
        </w:rPr>
        <w:t>New England Tel. &amp; Tel. Co. v. Clark</w:t>
      </w:r>
      <w:r w:rsidRPr="007E4C66">
        <w:rPr>
          <w:sz w:val="26"/>
          <w:szCs w:val="26"/>
        </w:rPr>
        <w:t>,</w:t>
      </w:r>
      <w:r w:rsidRPr="007E4C66">
        <w:rPr>
          <w:sz w:val="26"/>
          <w:szCs w:val="26"/>
          <w:vertAlign w:val="superscript"/>
        </w:rPr>
        <w:footnoteReference w:id="52"/>
      </w:r>
      <w:r w:rsidRPr="007E4C66">
        <w:rPr>
          <w:sz w:val="26"/>
          <w:szCs w:val="26"/>
        </w:rPr>
        <w:t xml:space="preserve"> </w:t>
      </w:r>
      <w:r w:rsidR="00FA56A9" w:rsidRPr="007E4C66">
        <w:rPr>
          <w:sz w:val="26"/>
          <w:szCs w:val="26"/>
        </w:rPr>
        <w:t>from</w:t>
      </w:r>
      <w:r w:rsidRPr="007E4C66">
        <w:rPr>
          <w:sz w:val="26"/>
          <w:szCs w:val="26"/>
        </w:rPr>
        <w:t xml:space="preserve"> Rhode Island. In </w:t>
      </w:r>
      <w:r w:rsidRPr="007E4C66">
        <w:rPr>
          <w:i/>
          <w:iCs/>
          <w:sz w:val="26"/>
          <w:szCs w:val="26"/>
        </w:rPr>
        <w:t>Clark</w:t>
      </w:r>
      <w:r w:rsidRPr="007E4C66">
        <w:rPr>
          <w:sz w:val="26"/>
          <w:szCs w:val="26"/>
        </w:rPr>
        <w:t>, the issue and result were similar.</w:t>
      </w:r>
    </w:p>
    <w:p w14:paraId="0FB499C3" w14:textId="337C1430" w:rsidR="00AC56F9" w:rsidRPr="007E4C66" w:rsidRDefault="008D26B8" w:rsidP="00F903FB">
      <w:pPr>
        <w:pStyle w:val="Heading2"/>
        <w:rPr>
          <w:sz w:val="26"/>
          <w:szCs w:val="26"/>
        </w:rPr>
      </w:pPr>
      <w:r w:rsidRPr="00543569">
        <w:t>D</w:t>
      </w:r>
      <w:r w:rsidR="00AC56F9" w:rsidRPr="00543569">
        <w:t xml:space="preserve">. </w:t>
      </w:r>
      <w:r w:rsidR="00574DEB" w:rsidRPr="00543569">
        <w:t xml:space="preserve">Generalized </w:t>
      </w:r>
      <w:r w:rsidR="00462081" w:rsidRPr="00543569">
        <w:t xml:space="preserve">Bundling </w:t>
      </w:r>
      <w:r w:rsidR="00AC56F9" w:rsidRPr="00543569">
        <w:t>Decision Tree</w:t>
      </w:r>
      <w:r w:rsidR="00E070B0" w:rsidRPr="007E4C66">
        <w:rPr>
          <w:rStyle w:val="FootnoteReference"/>
          <w:sz w:val="26"/>
          <w:szCs w:val="26"/>
        </w:rPr>
        <w:footnoteReference w:id="53"/>
      </w:r>
    </w:p>
    <w:p w14:paraId="04B69E99" w14:textId="316B9FC5" w:rsidR="00AC56F9" w:rsidRPr="007E4C66" w:rsidRDefault="00AC56F9" w:rsidP="00AC56F9">
      <w:pPr>
        <w:rPr>
          <w:sz w:val="26"/>
          <w:szCs w:val="26"/>
        </w:rPr>
      </w:pPr>
      <w:r w:rsidRPr="007E4C66">
        <w:rPr>
          <w:sz w:val="26"/>
          <w:szCs w:val="26"/>
        </w:rPr>
        <w:t xml:space="preserve">The decision tree below demonstrates the operation of current </w:t>
      </w:r>
      <w:r w:rsidR="00462081" w:rsidRPr="007E4C66">
        <w:rPr>
          <w:sz w:val="26"/>
          <w:szCs w:val="26"/>
        </w:rPr>
        <w:t xml:space="preserve">state </w:t>
      </w:r>
      <w:r w:rsidRPr="007E4C66">
        <w:rPr>
          <w:sz w:val="26"/>
          <w:szCs w:val="26"/>
        </w:rPr>
        <w:t>law</w:t>
      </w:r>
      <w:r w:rsidR="00B764BA" w:rsidRPr="007E4C66">
        <w:rPr>
          <w:sz w:val="26"/>
          <w:szCs w:val="26"/>
        </w:rPr>
        <w:t>, both Streamlined and other law,</w:t>
      </w:r>
      <w:r w:rsidR="00462081" w:rsidRPr="007E4C66">
        <w:rPr>
          <w:sz w:val="26"/>
          <w:szCs w:val="26"/>
        </w:rPr>
        <w:t xml:space="preserve"> as it applies to treating bundled transactions</w:t>
      </w:r>
      <w:r w:rsidRPr="007E4C66">
        <w:rPr>
          <w:sz w:val="26"/>
          <w:szCs w:val="26"/>
        </w:rPr>
        <w:t>.</w:t>
      </w:r>
    </w:p>
    <w:p w14:paraId="2C8B5758" w14:textId="23183B14" w:rsidR="00AC56F9" w:rsidRDefault="00E070B0" w:rsidP="00AC56F9">
      <w:r>
        <w:rPr>
          <w:noProof/>
        </w:rPr>
        <w:lastRenderedPageBreak/>
        <mc:AlternateContent>
          <mc:Choice Requires="wps">
            <w:drawing>
              <wp:anchor distT="45720" distB="45720" distL="114300" distR="114300" simplePos="0" relativeHeight="251691008" behindDoc="0" locked="0" layoutInCell="1" allowOverlap="1" wp14:anchorId="739F422F" wp14:editId="7F932CF4">
                <wp:simplePos x="0" y="0"/>
                <wp:positionH relativeFrom="column">
                  <wp:posOffset>-38100</wp:posOffset>
                </wp:positionH>
                <wp:positionV relativeFrom="paragraph">
                  <wp:posOffset>26670</wp:posOffset>
                </wp:positionV>
                <wp:extent cx="5953125" cy="27527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752725"/>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7579AE70" w14:textId="77777777" w:rsidR="00E070B0" w:rsidRDefault="00E070B0" w:rsidP="00E070B0">
                            <w:r w:rsidRPr="007B2D3C">
                              <w:rPr>
                                <w:noProof/>
                              </w:rPr>
                              <w:drawing>
                                <wp:inline distT="0" distB="0" distL="0" distR="0" wp14:anchorId="446B45AE" wp14:editId="44C6408B">
                                  <wp:extent cx="5781675" cy="2647950"/>
                                  <wp:effectExtent l="0" t="0" r="9525" b="0"/>
                                  <wp:docPr id="107310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2647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F422F" id="_x0000_t202" coordsize="21600,21600" o:spt="202" path="m,l,21600r21600,l21600,xe">
                <v:stroke joinstyle="miter"/>
                <v:path gradientshapeok="t" o:connecttype="rect"/>
              </v:shapetype>
              <v:shape id="Text Box 2" o:spid="_x0000_s1026" type="#_x0000_t202" style="position:absolute;margin-left:-3pt;margin-top:2.1pt;width:468.75pt;height:216.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" fillcolor="white [3201]" strokecolor="black [3200]" strokeweight="3pt">
                <v:textbox>
                  <w:txbxContent>
                    <w:p w14:paraId="7579AE70" w14:textId="77777777" w:rsidR="00E070B0" w:rsidRDefault="00E070B0" w:rsidP="00E070B0">
                      <w:r w:rsidRPr="007B2D3C">
                        <w:rPr>
                          <w:noProof/>
                        </w:rPr>
                        <w:drawing>
                          <wp:inline distT="0" distB="0" distL="0" distR="0" wp14:anchorId="446B45AE" wp14:editId="44C6408B">
                            <wp:extent cx="5781675" cy="2647950"/>
                            <wp:effectExtent l="0" t="0" r="9525" b="0"/>
                            <wp:docPr id="107310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2647950"/>
                                    </a:xfrm>
                                    <a:prstGeom prst="rect">
                                      <a:avLst/>
                                    </a:prstGeom>
                                    <a:noFill/>
                                    <a:ln>
                                      <a:noFill/>
                                    </a:ln>
                                  </pic:spPr>
                                </pic:pic>
                              </a:graphicData>
                            </a:graphic>
                          </wp:inline>
                        </w:drawing>
                      </w:r>
                    </w:p>
                  </w:txbxContent>
                </v:textbox>
                <w10:wrap type="square"/>
              </v:shape>
            </w:pict>
          </mc:Fallback>
        </mc:AlternateContent>
      </w:r>
    </w:p>
    <w:p w14:paraId="1EDBDF2A" w14:textId="63426B90" w:rsidR="00E070B0" w:rsidRDefault="00E070B0" w:rsidP="00C55420">
      <w:pPr>
        <w:pStyle w:val="Heading3"/>
        <w:numPr>
          <w:ilvl w:val="0"/>
          <w:numId w:val="13"/>
        </w:numPr>
      </w:pPr>
      <w:r>
        <w:t>The question of separability.</w:t>
      </w:r>
    </w:p>
    <w:p w14:paraId="740D1F41" w14:textId="08F3F6C8" w:rsidR="00E070B0" w:rsidRPr="007E4C66" w:rsidRDefault="00462081" w:rsidP="00E070B0">
      <w:pPr>
        <w:rPr>
          <w:sz w:val="26"/>
          <w:szCs w:val="26"/>
        </w:rPr>
      </w:pPr>
      <w:r w:rsidRPr="007E4C66">
        <w:rPr>
          <w:sz w:val="26"/>
          <w:szCs w:val="26"/>
        </w:rPr>
        <w:t xml:space="preserve">As noted above, Streamlined states consider whether the </w:t>
      </w:r>
      <w:r w:rsidR="00494A0A" w:rsidRPr="007E4C66">
        <w:rPr>
          <w:sz w:val="26"/>
          <w:szCs w:val="26"/>
        </w:rPr>
        <w:t>components</w:t>
      </w:r>
      <w:r w:rsidRPr="007E4C66">
        <w:rPr>
          <w:sz w:val="26"/>
          <w:szCs w:val="26"/>
        </w:rPr>
        <w:t xml:space="preserve"> of a transaction are “distinct and identifiable.”</w:t>
      </w:r>
      <w:r w:rsidRPr="007E4C66">
        <w:rPr>
          <w:rStyle w:val="FootnoteReference"/>
          <w:sz w:val="26"/>
          <w:szCs w:val="26"/>
        </w:rPr>
        <w:footnoteReference w:id="54"/>
      </w:r>
      <w:r w:rsidRPr="007E4C66">
        <w:rPr>
          <w:sz w:val="26"/>
          <w:szCs w:val="26"/>
        </w:rPr>
        <w:t xml:space="preserve"> Non-Streamlined states may make a similar determination. </w:t>
      </w:r>
      <w:r w:rsidR="00E070B0" w:rsidRPr="007E4C66">
        <w:rPr>
          <w:sz w:val="26"/>
          <w:szCs w:val="26"/>
        </w:rPr>
        <w:t>In Texas, services are separable if they are “distinct and identifiable” and of a type which is commonly provided on a stand-alone basis.</w:t>
      </w:r>
      <w:r w:rsidR="00E070B0" w:rsidRPr="007E4C66">
        <w:rPr>
          <w:rStyle w:val="FootnoteReference"/>
          <w:sz w:val="26"/>
          <w:szCs w:val="26"/>
        </w:rPr>
        <w:footnoteReference w:id="55"/>
      </w:r>
      <w:r w:rsidR="00E070B0" w:rsidRPr="007E4C66">
        <w:rPr>
          <w:sz w:val="26"/>
          <w:szCs w:val="26"/>
        </w:rPr>
        <w:t xml:space="preserve"> Colorado considers whether an item’s nature remains the same whether it is contracted for as part of the mixed transaction or at a later time, and purchase at a later time is an option.</w:t>
      </w:r>
      <w:r w:rsidR="00E070B0" w:rsidRPr="007E4C66">
        <w:rPr>
          <w:rStyle w:val="FootnoteReference"/>
          <w:sz w:val="26"/>
          <w:szCs w:val="26"/>
        </w:rPr>
        <w:footnoteReference w:id="56"/>
      </w:r>
      <w:r w:rsidR="00E070B0" w:rsidRPr="007E4C66">
        <w:rPr>
          <w:sz w:val="26"/>
          <w:szCs w:val="26"/>
        </w:rPr>
        <w:t xml:space="preserve"> </w:t>
      </w:r>
    </w:p>
    <w:p w14:paraId="3674E804" w14:textId="7C46D222" w:rsidR="00E070B0" w:rsidRDefault="00E070B0" w:rsidP="00C55420">
      <w:pPr>
        <w:pStyle w:val="Heading3"/>
        <w:numPr>
          <w:ilvl w:val="0"/>
          <w:numId w:val="13"/>
        </w:numPr>
      </w:pPr>
      <w:r>
        <w:t>If the elements are inseparable.</w:t>
      </w:r>
    </w:p>
    <w:p w14:paraId="7373EF5A" w14:textId="3E23A4BA" w:rsidR="00E070B0" w:rsidRPr="007E4C66" w:rsidRDefault="00E070B0" w:rsidP="00E070B0">
      <w:pPr>
        <w:rPr>
          <w:sz w:val="26"/>
          <w:szCs w:val="26"/>
        </w:rPr>
      </w:pPr>
      <w:r w:rsidRPr="007E4C66">
        <w:rPr>
          <w:sz w:val="26"/>
          <w:szCs w:val="26"/>
        </w:rPr>
        <w:t xml:space="preserve">Typically, </w:t>
      </w:r>
      <w:r w:rsidR="00462081" w:rsidRPr="007E4C66">
        <w:rPr>
          <w:sz w:val="26"/>
          <w:szCs w:val="26"/>
        </w:rPr>
        <w:t xml:space="preserve">states apply </w:t>
      </w:r>
      <w:r w:rsidRPr="007E4C66">
        <w:rPr>
          <w:sz w:val="26"/>
          <w:szCs w:val="26"/>
        </w:rPr>
        <w:t>some variant of the true object test</w:t>
      </w:r>
      <w:r w:rsidR="002905C2" w:rsidRPr="007E4C66">
        <w:rPr>
          <w:sz w:val="26"/>
          <w:szCs w:val="26"/>
        </w:rPr>
        <w:t xml:space="preserve"> when the elements are inseparable</w:t>
      </w:r>
      <w:r w:rsidR="00462081" w:rsidRPr="007E4C66">
        <w:rPr>
          <w:sz w:val="26"/>
          <w:szCs w:val="26"/>
        </w:rPr>
        <w:t xml:space="preserve">–for example, see </w:t>
      </w:r>
      <w:r w:rsidRPr="007E4C66">
        <w:rPr>
          <w:sz w:val="26"/>
          <w:szCs w:val="26"/>
        </w:rPr>
        <w:t>Tennessee and Colorado.</w:t>
      </w:r>
      <w:r w:rsidRPr="007E4C66">
        <w:rPr>
          <w:rStyle w:val="FootnoteReference"/>
          <w:sz w:val="26"/>
          <w:szCs w:val="26"/>
        </w:rPr>
        <w:footnoteReference w:id="57"/>
      </w:r>
      <w:r w:rsidRPr="007E4C66">
        <w:rPr>
          <w:sz w:val="26"/>
          <w:szCs w:val="26"/>
        </w:rPr>
        <w:t xml:space="preserve"> In Texas, the essence of the transaction test applies to inseparable </w:t>
      </w:r>
      <w:r w:rsidR="00215BCF" w:rsidRPr="007068E9">
        <w:rPr>
          <w:sz w:val="26"/>
          <w:szCs w:val="26"/>
        </w:rPr>
        <w:t>tangible and intangible property</w:t>
      </w:r>
      <w:r w:rsidRPr="007E4C66">
        <w:rPr>
          <w:sz w:val="26"/>
          <w:szCs w:val="26"/>
        </w:rPr>
        <w:t>.</w:t>
      </w:r>
      <w:r w:rsidRPr="007E4C66">
        <w:rPr>
          <w:rStyle w:val="FootnoteReference"/>
          <w:sz w:val="26"/>
          <w:szCs w:val="26"/>
        </w:rPr>
        <w:footnoteReference w:id="58"/>
      </w:r>
      <w:r w:rsidRPr="007E4C66">
        <w:rPr>
          <w:sz w:val="26"/>
          <w:szCs w:val="26"/>
        </w:rPr>
        <w:t xml:space="preserve"> See section </w:t>
      </w:r>
      <w:r w:rsidR="00471CEC" w:rsidRPr="007E4C66">
        <w:rPr>
          <w:sz w:val="26"/>
          <w:szCs w:val="26"/>
        </w:rPr>
        <w:t>4</w:t>
      </w:r>
      <w:r w:rsidRPr="007E4C66">
        <w:rPr>
          <w:sz w:val="26"/>
          <w:szCs w:val="26"/>
        </w:rPr>
        <w:t>.</w:t>
      </w:r>
      <w:r w:rsidR="00471CEC" w:rsidRPr="007E4C66">
        <w:rPr>
          <w:sz w:val="26"/>
          <w:szCs w:val="26"/>
        </w:rPr>
        <w:t>C</w:t>
      </w:r>
      <w:r w:rsidRPr="007E4C66">
        <w:rPr>
          <w:sz w:val="26"/>
          <w:szCs w:val="26"/>
        </w:rPr>
        <w:t xml:space="preserve"> </w:t>
      </w:r>
      <w:r w:rsidR="00B24F15" w:rsidRPr="007E4C66">
        <w:rPr>
          <w:sz w:val="26"/>
          <w:szCs w:val="26"/>
        </w:rPr>
        <w:t>above</w:t>
      </w:r>
      <w:r w:rsidRPr="007E4C66">
        <w:rPr>
          <w:sz w:val="26"/>
          <w:szCs w:val="26"/>
        </w:rPr>
        <w:t xml:space="preserve"> for more on the true object test. </w:t>
      </w:r>
      <w:r w:rsidR="00522E43" w:rsidRPr="007E4C66">
        <w:rPr>
          <w:sz w:val="26"/>
          <w:szCs w:val="26"/>
        </w:rPr>
        <w:t>T</w:t>
      </w:r>
      <w:r w:rsidR="003942A8" w:rsidRPr="007E4C66">
        <w:rPr>
          <w:sz w:val="26"/>
          <w:szCs w:val="26"/>
        </w:rPr>
        <w:t xml:space="preserve">he </w:t>
      </w:r>
      <w:r w:rsidRPr="007E4C66">
        <w:rPr>
          <w:sz w:val="26"/>
          <w:szCs w:val="26"/>
        </w:rPr>
        <w:t xml:space="preserve">Streamlined </w:t>
      </w:r>
      <w:r w:rsidR="003942A8" w:rsidRPr="007E4C66">
        <w:rPr>
          <w:sz w:val="26"/>
          <w:szCs w:val="26"/>
        </w:rPr>
        <w:t xml:space="preserve">agreement </w:t>
      </w:r>
      <w:r w:rsidRPr="007E4C66">
        <w:rPr>
          <w:sz w:val="26"/>
          <w:szCs w:val="26"/>
        </w:rPr>
        <w:t>do</w:t>
      </w:r>
      <w:r w:rsidR="003942A8" w:rsidRPr="007E4C66">
        <w:rPr>
          <w:sz w:val="26"/>
          <w:szCs w:val="26"/>
        </w:rPr>
        <w:t>es</w:t>
      </w:r>
      <w:r w:rsidRPr="007E4C66">
        <w:rPr>
          <w:sz w:val="26"/>
          <w:szCs w:val="26"/>
        </w:rPr>
        <w:t xml:space="preserve"> not specify the tax treatment of elements that are inseparable</w:t>
      </w:r>
      <w:r w:rsidR="002905C2" w:rsidRPr="007E4C66">
        <w:rPr>
          <w:sz w:val="26"/>
          <w:szCs w:val="26"/>
        </w:rPr>
        <w:t>. P</w:t>
      </w:r>
      <w:r w:rsidRPr="007E4C66">
        <w:rPr>
          <w:sz w:val="26"/>
          <w:szCs w:val="26"/>
        </w:rPr>
        <w:t>resumably</w:t>
      </w:r>
      <w:r w:rsidR="002905C2" w:rsidRPr="007E4C66">
        <w:rPr>
          <w:sz w:val="26"/>
          <w:szCs w:val="26"/>
        </w:rPr>
        <w:t>,</w:t>
      </w:r>
      <w:r w:rsidRPr="007E4C66">
        <w:rPr>
          <w:sz w:val="26"/>
          <w:szCs w:val="26"/>
        </w:rPr>
        <w:t xml:space="preserve"> if </w:t>
      </w:r>
      <w:r w:rsidR="002541A1" w:rsidRPr="007E4C66">
        <w:rPr>
          <w:sz w:val="26"/>
          <w:szCs w:val="26"/>
        </w:rPr>
        <w:t xml:space="preserve">the </w:t>
      </w:r>
      <w:r w:rsidRPr="007E4C66">
        <w:rPr>
          <w:sz w:val="26"/>
          <w:szCs w:val="26"/>
        </w:rPr>
        <w:t>elements are inseparable</w:t>
      </w:r>
      <w:r w:rsidR="002905C2" w:rsidRPr="007E4C66">
        <w:rPr>
          <w:sz w:val="26"/>
          <w:szCs w:val="26"/>
        </w:rPr>
        <w:t>,</w:t>
      </w:r>
      <w:r w:rsidRPr="007E4C66">
        <w:rPr>
          <w:sz w:val="26"/>
          <w:szCs w:val="26"/>
        </w:rPr>
        <w:t xml:space="preserve"> they represent only a single product </w:t>
      </w:r>
      <w:r w:rsidR="002905C2" w:rsidRPr="007E4C66">
        <w:rPr>
          <w:sz w:val="26"/>
          <w:szCs w:val="26"/>
        </w:rPr>
        <w:t xml:space="preserve">that is </w:t>
      </w:r>
      <w:r w:rsidRPr="007E4C66">
        <w:rPr>
          <w:sz w:val="26"/>
          <w:szCs w:val="26"/>
        </w:rPr>
        <w:t>not subject to the bundling rules.</w:t>
      </w:r>
    </w:p>
    <w:p w14:paraId="533367F6" w14:textId="005D662D" w:rsidR="00E070B0" w:rsidRDefault="00E070B0" w:rsidP="00C55420">
      <w:pPr>
        <w:pStyle w:val="Heading3"/>
        <w:numPr>
          <w:ilvl w:val="0"/>
          <w:numId w:val="13"/>
        </w:numPr>
      </w:pPr>
      <w:r>
        <w:lastRenderedPageBreak/>
        <w:t>If the elements are separable.</w:t>
      </w:r>
    </w:p>
    <w:p w14:paraId="76282174" w14:textId="68C88642" w:rsidR="00E070B0" w:rsidRPr="007E4C66" w:rsidRDefault="00DD5C12" w:rsidP="00E070B0">
      <w:pPr>
        <w:rPr>
          <w:sz w:val="26"/>
          <w:szCs w:val="26"/>
        </w:rPr>
      </w:pPr>
      <w:r w:rsidRPr="007E4C66">
        <w:rPr>
          <w:sz w:val="26"/>
          <w:szCs w:val="26"/>
        </w:rPr>
        <w:t>A</w:t>
      </w:r>
      <w:r w:rsidR="00E070B0" w:rsidRPr="007E4C66">
        <w:rPr>
          <w:sz w:val="26"/>
          <w:szCs w:val="26"/>
        </w:rPr>
        <w:t xml:space="preserve"> state’s definition of “sales price,” “purchase price,” or similar definition </w:t>
      </w:r>
      <w:r w:rsidRPr="007E4C66">
        <w:rPr>
          <w:sz w:val="26"/>
          <w:szCs w:val="26"/>
        </w:rPr>
        <w:t>may determine the treatment of certain</w:t>
      </w:r>
      <w:r w:rsidR="00E070B0" w:rsidRPr="007E4C66">
        <w:rPr>
          <w:sz w:val="26"/>
          <w:szCs w:val="26"/>
        </w:rPr>
        <w:t xml:space="preserve"> separable elements that are not allowed to be separated. Common examples are installation and delivery charges.</w:t>
      </w:r>
      <w:r w:rsidR="00E070B0" w:rsidRPr="007E4C66">
        <w:rPr>
          <w:rStyle w:val="FootnoteReference"/>
          <w:sz w:val="26"/>
          <w:szCs w:val="26"/>
        </w:rPr>
        <w:footnoteReference w:id="59"/>
      </w:r>
    </w:p>
    <w:p w14:paraId="7C985E37" w14:textId="3F79D02E" w:rsidR="00E070B0" w:rsidRPr="007E4C66" w:rsidRDefault="00E070B0" w:rsidP="00E070B0">
      <w:pPr>
        <w:rPr>
          <w:sz w:val="26"/>
          <w:szCs w:val="26"/>
        </w:rPr>
      </w:pPr>
      <w:r w:rsidRPr="007E4C66">
        <w:rPr>
          <w:sz w:val="26"/>
          <w:szCs w:val="26"/>
        </w:rPr>
        <w:t>Under Streamlined, separable elements such as delivery</w:t>
      </w:r>
      <w:r w:rsidRPr="007E4C66">
        <w:rPr>
          <w:rStyle w:val="FootnoteReference"/>
          <w:sz w:val="26"/>
          <w:szCs w:val="26"/>
        </w:rPr>
        <w:footnoteReference w:id="60"/>
      </w:r>
      <w:r w:rsidRPr="007E4C66">
        <w:rPr>
          <w:sz w:val="26"/>
          <w:szCs w:val="26"/>
        </w:rPr>
        <w:t xml:space="preserve"> are not separated out if they are included in the definition of “sales price.”</w:t>
      </w:r>
      <w:r w:rsidRPr="007E4C66">
        <w:rPr>
          <w:rStyle w:val="FootnoteReference"/>
          <w:sz w:val="26"/>
          <w:szCs w:val="26"/>
        </w:rPr>
        <w:footnoteReference w:id="61"/>
      </w:r>
      <w:r w:rsidRPr="007E4C66">
        <w:rPr>
          <w:sz w:val="26"/>
          <w:szCs w:val="26"/>
        </w:rPr>
        <w:t xml:space="preserve"> Additionally, packaging and items provided for free are not separated out.</w:t>
      </w:r>
      <w:r w:rsidRPr="007E4C66">
        <w:rPr>
          <w:rStyle w:val="FootnoteReference"/>
          <w:sz w:val="26"/>
          <w:szCs w:val="26"/>
        </w:rPr>
        <w:footnoteReference w:id="62"/>
      </w:r>
      <w:r w:rsidRPr="007E4C66">
        <w:rPr>
          <w:sz w:val="26"/>
          <w:szCs w:val="26"/>
        </w:rPr>
        <w:t xml:space="preserve"> </w:t>
      </w:r>
      <w:r w:rsidR="00DD5C12" w:rsidRPr="007E4C66">
        <w:rPr>
          <w:sz w:val="26"/>
          <w:szCs w:val="26"/>
        </w:rPr>
        <w:t xml:space="preserve">And as discussed above, </w:t>
      </w:r>
      <w:r w:rsidRPr="007E4C66">
        <w:rPr>
          <w:sz w:val="26"/>
          <w:szCs w:val="26"/>
        </w:rPr>
        <w:t>TPP and service elements are combined if the TPP is essential to the use of the service, the TPP is provided exclusively with the service, and the true object is the service.</w:t>
      </w:r>
      <w:r w:rsidRPr="007E4C66">
        <w:rPr>
          <w:rStyle w:val="FootnoteReference"/>
          <w:sz w:val="26"/>
          <w:szCs w:val="26"/>
        </w:rPr>
        <w:footnoteReference w:id="63"/>
      </w:r>
      <w:r w:rsidRPr="007E4C66">
        <w:rPr>
          <w:sz w:val="26"/>
          <w:szCs w:val="26"/>
        </w:rPr>
        <w:t xml:space="preserve"> A similar rule applies for multiple service elements. Multiple service elements are combined if the first service is essential to the second, the first service is provided exclusively with the second, and the true object is the second service.</w:t>
      </w:r>
      <w:r w:rsidRPr="007E4C66">
        <w:rPr>
          <w:rStyle w:val="FootnoteReference"/>
          <w:sz w:val="26"/>
          <w:szCs w:val="26"/>
        </w:rPr>
        <w:footnoteReference w:id="64"/>
      </w:r>
      <w:r w:rsidRPr="007E4C66">
        <w:rPr>
          <w:sz w:val="26"/>
          <w:szCs w:val="26"/>
        </w:rPr>
        <w:t xml:space="preserve"> Finally, a separable taxable element is disregarded if it is 10</w:t>
      </w:r>
      <w:r w:rsidR="006136B8" w:rsidRPr="007E4C66">
        <w:rPr>
          <w:sz w:val="26"/>
          <w:szCs w:val="26"/>
        </w:rPr>
        <w:t xml:space="preserve"> percent</w:t>
      </w:r>
      <w:r w:rsidRPr="007E4C66">
        <w:rPr>
          <w:sz w:val="26"/>
          <w:szCs w:val="26"/>
        </w:rPr>
        <w:t xml:space="preserve"> or less than the total purchase or sales price.</w:t>
      </w:r>
      <w:r w:rsidRPr="007E4C66">
        <w:rPr>
          <w:rStyle w:val="FootnoteReference"/>
          <w:sz w:val="26"/>
          <w:szCs w:val="26"/>
        </w:rPr>
        <w:footnoteReference w:id="65"/>
      </w:r>
    </w:p>
    <w:p w14:paraId="7C636694" w14:textId="33CCE00E" w:rsidR="00E070B0" w:rsidRPr="007E4C66" w:rsidRDefault="00E070B0" w:rsidP="00E070B0">
      <w:pPr>
        <w:rPr>
          <w:sz w:val="26"/>
          <w:szCs w:val="26"/>
        </w:rPr>
      </w:pPr>
      <w:r w:rsidRPr="007E4C66">
        <w:rPr>
          <w:sz w:val="26"/>
          <w:szCs w:val="26"/>
        </w:rPr>
        <w:t>In Texas, separable elements are not separated out if they are included in the definition of “sales price.” For services, the entire charge is taxable if the taxable portion is more than 5</w:t>
      </w:r>
      <w:r w:rsidR="006136B8" w:rsidRPr="007E4C66">
        <w:rPr>
          <w:sz w:val="26"/>
          <w:szCs w:val="26"/>
        </w:rPr>
        <w:t xml:space="preserve"> percent</w:t>
      </w:r>
      <w:r w:rsidRPr="007E4C66">
        <w:rPr>
          <w:sz w:val="26"/>
          <w:szCs w:val="26"/>
        </w:rPr>
        <w:t xml:space="preserve"> of the total. However, the presumption of taxability can be rebutted based on the taxpayer’s books and records.</w:t>
      </w:r>
      <w:r w:rsidRPr="007E4C66">
        <w:rPr>
          <w:rStyle w:val="FootnoteReference"/>
          <w:sz w:val="26"/>
          <w:szCs w:val="26"/>
        </w:rPr>
        <w:footnoteReference w:id="66"/>
      </w:r>
    </w:p>
    <w:p w14:paraId="0C632CB0" w14:textId="77777777" w:rsidR="00E070B0" w:rsidRPr="007E4C66" w:rsidRDefault="00E070B0" w:rsidP="00E070B0">
      <w:pPr>
        <w:rPr>
          <w:sz w:val="26"/>
          <w:szCs w:val="26"/>
        </w:rPr>
      </w:pPr>
      <w:r w:rsidRPr="007E4C66">
        <w:rPr>
          <w:sz w:val="26"/>
          <w:szCs w:val="26"/>
        </w:rPr>
        <w:t>In Colorado, separable elements are not separated out if they are included in the definition of “purchase price.” If not included in the definition of “purchase price,” then there is separate tax treatment of separable elements.</w:t>
      </w:r>
    </w:p>
    <w:p w14:paraId="3286C168" w14:textId="20669F6E" w:rsidR="00AC56F9" w:rsidRPr="007E4C66" w:rsidRDefault="00E070B0" w:rsidP="00AC56F9">
      <w:pPr>
        <w:rPr>
          <w:sz w:val="26"/>
          <w:szCs w:val="26"/>
        </w:rPr>
      </w:pPr>
      <w:r w:rsidRPr="007E4C66">
        <w:rPr>
          <w:sz w:val="26"/>
          <w:szCs w:val="26"/>
        </w:rPr>
        <w:t>In Tennessee, if two items are separable, they are analyzed as a bundled transaction if sold for a single price.</w:t>
      </w:r>
      <w:r w:rsidRPr="007E4C66">
        <w:rPr>
          <w:rStyle w:val="FootnoteReference"/>
          <w:sz w:val="26"/>
          <w:szCs w:val="26"/>
        </w:rPr>
        <w:footnoteReference w:id="67"/>
      </w:r>
      <w:r w:rsidRPr="007E4C66">
        <w:rPr>
          <w:sz w:val="26"/>
          <w:szCs w:val="26"/>
        </w:rPr>
        <w:t xml:space="preserve"> In Tennessee, tax is imposed on the entire sales price if two or more items are sold for a single price and one of the items is taxable.</w:t>
      </w:r>
      <w:r w:rsidRPr="007E4C66">
        <w:rPr>
          <w:rStyle w:val="FootnoteReference"/>
          <w:sz w:val="26"/>
          <w:szCs w:val="26"/>
        </w:rPr>
        <w:footnoteReference w:id="68"/>
      </w:r>
    </w:p>
    <w:p w14:paraId="5035407B" w14:textId="238B24A6" w:rsidR="00D70AA1" w:rsidRDefault="00120ACA" w:rsidP="00595435">
      <w:pPr>
        <w:pStyle w:val="Heading1"/>
      </w:pPr>
      <w:r>
        <w:lastRenderedPageBreak/>
        <w:t>5</w:t>
      </w:r>
      <w:r w:rsidR="006A6AA5">
        <w:t xml:space="preserve">. </w:t>
      </w:r>
      <w:r w:rsidR="006A6AA5" w:rsidRPr="00DE0294">
        <w:t>Federal law considerations</w:t>
      </w:r>
    </w:p>
    <w:p w14:paraId="5501CA73" w14:textId="546ACC48" w:rsidR="006A6AA5" w:rsidRPr="007E4C66" w:rsidRDefault="006A6AA5" w:rsidP="006A6AA5">
      <w:pPr>
        <w:rPr>
          <w:sz w:val="26"/>
          <w:szCs w:val="26"/>
        </w:rPr>
      </w:pPr>
      <w:r w:rsidRPr="007E4C66">
        <w:rPr>
          <w:sz w:val="26"/>
          <w:szCs w:val="26"/>
        </w:rPr>
        <w:t xml:space="preserve">Two federal laws, the Internet Tax Freedom Act and Mobile Telecommunications Sourcing Act, contain language addressing bundling. Below we present the relevant language from each law, with links to the full language. State tax laws or other guidance may also reflect these provisions. </w:t>
      </w:r>
    </w:p>
    <w:p w14:paraId="40C074D8" w14:textId="07DABAEB" w:rsidR="006A6AA5" w:rsidRPr="007E4C66" w:rsidRDefault="006A6AA5" w:rsidP="006A6AA5">
      <w:pPr>
        <w:rPr>
          <w:sz w:val="26"/>
          <w:szCs w:val="26"/>
        </w:rPr>
      </w:pPr>
      <w:r w:rsidRPr="007E4C66">
        <w:rPr>
          <w:sz w:val="26"/>
          <w:szCs w:val="26"/>
        </w:rPr>
        <w:t>Additionally, the Digital Goods and Services Tax Fairness Act, which was last introduced in 2019, contains language relating to bundling</w:t>
      </w:r>
      <w:r w:rsidR="00471CEC" w:rsidRPr="007E4C66">
        <w:rPr>
          <w:sz w:val="26"/>
          <w:szCs w:val="26"/>
        </w:rPr>
        <w:t>. Its language is</w:t>
      </w:r>
      <w:r w:rsidRPr="007E4C66">
        <w:rPr>
          <w:sz w:val="26"/>
          <w:szCs w:val="26"/>
        </w:rPr>
        <w:t xml:space="preserve"> also include</w:t>
      </w:r>
      <w:r w:rsidR="00471CEC" w:rsidRPr="007E4C66">
        <w:rPr>
          <w:sz w:val="26"/>
          <w:szCs w:val="26"/>
        </w:rPr>
        <w:t>d</w:t>
      </w:r>
      <w:r w:rsidRPr="007E4C66">
        <w:rPr>
          <w:sz w:val="26"/>
          <w:szCs w:val="26"/>
        </w:rPr>
        <w:t xml:space="preserve">. </w:t>
      </w:r>
    </w:p>
    <w:p w14:paraId="5621BB50" w14:textId="3A163589" w:rsidR="00471CEC" w:rsidRPr="007E4C66" w:rsidRDefault="00471CEC" w:rsidP="006A6AA5">
      <w:pPr>
        <w:rPr>
          <w:sz w:val="26"/>
          <w:szCs w:val="26"/>
        </w:rPr>
      </w:pPr>
      <w:r w:rsidRPr="007E4C66">
        <w:rPr>
          <w:sz w:val="26"/>
          <w:szCs w:val="26"/>
        </w:rPr>
        <w:t>The approaches are similar i</w:t>
      </w:r>
      <w:r w:rsidR="000D3D05" w:rsidRPr="007E4C66">
        <w:rPr>
          <w:sz w:val="26"/>
          <w:szCs w:val="26"/>
        </w:rPr>
        <w:t>n</w:t>
      </w:r>
      <w:r w:rsidRPr="007E4C66">
        <w:rPr>
          <w:sz w:val="26"/>
          <w:szCs w:val="26"/>
        </w:rPr>
        <w:t xml:space="preserve"> that they (1) provide that any bundle of taxable and nontaxable items sold for one price is subject to tax, and (2) allow a seller to unbundle the taxable and nontaxable amounts based on their books and records.</w:t>
      </w:r>
    </w:p>
    <w:p w14:paraId="324F5EDB" w14:textId="139D976A" w:rsidR="006A6AA5" w:rsidRDefault="006A6AA5" w:rsidP="006A6AA5">
      <w:pPr>
        <w:pStyle w:val="Heading2"/>
      </w:pPr>
      <w:r>
        <w:t xml:space="preserve">A. </w:t>
      </w:r>
      <w:r w:rsidRPr="00C072A3">
        <w:t>I</w:t>
      </w:r>
      <w:r>
        <w:t xml:space="preserve">nternet </w:t>
      </w:r>
      <w:r w:rsidRPr="00C072A3">
        <w:t>T</w:t>
      </w:r>
      <w:r>
        <w:t xml:space="preserve">ax </w:t>
      </w:r>
      <w:r w:rsidRPr="00C072A3">
        <w:t>F</w:t>
      </w:r>
      <w:r>
        <w:t xml:space="preserve">reedom </w:t>
      </w:r>
      <w:r w:rsidRPr="00C072A3">
        <w:t>A</w:t>
      </w:r>
      <w:r>
        <w:t>ct (ITFA)</w:t>
      </w:r>
    </w:p>
    <w:p w14:paraId="29F6CFFA" w14:textId="4F875EB2" w:rsidR="006A6AA5" w:rsidRPr="007E4C66" w:rsidRDefault="00471CEC" w:rsidP="006A6AA5">
      <w:pPr>
        <w:rPr>
          <w:sz w:val="26"/>
          <w:szCs w:val="26"/>
        </w:rPr>
      </w:pPr>
      <w:r w:rsidRPr="007E4C66">
        <w:rPr>
          <w:sz w:val="26"/>
          <w:szCs w:val="26"/>
        </w:rPr>
        <w:t>The ITFA</w:t>
      </w:r>
      <w:r w:rsidRPr="007E4C66">
        <w:rPr>
          <w:rStyle w:val="FootnoteReference"/>
          <w:sz w:val="26"/>
          <w:szCs w:val="26"/>
        </w:rPr>
        <w:footnoteReference w:id="69"/>
      </w:r>
      <w:r w:rsidRPr="007E4C66">
        <w:rPr>
          <w:sz w:val="26"/>
          <w:szCs w:val="26"/>
        </w:rPr>
        <w:t xml:space="preserve"> accounting rule is</w:t>
      </w:r>
      <w:r w:rsidR="006A6AA5" w:rsidRPr="007E4C66">
        <w:rPr>
          <w:sz w:val="26"/>
          <w:szCs w:val="26"/>
        </w:rPr>
        <w:t xml:space="preserve"> included below.</w:t>
      </w:r>
    </w:p>
    <w:p w14:paraId="7C956A2E" w14:textId="77777777" w:rsidR="006A6AA5" w:rsidRPr="007E4C66" w:rsidRDefault="006A6AA5" w:rsidP="006A6AA5">
      <w:pPr>
        <w:rPr>
          <w:sz w:val="26"/>
          <w:szCs w:val="26"/>
        </w:rPr>
      </w:pPr>
      <w:r w:rsidRPr="007E4C66">
        <w:rPr>
          <w:sz w:val="26"/>
          <w:szCs w:val="26"/>
        </w:rPr>
        <w:t>SEC. 1106. ACCOUNTING RULE.</w:t>
      </w:r>
    </w:p>
    <w:p w14:paraId="0B17680A" w14:textId="77777777" w:rsidR="006A6AA5" w:rsidRPr="007E4C66" w:rsidRDefault="006A6AA5" w:rsidP="006A6AA5">
      <w:pPr>
        <w:ind w:left="720"/>
        <w:rPr>
          <w:sz w:val="26"/>
          <w:szCs w:val="26"/>
        </w:rPr>
      </w:pPr>
      <w:r w:rsidRPr="007E4C66">
        <w:rPr>
          <w:sz w:val="26"/>
          <w:szCs w:val="26"/>
        </w:rPr>
        <w:t>(a) In General.-If charges for Internet access are aggregated with and not separately stated from charges for telecommunications or other charges that are subject to taxation, then the charges for Internet access may be subject to taxation unless the Internet access provider can reasonably identify the charges for Internet access from its books and records kept in the regular course of business.”</w:t>
      </w:r>
    </w:p>
    <w:p w14:paraId="1BFF0EE4" w14:textId="77777777" w:rsidR="006A6AA5" w:rsidRPr="007E4C66" w:rsidRDefault="006A6AA5" w:rsidP="006A6AA5">
      <w:pPr>
        <w:ind w:left="720"/>
        <w:rPr>
          <w:sz w:val="26"/>
          <w:szCs w:val="26"/>
        </w:rPr>
      </w:pPr>
      <w:r w:rsidRPr="007E4C66">
        <w:rPr>
          <w:sz w:val="26"/>
          <w:szCs w:val="26"/>
        </w:rPr>
        <w:t>(b) Definitions.-In this section:</w:t>
      </w:r>
    </w:p>
    <w:p w14:paraId="22EB10B4" w14:textId="77777777" w:rsidR="006A6AA5" w:rsidRPr="007E4C66" w:rsidRDefault="006A6AA5" w:rsidP="006A6AA5">
      <w:pPr>
        <w:ind w:left="720"/>
        <w:rPr>
          <w:sz w:val="26"/>
          <w:szCs w:val="26"/>
        </w:rPr>
      </w:pPr>
      <w:r w:rsidRPr="007E4C66">
        <w:rPr>
          <w:sz w:val="26"/>
          <w:szCs w:val="26"/>
        </w:rPr>
        <w:t>(1) Charges for internet access.-The term 'charges for Internet access' means all charges for Internet access as defined in section 1105(5).</w:t>
      </w:r>
    </w:p>
    <w:p w14:paraId="2EEC94FF" w14:textId="77777777" w:rsidR="006A6AA5" w:rsidRPr="007E4C66" w:rsidRDefault="006A6AA5" w:rsidP="006A6AA5">
      <w:pPr>
        <w:ind w:left="720"/>
        <w:rPr>
          <w:sz w:val="26"/>
          <w:szCs w:val="26"/>
        </w:rPr>
      </w:pPr>
      <w:r w:rsidRPr="007E4C66">
        <w:rPr>
          <w:sz w:val="26"/>
          <w:szCs w:val="26"/>
        </w:rPr>
        <w:t>(2) Charges for telecommunications.-The term 'charges for telecommunications' means all charges for telecommunications, except to the extent such telecommunications are purchased, used, or sold by a provider of Internet access to provide Internet access or to otherwise enable users to access content, information or other services offered over the Internet.</w:t>
      </w:r>
    </w:p>
    <w:p w14:paraId="451CB8AD" w14:textId="4AB942F8" w:rsidR="006A6AA5" w:rsidRDefault="006A6AA5" w:rsidP="006A6AA5">
      <w:pPr>
        <w:pStyle w:val="Heading2"/>
      </w:pPr>
      <w:r>
        <w:t xml:space="preserve">B. </w:t>
      </w:r>
      <w:r w:rsidRPr="00C072A3">
        <w:t>M</w:t>
      </w:r>
      <w:r>
        <w:t xml:space="preserve">obile </w:t>
      </w:r>
      <w:r w:rsidRPr="00C072A3">
        <w:t>T</w:t>
      </w:r>
      <w:r>
        <w:t xml:space="preserve">elecommunications </w:t>
      </w:r>
      <w:r w:rsidRPr="00C072A3">
        <w:t>S</w:t>
      </w:r>
      <w:r>
        <w:t xml:space="preserve">ourcing </w:t>
      </w:r>
      <w:r w:rsidRPr="00C072A3">
        <w:t>A</w:t>
      </w:r>
      <w:r>
        <w:t>ct</w:t>
      </w:r>
    </w:p>
    <w:p w14:paraId="79E5ADF8" w14:textId="6483D823" w:rsidR="006A6AA5" w:rsidRPr="007E4C66" w:rsidRDefault="006A6AA5" w:rsidP="006A6AA5">
      <w:pPr>
        <w:ind w:firstLine="720"/>
        <w:rPr>
          <w:sz w:val="26"/>
          <w:szCs w:val="26"/>
        </w:rPr>
      </w:pPr>
      <w:r w:rsidRPr="007E4C66">
        <w:rPr>
          <w:sz w:val="26"/>
          <w:szCs w:val="26"/>
        </w:rPr>
        <w:t xml:space="preserve">The relevant language </w:t>
      </w:r>
      <w:r w:rsidR="00471CEC" w:rsidRPr="007E4C66">
        <w:rPr>
          <w:sz w:val="26"/>
          <w:szCs w:val="26"/>
        </w:rPr>
        <w:t xml:space="preserve">from the </w:t>
      </w:r>
      <w:r w:rsidR="00B52524" w:rsidRPr="007E4C66">
        <w:rPr>
          <w:sz w:val="26"/>
          <w:szCs w:val="26"/>
        </w:rPr>
        <w:t>Mobile Telecommunications Sourcing Act</w:t>
      </w:r>
      <w:r w:rsidR="00471CEC" w:rsidRPr="007E4C66">
        <w:rPr>
          <w:rStyle w:val="FootnoteReference"/>
          <w:sz w:val="26"/>
          <w:szCs w:val="26"/>
        </w:rPr>
        <w:footnoteReference w:id="70"/>
      </w:r>
      <w:r w:rsidR="00471CEC" w:rsidRPr="007E4C66">
        <w:rPr>
          <w:sz w:val="26"/>
          <w:szCs w:val="26"/>
        </w:rPr>
        <w:t xml:space="preserve"> is included </w:t>
      </w:r>
      <w:r w:rsidRPr="007E4C66">
        <w:rPr>
          <w:sz w:val="26"/>
          <w:szCs w:val="26"/>
        </w:rPr>
        <w:t>below.</w:t>
      </w:r>
    </w:p>
    <w:p w14:paraId="7B4FFD39" w14:textId="77777777" w:rsidR="006A6AA5" w:rsidRPr="007E4C66" w:rsidRDefault="006A6AA5" w:rsidP="006A6AA5">
      <w:pPr>
        <w:ind w:firstLine="720"/>
        <w:rPr>
          <w:sz w:val="26"/>
          <w:szCs w:val="26"/>
        </w:rPr>
      </w:pPr>
      <w:r w:rsidRPr="007E4C66">
        <w:rPr>
          <w:sz w:val="26"/>
          <w:szCs w:val="26"/>
        </w:rPr>
        <w:lastRenderedPageBreak/>
        <w:t xml:space="preserve">§ 123. Scope; special rules </w:t>
      </w:r>
    </w:p>
    <w:p w14:paraId="46B276E8" w14:textId="77777777" w:rsidR="006A6AA5" w:rsidRPr="007E4C66" w:rsidRDefault="006A6AA5" w:rsidP="006A6AA5">
      <w:pPr>
        <w:ind w:left="720"/>
        <w:rPr>
          <w:sz w:val="26"/>
          <w:szCs w:val="26"/>
        </w:rPr>
      </w:pPr>
      <w:r w:rsidRPr="007E4C66">
        <w:rPr>
          <w:sz w:val="26"/>
          <w:szCs w:val="26"/>
        </w:rPr>
        <w:t>. . . .</w:t>
      </w:r>
    </w:p>
    <w:p w14:paraId="47887E38" w14:textId="77777777" w:rsidR="006A6AA5" w:rsidRPr="007E4C66" w:rsidRDefault="006A6AA5" w:rsidP="006A6AA5">
      <w:pPr>
        <w:ind w:left="720"/>
        <w:rPr>
          <w:sz w:val="26"/>
          <w:szCs w:val="26"/>
        </w:rPr>
      </w:pPr>
      <w:r w:rsidRPr="007E4C66">
        <w:rPr>
          <w:sz w:val="26"/>
          <w:szCs w:val="26"/>
        </w:rPr>
        <w:t xml:space="preserve">(b) ADDITIONAL TAXABLE CHARGES.—If a taxing jurisdiction does not otherwise subject charges for mobile telecommunications services to taxation and if these charges are aggregated with and not separately stated from charges that are subject to taxation, then the charges for nontaxable mobile telecommunications services may be subject to taxation unless the home service provider can reasonably identify charges not subject to such tax, charge, or fee from its books and records that are kept in the regular course of business. </w:t>
      </w:r>
    </w:p>
    <w:p w14:paraId="5A5EFF50" w14:textId="77777777" w:rsidR="006A6AA5" w:rsidRPr="007E4C66" w:rsidRDefault="006A6AA5" w:rsidP="006A6AA5">
      <w:pPr>
        <w:ind w:left="720"/>
        <w:rPr>
          <w:sz w:val="26"/>
          <w:szCs w:val="26"/>
        </w:rPr>
      </w:pPr>
      <w:r w:rsidRPr="007E4C66">
        <w:rPr>
          <w:sz w:val="26"/>
          <w:szCs w:val="26"/>
        </w:rPr>
        <w:t>(c) NONTAXABLE CHARGES.—If a taxing jurisdiction does not subject charges for mobile telecommunications services to taxation, a customer may not rely upon the nontaxability of charges for mobile telecommunications services unless the customer’s home service provider separately states the charges for nontaxable mobile telecommunications services from taxable charges or the home service provider elects, after receiving a written request from the customer in the form required by the provider, to provide verifiable data based upon the home service provider’s books and records that are kept in the regular course of business that reasonably identifies the nontaxable charges.</w:t>
      </w:r>
    </w:p>
    <w:p w14:paraId="09757928" w14:textId="77777777" w:rsidR="006A6AA5" w:rsidRPr="007E4C66" w:rsidRDefault="006A6AA5" w:rsidP="006A6AA5">
      <w:pPr>
        <w:ind w:firstLine="720"/>
        <w:rPr>
          <w:sz w:val="26"/>
          <w:szCs w:val="26"/>
        </w:rPr>
      </w:pPr>
      <w:r w:rsidRPr="007E4C66">
        <w:rPr>
          <w:sz w:val="26"/>
          <w:szCs w:val="26"/>
        </w:rPr>
        <w:t>See Appendix for listing of cases considering the ITFA and MTSA bundling rules.</w:t>
      </w:r>
    </w:p>
    <w:p w14:paraId="7AB5A5E1" w14:textId="15192EB2" w:rsidR="006A6AA5" w:rsidRDefault="006A6AA5" w:rsidP="006A6AA5">
      <w:pPr>
        <w:pStyle w:val="Heading2"/>
      </w:pPr>
      <w:r>
        <w:t>C. Digital Goods and Services Tax Fairness Act</w:t>
      </w:r>
    </w:p>
    <w:p w14:paraId="25A9AB57" w14:textId="225863DF" w:rsidR="006A6AA5" w:rsidRPr="007E4C66" w:rsidRDefault="006A6AA5" w:rsidP="006A6AA5">
      <w:pPr>
        <w:rPr>
          <w:sz w:val="26"/>
          <w:szCs w:val="26"/>
        </w:rPr>
      </w:pPr>
      <w:r w:rsidRPr="007E4C66">
        <w:rPr>
          <w:sz w:val="26"/>
          <w:szCs w:val="26"/>
        </w:rPr>
        <w:t xml:space="preserve">The </w:t>
      </w:r>
      <w:r w:rsidR="00471CEC" w:rsidRPr="007E4C66">
        <w:rPr>
          <w:sz w:val="26"/>
          <w:szCs w:val="26"/>
        </w:rPr>
        <w:t>Digital Goods and Services Tax Fairness Act</w:t>
      </w:r>
      <w:r w:rsidR="00471CEC" w:rsidRPr="007E4C66">
        <w:rPr>
          <w:rStyle w:val="FootnoteReference"/>
          <w:sz w:val="26"/>
          <w:szCs w:val="26"/>
        </w:rPr>
        <w:footnoteReference w:id="71"/>
      </w:r>
      <w:r w:rsidR="00471CEC" w:rsidRPr="007E4C66">
        <w:rPr>
          <w:sz w:val="26"/>
          <w:szCs w:val="26"/>
        </w:rPr>
        <w:t xml:space="preserve"> did </w:t>
      </w:r>
      <w:r w:rsidR="005E1770" w:rsidRPr="007E4C66">
        <w:rPr>
          <w:sz w:val="26"/>
          <w:szCs w:val="26"/>
        </w:rPr>
        <w:t xml:space="preserve">not </w:t>
      </w:r>
      <w:r w:rsidR="00471CEC" w:rsidRPr="007E4C66">
        <w:rPr>
          <w:sz w:val="26"/>
          <w:szCs w:val="26"/>
        </w:rPr>
        <w:t xml:space="preserve">become law but its </w:t>
      </w:r>
      <w:r w:rsidRPr="007E4C66">
        <w:rPr>
          <w:sz w:val="26"/>
          <w:szCs w:val="26"/>
        </w:rPr>
        <w:t xml:space="preserve">bundling language </w:t>
      </w:r>
      <w:r w:rsidR="00471CEC" w:rsidRPr="007E4C66">
        <w:rPr>
          <w:sz w:val="26"/>
          <w:szCs w:val="26"/>
        </w:rPr>
        <w:t>may be relevant and is included below.</w:t>
      </w:r>
    </w:p>
    <w:p w14:paraId="791EF328" w14:textId="77777777" w:rsidR="006A6AA5" w:rsidRPr="007E4C66" w:rsidRDefault="006A6AA5" w:rsidP="006A6AA5">
      <w:pPr>
        <w:rPr>
          <w:sz w:val="26"/>
          <w:szCs w:val="26"/>
        </w:rPr>
      </w:pPr>
      <w:r w:rsidRPr="007E4C66">
        <w:rPr>
          <w:sz w:val="26"/>
          <w:szCs w:val="26"/>
        </w:rPr>
        <w:t>SEC. 5. TREATMENT OF BUNDLED TRANSACTIONS, DIGITAL CODES, AND OTHER RULES.</w:t>
      </w:r>
    </w:p>
    <w:p w14:paraId="62AF2A31" w14:textId="5D14E83C" w:rsidR="0050020E" w:rsidRPr="007E4C66" w:rsidRDefault="006A6AA5" w:rsidP="00A26D06">
      <w:pPr>
        <w:rPr>
          <w:sz w:val="26"/>
          <w:szCs w:val="26"/>
        </w:rPr>
      </w:pPr>
      <w:r w:rsidRPr="007E4C66">
        <w:rPr>
          <w:sz w:val="26"/>
          <w:szCs w:val="26"/>
        </w:rPr>
        <w:t>(a) BUNDLED TRANSACTION.—If a charge for a distinct and identifiable covered electronic good or service is aggregated with and not separately stated from one or more charges for other distinct and identifiable goods or services, which may include other covered electronic goods or services, and any part of the aggregation is subject to taxation, then the entire aggregation may be subject to taxation, except to the extent that the seller can identify, by reasonable and verifiable standards, one or more charges for the nontaxable goods or services from its books and records kept in the ordinary course of business.</w:t>
      </w:r>
    </w:p>
    <w:p w14:paraId="4B3E3B94" w14:textId="1DFD7B4F" w:rsidR="0088418B" w:rsidRPr="00DE0294" w:rsidRDefault="00120ACA" w:rsidP="0099332F">
      <w:pPr>
        <w:pStyle w:val="Heading1"/>
      </w:pPr>
      <w:r>
        <w:lastRenderedPageBreak/>
        <w:t>6</w:t>
      </w:r>
      <w:r w:rsidR="00900762">
        <w:t xml:space="preserve">. </w:t>
      </w:r>
      <w:r w:rsidR="00317E10" w:rsidRPr="00DE0294">
        <w:t xml:space="preserve">Lessons learned </w:t>
      </w:r>
      <w:r w:rsidR="0097703D">
        <w:t>/ findings and conclusions</w:t>
      </w:r>
    </w:p>
    <w:p w14:paraId="4B3E3B95" w14:textId="77777777" w:rsidR="007915DB" w:rsidRPr="007E4C66" w:rsidRDefault="00317E10" w:rsidP="000A6E1A">
      <w:pPr>
        <w:rPr>
          <w:sz w:val="26"/>
          <w:szCs w:val="26"/>
        </w:rPr>
      </w:pPr>
      <w:r w:rsidRPr="007E4C66">
        <w:rPr>
          <w:sz w:val="26"/>
          <w:szCs w:val="26"/>
        </w:rPr>
        <w:t xml:space="preserve">As stated in the introduction, the primary question this section of the digital products white paper addresses is: </w:t>
      </w:r>
    </w:p>
    <w:p w14:paraId="4B3E3B96" w14:textId="2271D746" w:rsidR="000A6E1A" w:rsidRPr="007E4C66" w:rsidRDefault="00317E10" w:rsidP="007915DB">
      <w:pPr>
        <w:ind w:left="720"/>
        <w:rPr>
          <w:sz w:val="26"/>
          <w:szCs w:val="26"/>
        </w:rPr>
      </w:pPr>
      <w:r w:rsidRPr="007E4C66">
        <w:rPr>
          <w:sz w:val="26"/>
          <w:szCs w:val="26"/>
        </w:rPr>
        <w:t xml:space="preserve">Does the presence of digital products in a sales and use tax base present unique issues with respect to bundling compared to sales and use tax bases that are based on </w:t>
      </w:r>
      <w:r w:rsidR="00253AF6" w:rsidRPr="007E4C66">
        <w:rPr>
          <w:sz w:val="26"/>
          <w:szCs w:val="26"/>
        </w:rPr>
        <w:t>TPP</w:t>
      </w:r>
      <w:r w:rsidRPr="007E4C66">
        <w:rPr>
          <w:sz w:val="26"/>
          <w:szCs w:val="26"/>
        </w:rPr>
        <w:t xml:space="preserve"> and services?</w:t>
      </w:r>
    </w:p>
    <w:p w14:paraId="4B3E3B97" w14:textId="5A2D99C2" w:rsidR="00D002D2" w:rsidRPr="007E4C66" w:rsidRDefault="00317E10" w:rsidP="00D002D2">
      <w:pPr>
        <w:rPr>
          <w:b/>
          <w:bCs/>
          <w:sz w:val="26"/>
          <w:szCs w:val="26"/>
        </w:rPr>
      </w:pPr>
      <w:r w:rsidRPr="007E4C66">
        <w:rPr>
          <w:sz w:val="26"/>
          <w:szCs w:val="26"/>
        </w:rPr>
        <w:t>T</w:t>
      </w:r>
      <w:r w:rsidR="000A6E1A" w:rsidRPr="007E4C66">
        <w:rPr>
          <w:sz w:val="26"/>
          <w:szCs w:val="26"/>
        </w:rPr>
        <w:t>he</w:t>
      </w:r>
      <w:r w:rsidR="00BF5525" w:rsidRPr="007E4C66">
        <w:rPr>
          <w:sz w:val="26"/>
          <w:szCs w:val="26"/>
        </w:rPr>
        <w:t xml:space="preserve">se findings and conclusions </w:t>
      </w:r>
      <w:r w:rsidR="000A6E1A" w:rsidRPr="007E4C66">
        <w:rPr>
          <w:sz w:val="26"/>
          <w:szCs w:val="26"/>
        </w:rPr>
        <w:t>highlight the questions policy makers should consider in creating a coherent policy framework for bundling in the digital space.</w:t>
      </w:r>
      <w:bookmarkStart w:id="2" w:name="_Hlk174542757"/>
    </w:p>
    <w:bookmarkEnd w:id="2"/>
    <w:p w14:paraId="4B3E3B98" w14:textId="21200693" w:rsidR="00220678" w:rsidRDefault="00317E10" w:rsidP="00220678">
      <w:pPr>
        <w:pStyle w:val="Heading2"/>
      </w:pPr>
      <w:r>
        <w:t>A</w:t>
      </w:r>
      <w:r w:rsidRPr="0098038F">
        <w:t>. Definition</w:t>
      </w:r>
      <w:r w:rsidR="0067008F">
        <w:t xml:space="preserve"> of a bundle</w:t>
      </w:r>
    </w:p>
    <w:p w14:paraId="4B3E3B99" w14:textId="0599B0FA" w:rsidR="00220678" w:rsidRPr="007E4C66" w:rsidRDefault="0067008F" w:rsidP="00220678">
      <w:pPr>
        <w:rPr>
          <w:sz w:val="26"/>
          <w:szCs w:val="26"/>
        </w:rPr>
      </w:pPr>
      <w:r w:rsidRPr="007E4C66">
        <w:rPr>
          <w:sz w:val="26"/>
          <w:szCs w:val="26"/>
        </w:rPr>
        <w:t>One issue is whether a transaction is</w:t>
      </w:r>
      <w:r w:rsidR="00317E10" w:rsidRPr="007E4C66">
        <w:rPr>
          <w:sz w:val="26"/>
          <w:szCs w:val="26"/>
        </w:rPr>
        <w:t xml:space="preserve"> a bundle </w:t>
      </w:r>
      <w:r w:rsidRPr="007E4C66">
        <w:rPr>
          <w:sz w:val="26"/>
          <w:szCs w:val="26"/>
        </w:rPr>
        <w:t>or instead</w:t>
      </w:r>
      <w:r w:rsidR="00317E10" w:rsidRPr="007E4C66">
        <w:rPr>
          <w:sz w:val="26"/>
          <w:szCs w:val="26"/>
        </w:rPr>
        <w:t xml:space="preserve"> a single product composed of a group of </w:t>
      </w:r>
      <w:r w:rsidR="00D45726" w:rsidRPr="007E4C66">
        <w:rPr>
          <w:sz w:val="26"/>
          <w:szCs w:val="26"/>
        </w:rPr>
        <w:t>components</w:t>
      </w:r>
      <w:r w:rsidRPr="007E4C66">
        <w:rPr>
          <w:sz w:val="26"/>
          <w:szCs w:val="26"/>
        </w:rPr>
        <w:t>.</w:t>
      </w:r>
      <w:r w:rsidR="00317E10" w:rsidRPr="007E4C66">
        <w:rPr>
          <w:sz w:val="26"/>
          <w:szCs w:val="26"/>
        </w:rPr>
        <w:t xml:space="preserve"> </w:t>
      </w:r>
      <w:r w:rsidRPr="007E4C66">
        <w:rPr>
          <w:sz w:val="26"/>
          <w:szCs w:val="26"/>
        </w:rPr>
        <w:t>Compared to traditional products</w:t>
      </w:r>
      <w:r w:rsidR="00317E10" w:rsidRPr="007E4C66">
        <w:rPr>
          <w:sz w:val="26"/>
          <w:szCs w:val="26"/>
        </w:rPr>
        <w:t xml:space="preserve">, components </w:t>
      </w:r>
      <w:r w:rsidRPr="007E4C66">
        <w:rPr>
          <w:sz w:val="26"/>
          <w:szCs w:val="26"/>
        </w:rPr>
        <w:t xml:space="preserve">of digital products </w:t>
      </w:r>
      <w:r w:rsidR="00317E10" w:rsidRPr="007E4C66">
        <w:rPr>
          <w:sz w:val="26"/>
          <w:szCs w:val="26"/>
        </w:rPr>
        <w:t xml:space="preserve">can </w:t>
      </w:r>
      <w:r w:rsidRPr="007E4C66">
        <w:rPr>
          <w:sz w:val="26"/>
          <w:szCs w:val="26"/>
        </w:rPr>
        <w:t>more</w:t>
      </w:r>
      <w:r w:rsidR="00317E10" w:rsidRPr="007E4C66">
        <w:rPr>
          <w:sz w:val="26"/>
          <w:szCs w:val="26"/>
        </w:rPr>
        <w:t xml:space="preserve"> easily </w:t>
      </w:r>
      <w:r w:rsidRPr="007E4C66">
        <w:rPr>
          <w:sz w:val="26"/>
          <w:szCs w:val="26"/>
        </w:rPr>
        <w:t>be removed</w:t>
      </w:r>
      <w:r w:rsidR="00317E10" w:rsidRPr="007E4C66">
        <w:rPr>
          <w:sz w:val="26"/>
          <w:szCs w:val="26"/>
        </w:rPr>
        <w:t xml:space="preserve"> or added, which can lead to disputes and discussions with tax agency staff </w:t>
      </w:r>
      <w:r w:rsidR="006230F3" w:rsidRPr="007E4C66">
        <w:rPr>
          <w:sz w:val="26"/>
          <w:szCs w:val="26"/>
        </w:rPr>
        <w:t>regarding</w:t>
      </w:r>
      <w:r w:rsidR="00317E10" w:rsidRPr="007E4C66">
        <w:rPr>
          <w:sz w:val="26"/>
          <w:szCs w:val="26"/>
        </w:rPr>
        <w:t xml:space="preserve"> the nature of the product and how it works.</w:t>
      </w:r>
    </w:p>
    <w:p w14:paraId="4B3E3B9A" w14:textId="77777777" w:rsidR="00220678" w:rsidRDefault="00317E10" w:rsidP="00220678">
      <w:pPr>
        <w:pStyle w:val="Heading2"/>
      </w:pPr>
      <w:r>
        <w:t>B</w:t>
      </w:r>
      <w:r w:rsidRPr="0098038F">
        <w:t>. Tax software compliance coding</w:t>
      </w:r>
    </w:p>
    <w:p w14:paraId="4B30C6EE" w14:textId="62C1E2A2" w:rsidR="00BF5525" w:rsidRPr="007E4C66" w:rsidRDefault="00D838C2" w:rsidP="00220678">
      <w:pPr>
        <w:rPr>
          <w:sz w:val="26"/>
          <w:szCs w:val="26"/>
        </w:rPr>
      </w:pPr>
      <w:r w:rsidRPr="007E4C66">
        <w:rPr>
          <w:sz w:val="26"/>
          <w:szCs w:val="26"/>
        </w:rPr>
        <w:t>Bundling issues can significantly complicate</w:t>
      </w:r>
      <w:r w:rsidR="00F0593E" w:rsidRPr="007E4C66">
        <w:rPr>
          <w:sz w:val="26"/>
          <w:szCs w:val="26"/>
        </w:rPr>
        <w:t xml:space="preserve"> tax software comp</w:t>
      </w:r>
      <w:r w:rsidR="0023268E" w:rsidRPr="007E4C66">
        <w:rPr>
          <w:sz w:val="26"/>
          <w:szCs w:val="26"/>
        </w:rPr>
        <w:t>liance coding</w:t>
      </w:r>
      <w:r w:rsidRPr="007E4C66">
        <w:rPr>
          <w:sz w:val="26"/>
          <w:szCs w:val="26"/>
        </w:rPr>
        <w:t>.</w:t>
      </w:r>
      <w:r w:rsidR="00522E43" w:rsidRPr="007E4C66">
        <w:rPr>
          <w:sz w:val="26"/>
          <w:szCs w:val="26"/>
        </w:rPr>
        <w:t xml:space="preserve"> </w:t>
      </w:r>
      <w:r w:rsidR="00317E10" w:rsidRPr="007E4C66">
        <w:rPr>
          <w:sz w:val="26"/>
          <w:szCs w:val="26"/>
        </w:rPr>
        <w:t xml:space="preserve">From discussions with stakeholders, </w:t>
      </w:r>
      <w:r w:rsidR="00675E36" w:rsidRPr="007E4C66">
        <w:rPr>
          <w:sz w:val="26"/>
          <w:szCs w:val="26"/>
        </w:rPr>
        <w:t>the problem is</w:t>
      </w:r>
      <w:r w:rsidR="00317E10" w:rsidRPr="007E4C66">
        <w:rPr>
          <w:sz w:val="26"/>
          <w:szCs w:val="26"/>
        </w:rPr>
        <w:t xml:space="preserve"> the complexity of products and </w:t>
      </w:r>
      <w:r w:rsidR="004F6905" w:rsidRPr="007E4C66">
        <w:rPr>
          <w:sz w:val="26"/>
          <w:szCs w:val="26"/>
        </w:rPr>
        <w:t xml:space="preserve">the multitude of </w:t>
      </w:r>
      <w:r w:rsidR="00317E10" w:rsidRPr="007E4C66">
        <w:rPr>
          <w:sz w:val="26"/>
          <w:szCs w:val="26"/>
        </w:rPr>
        <w:t>state</w:t>
      </w:r>
      <w:r w:rsidR="004F6905" w:rsidRPr="007E4C66">
        <w:rPr>
          <w:sz w:val="26"/>
          <w:szCs w:val="26"/>
        </w:rPr>
        <w:t>s’</w:t>
      </w:r>
      <w:r w:rsidR="00317E10" w:rsidRPr="007E4C66">
        <w:rPr>
          <w:sz w:val="26"/>
          <w:szCs w:val="26"/>
        </w:rPr>
        <w:t xml:space="preserve"> approaches. </w:t>
      </w:r>
      <w:r w:rsidR="00896A71" w:rsidRPr="007E4C66">
        <w:rPr>
          <w:sz w:val="26"/>
          <w:szCs w:val="26"/>
        </w:rPr>
        <w:t>A</w:t>
      </w:r>
      <w:r w:rsidR="00317E10" w:rsidRPr="007E4C66">
        <w:rPr>
          <w:sz w:val="26"/>
          <w:szCs w:val="26"/>
        </w:rPr>
        <w:t xml:space="preserve"> </w:t>
      </w:r>
      <w:r w:rsidR="005E28F2" w:rsidRPr="007E4C66">
        <w:rPr>
          <w:sz w:val="26"/>
          <w:szCs w:val="26"/>
        </w:rPr>
        <w:t xml:space="preserve">rule stating that any bundle with a given </w:t>
      </w:r>
      <w:r w:rsidR="00317E10" w:rsidRPr="007E4C66">
        <w:rPr>
          <w:sz w:val="26"/>
          <w:szCs w:val="26"/>
        </w:rPr>
        <w:t xml:space="preserve">percentage </w:t>
      </w:r>
      <w:r w:rsidR="005E28F2" w:rsidRPr="007E4C66">
        <w:rPr>
          <w:sz w:val="26"/>
          <w:szCs w:val="26"/>
        </w:rPr>
        <w:t xml:space="preserve">of taxable components is taxable or not taxable </w:t>
      </w:r>
      <w:r w:rsidR="00317E10" w:rsidRPr="007E4C66">
        <w:rPr>
          <w:sz w:val="26"/>
          <w:szCs w:val="26"/>
        </w:rPr>
        <w:t xml:space="preserve">can make things easier provided </w:t>
      </w:r>
      <w:r w:rsidR="00896A71" w:rsidRPr="007E4C66">
        <w:rPr>
          <w:sz w:val="26"/>
          <w:szCs w:val="26"/>
        </w:rPr>
        <w:t xml:space="preserve">that the percentages of the various parts of the bundle can be </w:t>
      </w:r>
      <w:r w:rsidR="00317E10" w:rsidRPr="007E4C66">
        <w:rPr>
          <w:sz w:val="26"/>
          <w:szCs w:val="26"/>
        </w:rPr>
        <w:t>determined</w:t>
      </w:r>
      <w:r w:rsidR="008D443D" w:rsidRPr="007E4C66">
        <w:rPr>
          <w:sz w:val="26"/>
          <w:szCs w:val="26"/>
        </w:rPr>
        <w:t>.</w:t>
      </w:r>
      <w:r w:rsidR="005E28F2" w:rsidRPr="007E4C66">
        <w:rPr>
          <w:sz w:val="26"/>
          <w:szCs w:val="26"/>
        </w:rPr>
        <w:t xml:space="preserve"> </w:t>
      </w:r>
    </w:p>
    <w:p w14:paraId="4B3E3B9B" w14:textId="0CFA8666" w:rsidR="00220678" w:rsidRPr="007E4C66" w:rsidRDefault="005E28F2" w:rsidP="00220678">
      <w:pPr>
        <w:rPr>
          <w:sz w:val="26"/>
          <w:szCs w:val="26"/>
        </w:rPr>
      </w:pPr>
      <w:r w:rsidRPr="007E4C66">
        <w:rPr>
          <w:sz w:val="26"/>
          <w:szCs w:val="26"/>
        </w:rPr>
        <w:t xml:space="preserve">A rule stating that a bundle is fully taxable or fully exempt would be the same rule, but with a percentage of </w:t>
      </w:r>
      <w:r w:rsidR="005E1770" w:rsidRPr="007E4C66">
        <w:rPr>
          <w:sz w:val="26"/>
          <w:szCs w:val="26"/>
        </w:rPr>
        <w:t>‘</w:t>
      </w:r>
      <w:r w:rsidRPr="007E4C66">
        <w:rPr>
          <w:sz w:val="26"/>
          <w:szCs w:val="26"/>
        </w:rPr>
        <w:t>anything above zero</w:t>
      </w:r>
      <w:r w:rsidR="005E1770" w:rsidRPr="007E4C66">
        <w:rPr>
          <w:sz w:val="26"/>
          <w:szCs w:val="26"/>
        </w:rPr>
        <w:t>’</w:t>
      </w:r>
      <w:r w:rsidRPr="007E4C66">
        <w:rPr>
          <w:sz w:val="26"/>
          <w:szCs w:val="26"/>
        </w:rPr>
        <w:t xml:space="preserve"> on the one hand or a percentage of </w:t>
      </w:r>
      <w:r w:rsidR="005E1770" w:rsidRPr="007E4C66">
        <w:rPr>
          <w:sz w:val="26"/>
          <w:szCs w:val="26"/>
        </w:rPr>
        <w:t>‘</w:t>
      </w:r>
      <w:r w:rsidRPr="007E4C66">
        <w:rPr>
          <w:sz w:val="26"/>
          <w:szCs w:val="26"/>
        </w:rPr>
        <w:t>anything below 100 percent</w:t>
      </w:r>
      <w:r w:rsidR="005E1770" w:rsidRPr="007E4C66">
        <w:rPr>
          <w:sz w:val="26"/>
          <w:szCs w:val="26"/>
        </w:rPr>
        <w:t xml:space="preserve">’ </w:t>
      </w:r>
      <w:r w:rsidRPr="007E4C66">
        <w:rPr>
          <w:sz w:val="26"/>
          <w:szCs w:val="26"/>
        </w:rPr>
        <w:t xml:space="preserve">on the other. For more on this, see </w:t>
      </w:r>
      <w:r w:rsidR="00594DAF" w:rsidRPr="007E4C66">
        <w:rPr>
          <w:sz w:val="26"/>
          <w:szCs w:val="26"/>
        </w:rPr>
        <w:t xml:space="preserve">discussion of </w:t>
      </w:r>
      <w:r w:rsidRPr="007E4C66">
        <w:rPr>
          <w:sz w:val="26"/>
          <w:szCs w:val="26"/>
        </w:rPr>
        <w:t xml:space="preserve">the </w:t>
      </w:r>
      <w:r w:rsidR="00594DAF" w:rsidRPr="007E4C66">
        <w:rPr>
          <w:sz w:val="26"/>
          <w:szCs w:val="26"/>
        </w:rPr>
        <w:t xml:space="preserve">tainting rule in </w:t>
      </w:r>
      <w:r w:rsidRPr="007E4C66">
        <w:rPr>
          <w:sz w:val="26"/>
          <w:szCs w:val="26"/>
        </w:rPr>
        <w:t xml:space="preserve">section </w:t>
      </w:r>
      <w:r w:rsidR="00594DAF" w:rsidRPr="007E4C66">
        <w:rPr>
          <w:sz w:val="26"/>
          <w:szCs w:val="26"/>
        </w:rPr>
        <w:t>7.C</w:t>
      </w:r>
      <w:r w:rsidR="00BF5525" w:rsidRPr="007E4C66">
        <w:rPr>
          <w:sz w:val="26"/>
          <w:szCs w:val="26"/>
        </w:rPr>
        <w:t>.</w:t>
      </w:r>
    </w:p>
    <w:p w14:paraId="4B3E3B9C" w14:textId="2937457A" w:rsidR="00F64DCF" w:rsidRPr="00351256" w:rsidRDefault="00317E10" w:rsidP="00D24451">
      <w:pPr>
        <w:pStyle w:val="Heading2"/>
      </w:pPr>
      <w:r w:rsidRPr="00351256">
        <w:t>C</w:t>
      </w:r>
      <w:r w:rsidR="00C81D27" w:rsidRPr="00351256">
        <w:t xml:space="preserve">. </w:t>
      </w:r>
      <w:r w:rsidR="00443B8C">
        <w:t xml:space="preserve">Possible New </w:t>
      </w:r>
      <w:r w:rsidR="00A5572B" w:rsidRPr="00351256">
        <w:t>Framework</w:t>
      </w:r>
    </w:p>
    <w:p w14:paraId="50C3CC63" w14:textId="54D3D26F" w:rsidR="00580DB2" w:rsidRPr="007E4C66" w:rsidRDefault="00C06C73" w:rsidP="00443B8C">
      <w:pPr>
        <w:rPr>
          <w:sz w:val="26"/>
          <w:szCs w:val="26"/>
        </w:rPr>
      </w:pPr>
      <w:r w:rsidRPr="007E4C66">
        <w:rPr>
          <w:sz w:val="26"/>
          <w:szCs w:val="26"/>
        </w:rPr>
        <w:t>Based on our research, t</w:t>
      </w:r>
      <w:r w:rsidR="002C20EA" w:rsidRPr="007E4C66">
        <w:rPr>
          <w:sz w:val="26"/>
          <w:szCs w:val="26"/>
        </w:rPr>
        <w:t xml:space="preserve">he Streamlined </w:t>
      </w:r>
      <w:r w:rsidR="0067793D" w:rsidRPr="007E4C66">
        <w:rPr>
          <w:sz w:val="26"/>
          <w:szCs w:val="26"/>
        </w:rPr>
        <w:t>Agreement</w:t>
      </w:r>
      <w:r w:rsidR="002C20EA" w:rsidRPr="007E4C66">
        <w:rPr>
          <w:sz w:val="26"/>
          <w:szCs w:val="26"/>
        </w:rPr>
        <w:t xml:space="preserve"> </w:t>
      </w:r>
      <w:r w:rsidR="005E1770" w:rsidRPr="007E4C66">
        <w:rPr>
          <w:sz w:val="26"/>
          <w:szCs w:val="26"/>
        </w:rPr>
        <w:t>contains</w:t>
      </w:r>
      <w:r w:rsidR="002C20EA" w:rsidRPr="007E4C66">
        <w:rPr>
          <w:sz w:val="26"/>
          <w:szCs w:val="26"/>
        </w:rPr>
        <w:t xml:space="preserve"> the most comprehensive </w:t>
      </w:r>
      <w:r w:rsidR="00BF5525" w:rsidRPr="007E4C66">
        <w:rPr>
          <w:sz w:val="26"/>
          <w:szCs w:val="26"/>
        </w:rPr>
        <w:t>set of bundling rules</w:t>
      </w:r>
      <w:r w:rsidR="00E52B04" w:rsidRPr="007E4C66">
        <w:rPr>
          <w:sz w:val="26"/>
          <w:szCs w:val="26"/>
        </w:rPr>
        <w:t xml:space="preserve">. </w:t>
      </w:r>
      <w:r w:rsidR="00FA4F6A" w:rsidRPr="007E4C66">
        <w:rPr>
          <w:sz w:val="26"/>
          <w:szCs w:val="26"/>
        </w:rPr>
        <w:t>What follows is a propo</w:t>
      </w:r>
      <w:r w:rsidR="00443B8C" w:rsidRPr="007E4C66">
        <w:rPr>
          <w:sz w:val="26"/>
          <w:szCs w:val="26"/>
        </w:rPr>
        <w:t>sal</w:t>
      </w:r>
      <w:r w:rsidR="00FA4F6A" w:rsidRPr="007E4C66">
        <w:rPr>
          <w:sz w:val="26"/>
          <w:szCs w:val="26"/>
        </w:rPr>
        <w:t xml:space="preserve"> that </w:t>
      </w:r>
      <w:r w:rsidR="00BF5525" w:rsidRPr="007E4C66">
        <w:rPr>
          <w:sz w:val="26"/>
          <w:szCs w:val="26"/>
        </w:rPr>
        <w:t>combines</w:t>
      </w:r>
      <w:r w:rsidR="00E52B04" w:rsidRPr="007E4C66">
        <w:rPr>
          <w:sz w:val="26"/>
          <w:szCs w:val="26"/>
        </w:rPr>
        <w:t xml:space="preserve"> </w:t>
      </w:r>
      <w:r w:rsidR="0067008F" w:rsidRPr="007E4C66">
        <w:rPr>
          <w:sz w:val="26"/>
          <w:szCs w:val="26"/>
        </w:rPr>
        <w:t xml:space="preserve">the Streamlined approach and </w:t>
      </w:r>
      <w:r w:rsidR="00E52B04" w:rsidRPr="007E4C66">
        <w:rPr>
          <w:sz w:val="26"/>
          <w:szCs w:val="26"/>
        </w:rPr>
        <w:t>element</w:t>
      </w:r>
      <w:r w:rsidR="00C6299B" w:rsidRPr="007E4C66">
        <w:rPr>
          <w:sz w:val="26"/>
          <w:szCs w:val="26"/>
        </w:rPr>
        <w:t>s</w:t>
      </w:r>
      <w:r w:rsidR="00E52B04" w:rsidRPr="007E4C66">
        <w:rPr>
          <w:sz w:val="26"/>
          <w:szCs w:val="26"/>
        </w:rPr>
        <w:t xml:space="preserve"> f</w:t>
      </w:r>
      <w:r w:rsidR="00FA4F6A" w:rsidRPr="007E4C66">
        <w:rPr>
          <w:sz w:val="26"/>
          <w:szCs w:val="26"/>
        </w:rPr>
        <w:t>rom</w:t>
      </w:r>
      <w:r w:rsidR="00E52B04" w:rsidRPr="007E4C66">
        <w:rPr>
          <w:sz w:val="26"/>
          <w:szCs w:val="26"/>
        </w:rPr>
        <w:t xml:space="preserve"> other state approaches</w:t>
      </w:r>
      <w:r w:rsidR="00FA4F6A" w:rsidRPr="007E4C66">
        <w:rPr>
          <w:sz w:val="26"/>
          <w:szCs w:val="26"/>
        </w:rPr>
        <w:t xml:space="preserve">. </w:t>
      </w:r>
      <w:r w:rsidR="00580DB2" w:rsidRPr="007E4C66">
        <w:rPr>
          <w:sz w:val="26"/>
          <w:szCs w:val="26"/>
        </w:rPr>
        <w:t xml:space="preserve">There are </w:t>
      </w:r>
      <w:r w:rsidR="00594DAF" w:rsidRPr="007E4C66">
        <w:rPr>
          <w:sz w:val="26"/>
          <w:szCs w:val="26"/>
        </w:rPr>
        <w:t xml:space="preserve">various </w:t>
      </w:r>
      <w:r w:rsidR="00580DB2" w:rsidRPr="007E4C66">
        <w:rPr>
          <w:sz w:val="26"/>
          <w:szCs w:val="26"/>
        </w:rPr>
        <w:t>issues with both the Streamlined approach and other state approaches, for those, see section</w:t>
      </w:r>
      <w:r w:rsidR="005E1770" w:rsidRPr="007E4C66">
        <w:rPr>
          <w:sz w:val="26"/>
          <w:szCs w:val="26"/>
        </w:rPr>
        <w:t>s 3 and 4</w:t>
      </w:r>
      <w:r w:rsidR="00580DB2" w:rsidRPr="007E4C66">
        <w:rPr>
          <w:sz w:val="26"/>
          <w:szCs w:val="26"/>
        </w:rPr>
        <w:t xml:space="preserve"> of this white</w:t>
      </w:r>
      <w:r w:rsidR="00AA21D1" w:rsidRPr="007E4C66">
        <w:rPr>
          <w:sz w:val="26"/>
          <w:szCs w:val="26"/>
        </w:rPr>
        <w:t xml:space="preserve"> </w:t>
      </w:r>
      <w:r w:rsidR="00580DB2" w:rsidRPr="007E4C66">
        <w:rPr>
          <w:sz w:val="26"/>
          <w:szCs w:val="26"/>
        </w:rPr>
        <w:t>paper.</w:t>
      </w:r>
    </w:p>
    <w:p w14:paraId="3C80EC8F" w14:textId="701055DD" w:rsidR="00443B8C" w:rsidRPr="007E4C66" w:rsidRDefault="00443B8C" w:rsidP="00443B8C">
      <w:pPr>
        <w:rPr>
          <w:sz w:val="26"/>
          <w:szCs w:val="26"/>
        </w:rPr>
      </w:pPr>
      <w:r w:rsidRPr="007E4C66">
        <w:rPr>
          <w:sz w:val="26"/>
          <w:szCs w:val="26"/>
        </w:rPr>
        <w:t xml:space="preserve">This </w:t>
      </w:r>
      <w:r w:rsidR="00BF5525" w:rsidRPr="007E4C66">
        <w:rPr>
          <w:sz w:val="26"/>
          <w:szCs w:val="26"/>
        </w:rPr>
        <w:t>framework</w:t>
      </w:r>
      <w:r w:rsidRPr="007E4C66">
        <w:rPr>
          <w:sz w:val="26"/>
          <w:szCs w:val="26"/>
        </w:rPr>
        <w:t xml:space="preserve"> provide</w:t>
      </w:r>
      <w:r w:rsidR="005E1770" w:rsidRPr="007E4C66">
        <w:rPr>
          <w:sz w:val="26"/>
          <w:szCs w:val="26"/>
        </w:rPr>
        <w:t>s</w:t>
      </w:r>
      <w:r w:rsidRPr="007E4C66">
        <w:rPr>
          <w:sz w:val="26"/>
          <w:szCs w:val="26"/>
        </w:rPr>
        <w:t xml:space="preserve"> policymakers, tax administrators, and </w:t>
      </w:r>
      <w:r w:rsidR="00110608" w:rsidRPr="007E4C66">
        <w:rPr>
          <w:sz w:val="26"/>
          <w:szCs w:val="26"/>
        </w:rPr>
        <w:t xml:space="preserve">taxpayers </w:t>
      </w:r>
      <w:r w:rsidRPr="007E4C66">
        <w:rPr>
          <w:sz w:val="26"/>
          <w:szCs w:val="26"/>
        </w:rPr>
        <w:t xml:space="preserve">with a relatively comprehensive and tested framework to address bundling issues. However, further refinement </w:t>
      </w:r>
      <w:r w:rsidR="004D1828" w:rsidRPr="007E4C66">
        <w:rPr>
          <w:sz w:val="26"/>
          <w:szCs w:val="26"/>
        </w:rPr>
        <w:t>may be appropriate.</w:t>
      </w:r>
    </w:p>
    <w:p w14:paraId="385ED28C" w14:textId="4A7AC9A3" w:rsidR="00BF4C5E" w:rsidRPr="007E4C66" w:rsidRDefault="00580DB2" w:rsidP="00BC3D4C">
      <w:pPr>
        <w:rPr>
          <w:sz w:val="26"/>
          <w:szCs w:val="26"/>
        </w:rPr>
      </w:pPr>
      <w:r w:rsidRPr="007E4C66">
        <w:rPr>
          <w:sz w:val="26"/>
          <w:szCs w:val="26"/>
        </w:rPr>
        <w:t>T</w:t>
      </w:r>
      <w:r w:rsidR="004B371B" w:rsidRPr="007E4C66">
        <w:rPr>
          <w:sz w:val="26"/>
          <w:szCs w:val="26"/>
        </w:rPr>
        <w:t xml:space="preserve">he framework </w:t>
      </w:r>
      <w:r w:rsidR="00386D8A" w:rsidRPr="007E4C66">
        <w:rPr>
          <w:sz w:val="26"/>
          <w:szCs w:val="26"/>
        </w:rPr>
        <w:t xml:space="preserve">first </w:t>
      </w:r>
      <w:r w:rsidR="00BC3D4C" w:rsidRPr="007E4C66">
        <w:rPr>
          <w:sz w:val="26"/>
          <w:szCs w:val="26"/>
        </w:rPr>
        <w:t xml:space="preserve">applies a threshold test before entering the formal bundling analysis. The framework then </w:t>
      </w:r>
      <w:r w:rsidR="00E52B04" w:rsidRPr="007E4C66">
        <w:rPr>
          <w:sz w:val="26"/>
          <w:szCs w:val="26"/>
        </w:rPr>
        <w:t>appl</w:t>
      </w:r>
      <w:r w:rsidR="00C6299B" w:rsidRPr="007E4C66">
        <w:rPr>
          <w:sz w:val="26"/>
          <w:szCs w:val="26"/>
        </w:rPr>
        <w:t>ies</w:t>
      </w:r>
      <w:r w:rsidR="00E52B04" w:rsidRPr="007E4C66">
        <w:rPr>
          <w:sz w:val="26"/>
          <w:szCs w:val="26"/>
        </w:rPr>
        <w:t xml:space="preserve"> an objective test</w:t>
      </w:r>
      <w:r w:rsidR="00C6299B" w:rsidRPr="007E4C66">
        <w:rPr>
          <w:sz w:val="26"/>
          <w:szCs w:val="26"/>
        </w:rPr>
        <w:t xml:space="preserve"> </w:t>
      </w:r>
      <w:r w:rsidR="00E52B04" w:rsidRPr="007E4C66">
        <w:rPr>
          <w:sz w:val="26"/>
          <w:szCs w:val="26"/>
        </w:rPr>
        <w:t>to determin</w:t>
      </w:r>
      <w:r w:rsidR="00BD5A42" w:rsidRPr="007E4C66">
        <w:rPr>
          <w:sz w:val="26"/>
          <w:szCs w:val="26"/>
        </w:rPr>
        <w:t>e</w:t>
      </w:r>
      <w:r w:rsidR="00E52B04" w:rsidRPr="007E4C66">
        <w:rPr>
          <w:sz w:val="26"/>
          <w:szCs w:val="26"/>
        </w:rPr>
        <w:t xml:space="preserve"> </w:t>
      </w:r>
      <w:r w:rsidR="00C6299B" w:rsidRPr="007E4C66">
        <w:rPr>
          <w:sz w:val="26"/>
          <w:szCs w:val="26"/>
        </w:rPr>
        <w:t>if there is</w:t>
      </w:r>
      <w:r w:rsidR="00E52B04" w:rsidRPr="007E4C66">
        <w:rPr>
          <w:sz w:val="26"/>
          <w:szCs w:val="26"/>
        </w:rPr>
        <w:t xml:space="preserve"> a bundled transaction, </w:t>
      </w:r>
      <w:r w:rsidR="00BC3D4C" w:rsidRPr="007E4C66">
        <w:rPr>
          <w:sz w:val="26"/>
          <w:szCs w:val="26"/>
        </w:rPr>
        <w:lastRenderedPageBreak/>
        <w:t>before</w:t>
      </w:r>
      <w:r w:rsidR="004B371B" w:rsidRPr="007E4C66">
        <w:rPr>
          <w:sz w:val="26"/>
          <w:szCs w:val="26"/>
        </w:rPr>
        <w:t xml:space="preserve"> </w:t>
      </w:r>
      <w:r w:rsidR="00BC3D4C" w:rsidRPr="007E4C66">
        <w:rPr>
          <w:sz w:val="26"/>
          <w:szCs w:val="26"/>
        </w:rPr>
        <w:t>applying various</w:t>
      </w:r>
      <w:r w:rsidR="00E52B04" w:rsidRPr="007E4C66">
        <w:rPr>
          <w:sz w:val="26"/>
          <w:szCs w:val="26"/>
        </w:rPr>
        <w:t xml:space="preserve"> </w:t>
      </w:r>
      <w:r w:rsidR="002114C2" w:rsidRPr="007E4C66">
        <w:rPr>
          <w:sz w:val="26"/>
          <w:szCs w:val="26"/>
        </w:rPr>
        <w:t xml:space="preserve">exclusion </w:t>
      </w:r>
      <w:r w:rsidR="00386D8A" w:rsidRPr="007E4C66">
        <w:rPr>
          <w:sz w:val="26"/>
          <w:szCs w:val="26"/>
        </w:rPr>
        <w:t>tests to determine</w:t>
      </w:r>
      <w:r w:rsidR="002D4F47" w:rsidRPr="007E4C66">
        <w:rPr>
          <w:sz w:val="26"/>
          <w:szCs w:val="26"/>
        </w:rPr>
        <w:t xml:space="preserve"> if t</w:t>
      </w:r>
      <w:r w:rsidR="0075747B" w:rsidRPr="007E4C66">
        <w:rPr>
          <w:sz w:val="26"/>
          <w:szCs w:val="26"/>
        </w:rPr>
        <w:t>he</w:t>
      </w:r>
      <w:r w:rsidR="001F5B6B" w:rsidRPr="007E4C66">
        <w:rPr>
          <w:sz w:val="26"/>
          <w:szCs w:val="26"/>
        </w:rPr>
        <w:t xml:space="preserve"> </w:t>
      </w:r>
      <w:r w:rsidR="00386D8A" w:rsidRPr="007E4C66">
        <w:rPr>
          <w:sz w:val="26"/>
          <w:szCs w:val="26"/>
        </w:rPr>
        <w:t xml:space="preserve">transaction </w:t>
      </w:r>
      <w:r w:rsidR="002114C2" w:rsidRPr="007E4C66">
        <w:rPr>
          <w:sz w:val="26"/>
          <w:szCs w:val="26"/>
        </w:rPr>
        <w:t xml:space="preserve">should </w:t>
      </w:r>
      <w:r w:rsidR="001F5B6B" w:rsidRPr="007E4C66">
        <w:rPr>
          <w:sz w:val="26"/>
          <w:szCs w:val="26"/>
        </w:rPr>
        <w:t xml:space="preserve">not be </w:t>
      </w:r>
      <w:r w:rsidR="00BC3D4C" w:rsidRPr="007E4C66">
        <w:rPr>
          <w:sz w:val="26"/>
          <w:szCs w:val="26"/>
        </w:rPr>
        <w:t>treated as</w:t>
      </w:r>
      <w:r w:rsidR="002114C2" w:rsidRPr="007E4C66">
        <w:rPr>
          <w:sz w:val="26"/>
          <w:szCs w:val="26"/>
        </w:rPr>
        <w:t xml:space="preserve"> </w:t>
      </w:r>
      <w:r w:rsidR="0075747B" w:rsidRPr="007E4C66">
        <w:rPr>
          <w:sz w:val="26"/>
          <w:szCs w:val="26"/>
        </w:rPr>
        <w:t xml:space="preserve">a </w:t>
      </w:r>
      <w:r w:rsidR="00386D8A" w:rsidRPr="007E4C66">
        <w:rPr>
          <w:sz w:val="26"/>
          <w:szCs w:val="26"/>
        </w:rPr>
        <w:t>bundle</w:t>
      </w:r>
      <w:r w:rsidR="001F5B6B" w:rsidRPr="007E4C66">
        <w:rPr>
          <w:sz w:val="26"/>
          <w:szCs w:val="26"/>
        </w:rPr>
        <w:t>d</w:t>
      </w:r>
      <w:r w:rsidR="00386D8A" w:rsidRPr="007E4C66">
        <w:rPr>
          <w:sz w:val="26"/>
          <w:szCs w:val="26"/>
        </w:rPr>
        <w:t xml:space="preserve"> transaction</w:t>
      </w:r>
      <w:r w:rsidR="002114C2" w:rsidRPr="007E4C66">
        <w:rPr>
          <w:sz w:val="26"/>
          <w:szCs w:val="26"/>
        </w:rPr>
        <w:t>. F</w:t>
      </w:r>
      <w:r w:rsidR="001F5B6B" w:rsidRPr="007E4C66">
        <w:rPr>
          <w:sz w:val="26"/>
          <w:szCs w:val="26"/>
        </w:rPr>
        <w:t>inally</w:t>
      </w:r>
      <w:r w:rsidR="002114C2" w:rsidRPr="007E4C66">
        <w:rPr>
          <w:sz w:val="26"/>
          <w:szCs w:val="26"/>
        </w:rPr>
        <w:t>, the framework</w:t>
      </w:r>
      <w:r w:rsidR="001F5B6B" w:rsidRPr="007E4C66">
        <w:rPr>
          <w:sz w:val="26"/>
          <w:szCs w:val="26"/>
        </w:rPr>
        <w:t xml:space="preserve"> </w:t>
      </w:r>
      <w:r w:rsidR="00BC3D4C" w:rsidRPr="007E4C66">
        <w:rPr>
          <w:sz w:val="26"/>
          <w:szCs w:val="26"/>
        </w:rPr>
        <w:t>acknowledges the application of various unbundling provisions</w:t>
      </w:r>
      <w:r w:rsidR="00ED1AD0" w:rsidRPr="007E4C66">
        <w:rPr>
          <w:sz w:val="26"/>
          <w:szCs w:val="26"/>
        </w:rPr>
        <w:t>.</w:t>
      </w:r>
      <w:r w:rsidR="00CB53AE" w:rsidRPr="007E4C66">
        <w:rPr>
          <w:sz w:val="26"/>
          <w:szCs w:val="26"/>
        </w:rPr>
        <w:t xml:space="preserve"> </w:t>
      </w:r>
    </w:p>
    <w:p w14:paraId="153007D7" w14:textId="35D4AEBA" w:rsidR="00BC3D4C" w:rsidRPr="007E4C66" w:rsidRDefault="00BC3D4C" w:rsidP="002B2E54">
      <w:pPr>
        <w:spacing w:after="0"/>
        <w:rPr>
          <w:rFonts w:eastAsia="Aptos" w:cs="Franklin Gothic Book"/>
          <w:b/>
          <w:bCs/>
          <w:kern w:val="24"/>
          <w:sz w:val="26"/>
          <w:szCs w:val="26"/>
          <w:u w:val="single"/>
          <w14:ligatures w14:val="none"/>
        </w:rPr>
      </w:pPr>
      <w:r w:rsidRPr="007E4C66">
        <w:rPr>
          <w:rFonts w:eastAsia="Aptos" w:cs="Franklin Gothic Book"/>
          <w:b/>
          <w:bCs/>
          <w:kern w:val="24"/>
          <w:sz w:val="26"/>
          <w:szCs w:val="26"/>
          <w:u w:val="single"/>
          <w14:ligatures w14:val="none"/>
        </w:rPr>
        <w:t>Step 1: A pre-bundling analysis.</w:t>
      </w:r>
    </w:p>
    <w:p w14:paraId="1AA0310F" w14:textId="77777777" w:rsidR="00BC3D4C" w:rsidRPr="007E4C66" w:rsidRDefault="00BC3D4C" w:rsidP="002B2E54">
      <w:pPr>
        <w:spacing w:after="0"/>
        <w:rPr>
          <w:rFonts w:eastAsia="Aptos" w:cs="Franklin Gothic Book"/>
          <w:b/>
          <w:bCs/>
          <w:kern w:val="24"/>
          <w:sz w:val="26"/>
          <w:szCs w:val="26"/>
          <w:u w:val="single"/>
          <w14:ligatures w14:val="none"/>
        </w:rPr>
      </w:pPr>
    </w:p>
    <w:p w14:paraId="20589D4E" w14:textId="39520908" w:rsidR="00F461C5" w:rsidRDefault="00F461C5" w:rsidP="002B2E54">
      <w:pPr>
        <w:spacing w:after="0"/>
        <w:rPr>
          <w:rFonts w:eastAsia="Aptos" w:cs="Franklin Gothic Book"/>
          <w:kern w:val="24"/>
          <w:sz w:val="26"/>
          <w:szCs w:val="26"/>
          <w14:ligatures w14:val="none"/>
        </w:rPr>
      </w:pPr>
      <w:r>
        <w:rPr>
          <w:rFonts w:eastAsia="Aptos" w:cs="Franklin Gothic Book"/>
          <w:kern w:val="24"/>
          <w:sz w:val="26"/>
          <w:szCs w:val="26"/>
          <w14:ligatures w14:val="none"/>
        </w:rPr>
        <w:t>Apply a threshold test to d</w:t>
      </w:r>
      <w:r w:rsidR="00BC3D4C" w:rsidRPr="007E4C66">
        <w:rPr>
          <w:rFonts w:eastAsia="Aptos" w:cs="Franklin Gothic Book"/>
          <w:kern w:val="24"/>
          <w:sz w:val="26"/>
          <w:szCs w:val="26"/>
          <w14:ligatures w14:val="none"/>
        </w:rPr>
        <w:t xml:space="preserve">etermine whether the transaction involves a single product. </w:t>
      </w:r>
    </w:p>
    <w:p w14:paraId="5E99525E" w14:textId="77777777" w:rsidR="00F461C5" w:rsidRDefault="00F461C5" w:rsidP="002B2E54">
      <w:pPr>
        <w:spacing w:after="0"/>
        <w:rPr>
          <w:rFonts w:eastAsia="Aptos" w:cs="Franklin Gothic Book"/>
          <w:kern w:val="24"/>
          <w:sz w:val="26"/>
          <w:szCs w:val="26"/>
          <w14:ligatures w14:val="none"/>
        </w:rPr>
      </w:pPr>
    </w:p>
    <w:p w14:paraId="5CCE7D42" w14:textId="00228B37" w:rsidR="00F962B8" w:rsidRDefault="00F962B8" w:rsidP="002B2E54">
      <w:pPr>
        <w:spacing w:after="0"/>
        <w:rPr>
          <w:rFonts w:eastAsia="Aptos" w:cs="Franklin Gothic Book"/>
          <w:kern w:val="0"/>
          <w:sz w:val="26"/>
          <w:szCs w:val="26"/>
          <w14:ligatures w14:val="none"/>
        </w:rPr>
      </w:pPr>
      <w:r>
        <w:rPr>
          <w:rFonts w:eastAsia="Aptos" w:cs="Franklin Gothic Book"/>
          <w:kern w:val="24"/>
          <w:sz w:val="26"/>
          <w:szCs w:val="26"/>
          <w14:ligatures w14:val="none"/>
        </w:rPr>
        <w:t xml:space="preserve">The threshold test will partly serve to codify the notion that “if you can’t unbundle it, it’s not a bundle.” An integrated product should not be subject to breakup using the bundling rules. </w:t>
      </w:r>
      <w:r w:rsidR="000B115B">
        <w:rPr>
          <w:rFonts w:eastAsia="Aptos" w:cs="Franklin Gothic Book"/>
          <w:kern w:val="24"/>
          <w:sz w:val="26"/>
          <w:szCs w:val="26"/>
          <w14:ligatures w14:val="none"/>
        </w:rPr>
        <w:t>W</w:t>
      </w:r>
      <w:r>
        <w:rPr>
          <w:rFonts w:eastAsia="Aptos" w:cs="Franklin Gothic Book"/>
          <w:kern w:val="24"/>
          <w:sz w:val="26"/>
          <w:szCs w:val="26"/>
          <w14:ligatures w14:val="none"/>
        </w:rPr>
        <w:t>ith TPP,</w:t>
      </w:r>
      <w:r w:rsidR="000B115B">
        <w:rPr>
          <w:rFonts w:eastAsia="Aptos" w:cs="Franklin Gothic Book"/>
          <w:kern w:val="24"/>
          <w:sz w:val="26"/>
          <w:szCs w:val="26"/>
          <w14:ligatures w14:val="none"/>
        </w:rPr>
        <w:t xml:space="preserve"> this is intuitive, with</w:t>
      </w:r>
      <w:r>
        <w:rPr>
          <w:rFonts w:eastAsia="Aptos" w:cs="Franklin Gothic Book"/>
          <w:kern w:val="24"/>
          <w:sz w:val="26"/>
          <w:szCs w:val="26"/>
          <w14:ligatures w14:val="none"/>
        </w:rPr>
        <w:t xml:space="preserve"> digital products</w:t>
      </w:r>
      <w:r w:rsidR="000B115B">
        <w:rPr>
          <w:rFonts w:eastAsia="Aptos" w:cs="Franklin Gothic Book"/>
          <w:kern w:val="24"/>
          <w:sz w:val="26"/>
          <w:szCs w:val="26"/>
          <w14:ligatures w14:val="none"/>
        </w:rPr>
        <w:t>, not</w:t>
      </w:r>
      <w:r>
        <w:rPr>
          <w:rFonts w:eastAsia="Aptos" w:cs="Franklin Gothic Book"/>
          <w:kern w:val="24"/>
          <w:sz w:val="26"/>
          <w:szCs w:val="26"/>
          <w14:ligatures w14:val="none"/>
        </w:rPr>
        <w:t>. Therefore, there is a need for an additional check before applying the bundling rules</w:t>
      </w:r>
      <w:r w:rsidR="000B115B">
        <w:rPr>
          <w:rFonts w:eastAsia="Aptos" w:cs="Franklin Gothic Book"/>
          <w:kern w:val="24"/>
          <w:sz w:val="26"/>
          <w:szCs w:val="26"/>
          <w14:ligatures w14:val="none"/>
        </w:rPr>
        <w:t xml:space="preserve"> to digital products.</w:t>
      </w:r>
    </w:p>
    <w:p w14:paraId="7C0A2846" w14:textId="77777777" w:rsidR="00F962B8" w:rsidRDefault="00F962B8" w:rsidP="002B2E54">
      <w:pPr>
        <w:spacing w:after="0"/>
        <w:rPr>
          <w:rFonts w:eastAsia="Aptos" w:cs="Franklin Gothic Book"/>
          <w:kern w:val="0"/>
          <w:sz w:val="26"/>
          <w:szCs w:val="26"/>
          <w14:ligatures w14:val="none"/>
        </w:rPr>
      </w:pPr>
    </w:p>
    <w:p w14:paraId="0886237C" w14:textId="1856751F" w:rsidR="00F461C5" w:rsidRDefault="00F461C5" w:rsidP="002B2E54">
      <w:pPr>
        <w:spacing w:after="0"/>
        <w:rPr>
          <w:rFonts w:eastAsia="Aptos" w:cs="Franklin Gothic Book"/>
          <w:kern w:val="0"/>
          <w:sz w:val="26"/>
          <w:szCs w:val="26"/>
          <w14:ligatures w14:val="none"/>
        </w:rPr>
      </w:pPr>
      <w:r w:rsidRPr="007E4C66">
        <w:rPr>
          <w:rFonts w:eastAsia="Aptos" w:cs="Franklin Gothic Book"/>
          <w:kern w:val="0"/>
          <w:sz w:val="26"/>
          <w:szCs w:val="26"/>
          <w14:ligatures w14:val="none"/>
        </w:rPr>
        <w:t xml:space="preserve">With TPP, it is generally accepted that a buyer may purchase a finished product that is comprised of multiple components, which together comprise a single, integrated, finished product that cannot be subdivided and treated as a stand-alone product. For example, the purchase of a customized wooden chair is comprised of a seat, arms, and legs that collectively consist of wood and metal in the form of screws and bolts and that are the product of labor and design services. There is less consensus as to what a single integrated finished </w:t>
      </w:r>
      <w:r w:rsidRPr="007E4C66">
        <w:rPr>
          <w:rFonts w:eastAsia="Aptos" w:cs="Franklin Gothic Book"/>
          <w:i/>
          <w:iCs/>
          <w:kern w:val="0"/>
          <w:sz w:val="26"/>
          <w:szCs w:val="26"/>
          <w14:ligatures w14:val="none"/>
        </w:rPr>
        <w:t>digital</w:t>
      </w:r>
      <w:r w:rsidRPr="007E4C66">
        <w:rPr>
          <w:rFonts w:eastAsia="Aptos" w:cs="Franklin Gothic Book"/>
          <w:kern w:val="0"/>
          <w:sz w:val="26"/>
          <w:szCs w:val="26"/>
          <w14:ligatures w14:val="none"/>
        </w:rPr>
        <w:t xml:space="preserve"> product is.</w:t>
      </w:r>
    </w:p>
    <w:p w14:paraId="4F03DA6C" w14:textId="77777777" w:rsidR="00247169" w:rsidRDefault="00247169" w:rsidP="002B2E54">
      <w:pPr>
        <w:spacing w:after="0"/>
        <w:rPr>
          <w:rFonts w:eastAsia="Aptos" w:cs="Franklin Gothic Book"/>
          <w:kern w:val="24"/>
          <w:sz w:val="26"/>
          <w:szCs w:val="26"/>
          <w14:ligatures w14:val="none"/>
        </w:rPr>
      </w:pPr>
    </w:p>
    <w:p w14:paraId="67A505D4" w14:textId="4CED22A3" w:rsidR="00F461C5" w:rsidRDefault="000B115B" w:rsidP="002B2E54">
      <w:pPr>
        <w:spacing w:after="0"/>
        <w:rPr>
          <w:rFonts w:eastAsia="Aptos" w:cs="Franklin Gothic Book"/>
          <w:kern w:val="24"/>
          <w:sz w:val="26"/>
          <w:szCs w:val="26"/>
          <w14:ligatures w14:val="none"/>
        </w:rPr>
      </w:pPr>
      <w:r>
        <w:rPr>
          <w:rFonts w:eastAsia="Aptos" w:cs="Franklin Gothic Book"/>
          <w:kern w:val="24"/>
          <w:sz w:val="26"/>
          <w:szCs w:val="26"/>
          <w14:ligatures w14:val="none"/>
        </w:rPr>
        <w:t>Potential o</w:t>
      </w:r>
      <w:r w:rsidR="00F461C5">
        <w:rPr>
          <w:rFonts w:eastAsia="Aptos" w:cs="Franklin Gothic Book"/>
          <w:kern w:val="24"/>
          <w:sz w:val="26"/>
          <w:szCs w:val="26"/>
          <w14:ligatures w14:val="none"/>
        </w:rPr>
        <w:t>ptions:</w:t>
      </w:r>
    </w:p>
    <w:p w14:paraId="612B1B57" w14:textId="4A324D5C" w:rsidR="00F461C5" w:rsidRDefault="00F461C5" w:rsidP="00F461C5">
      <w:pPr>
        <w:pStyle w:val="ListParagraph"/>
        <w:numPr>
          <w:ilvl w:val="0"/>
          <w:numId w:val="15"/>
        </w:numPr>
        <w:spacing w:after="0"/>
        <w:rPr>
          <w:rFonts w:eastAsia="Aptos" w:cs="Franklin Gothic Book"/>
          <w:kern w:val="24"/>
          <w:sz w:val="26"/>
          <w:szCs w:val="26"/>
          <w14:ligatures w14:val="none"/>
        </w:rPr>
      </w:pPr>
      <w:r>
        <w:rPr>
          <w:rFonts w:eastAsia="Aptos" w:cs="Franklin Gothic Book"/>
          <w:kern w:val="24"/>
          <w:sz w:val="26"/>
          <w:szCs w:val="26"/>
          <w14:ligatures w14:val="none"/>
        </w:rPr>
        <w:t>Develop a separate definition o</w:t>
      </w:r>
      <w:r w:rsidR="00247169">
        <w:rPr>
          <w:rFonts w:eastAsia="Aptos" w:cs="Franklin Gothic Book"/>
          <w:kern w:val="24"/>
          <w:sz w:val="26"/>
          <w:szCs w:val="26"/>
          <w14:ligatures w14:val="none"/>
        </w:rPr>
        <w:t>f</w:t>
      </w:r>
      <w:r w:rsidR="000B115B">
        <w:rPr>
          <w:rFonts w:eastAsia="Aptos" w:cs="Franklin Gothic Book"/>
          <w:kern w:val="24"/>
          <w:sz w:val="26"/>
          <w:szCs w:val="26"/>
          <w14:ligatures w14:val="none"/>
        </w:rPr>
        <w:t xml:space="preserve"> </w:t>
      </w:r>
      <w:r>
        <w:rPr>
          <w:rFonts w:eastAsia="Aptos" w:cs="Franklin Gothic Book"/>
          <w:kern w:val="24"/>
          <w:sz w:val="26"/>
          <w:szCs w:val="26"/>
          <w14:ligatures w14:val="none"/>
        </w:rPr>
        <w:t>single, integrated product and apply that</w:t>
      </w:r>
      <w:r w:rsidR="00F962B8">
        <w:rPr>
          <w:rFonts w:eastAsia="Aptos" w:cs="Franklin Gothic Book"/>
          <w:kern w:val="24"/>
          <w:sz w:val="26"/>
          <w:szCs w:val="26"/>
          <w14:ligatures w14:val="none"/>
        </w:rPr>
        <w:t xml:space="preserve"> definition. Only transactions involving products that are not single, integrated products would be subject to the bundling rules.</w:t>
      </w:r>
    </w:p>
    <w:p w14:paraId="28B2D86D" w14:textId="535D5805" w:rsidR="00F461C5" w:rsidRDefault="00F962B8" w:rsidP="00F461C5">
      <w:pPr>
        <w:pStyle w:val="ListParagraph"/>
        <w:numPr>
          <w:ilvl w:val="0"/>
          <w:numId w:val="15"/>
        </w:numPr>
        <w:spacing w:after="0"/>
        <w:rPr>
          <w:rFonts w:eastAsia="Aptos" w:cs="Franklin Gothic Book"/>
          <w:kern w:val="24"/>
          <w:sz w:val="26"/>
          <w:szCs w:val="26"/>
          <w14:ligatures w14:val="none"/>
        </w:rPr>
      </w:pPr>
      <w:r>
        <w:rPr>
          <w:rFonts w:eastAsia="Aptos" w:cs="Franklin Gothic Book"/>
          <w:kern w:val="24"/>
          <w:sz w:val="26"/>
          <w:szCs w:val="26"/>
          <w14:ligatures w14:val="none"/>
        </w:rPr>
        <w:t>Develop</w:t>
      </w:r>
      <w:r w:rsidR="00F461C5">
        <w:rPr>
          <w:rFonts w:eastAsia="Aptos" w:cs="Franklin Gothic Book"/>
          <w:kern w:val="24"/>
          <w:sz w:val="26"/>
          <w:szCs w:val="26"/>
          <w14:ligatures w14:val="none"/>
        </w:rPr>
        <w:t xml:space="preserve"> a </w:t>
      </w:r>
      <w:proofErr w:type="spellStart"/>
      <w:r w:rsidR="00F461C5">
        <w:rPr>
          <w:rFonts w:eastAsia="Aptos" w:cs="Franklin Gothic Book"/>
          <w:kern w:val="24"/>
          <w:sz w:val="26"/>
          <w:szCs w:val="26"/>
          <w14:ligatures w14:val="none"/>
        </w:rPr>
        <w:t>nonexhaustive</w:t>
      </w:r>
      <w:proofErr w:type="spellEnd"/>
      <w:r w:rsidR="00F461C5">
        <w:rPr>
          <w:rFonts w:eastAsia="Aptos" w:cs="Franklin Gothic Book"/>
          <w:kern w:val="24"/>
          <w:sz w:val="26"/>
          <w:szCs w:val="26"/>
          <w14:ligatures w14:val="none"/>
        </w:rPr>
        <w:t xml:space="preserve"> list of digital products that are deemed to be single, integrated products.</w:t>
      </w:r>
      <w:r>
        <w:rPr>
          <w:rFonts w:eastAsia="Aptos" w:cs="Franklin Gothic Book"/>
          <w:kern w:val="24"/>
          <w:sz w:val="26"/>
          <w:szCs w:val="26"/>
          <w14:ligatures w14:val="none"/>
        </w:rPr>
        <w:t xml:space="preserve"> Products on this list would be excluded from the bundling rules.</w:t>
      </w:r>
    </w:p>
    <w:p w14:paraId="4CFEB292" w14:textId="7B2D8394" w:rsidR="00F461C5" w:rsidRDefault="00F461C5" w:rsidP="00F461C5">
      <w:pPr>
        <w:pStyle w:val="ListParagraph"/>
        <w:numPr>
          <w:ilvl w:val="0"/>
          <w:numId w:val="15"/>
        </w:numPr>
        <w:spacing w:after="0"/>
        <w:rPr>
          <w:rFonts w:eastAsia="Aptos" w:cs="Franklin Gothic Book"/>
          <w:kern w:val="24"/>
          <w:sz w:val="26"/>
          <w:szCs w:val="26"/>
          <w14:ligatures w14:val="none"/>
        </w:rPr>
      </w:pPr>
      <w:r>
        <w:rPr>
          <w:rFonts w:eastAsia="Aptos" w:cs="Franklin Gothic Book"/>
          <w:kern w:val="24"/>
          <w:sz w:val="26"/>
          <w:szCs w:val="26"/>
          <w14:ligatures w14:val="none"/>
        </w:rPr>
        <w:t>Define specific products to include components X, Y, and Z.</w:t>
      </w:r>
      <w:r w:rsidR="00F962B8">
        <w:rPr>
          <w:rFonts w:eastAsia="Aptos" w:cs="Franklin Gothic Book"/>
          <w:kern w:val="24"/>
          <w:sz w:val="26"/>
          <w:szCs w:val="26"/>
          <w14:ligatures w14:val="none"/>
        </w:rPr>
        <w:t xml:space="preserve"> The products on this list are not subject to the bundling rules with respect to their specified components.</w:t>
      </w:r>
    </w:p>
    <w:p w14:paraId="2E79E990" w14:textId="77777777" w:rsidR="00F461C5" w:rsidRPr="00F461C5" w:rsidRDefault="00F461C5" w:rsidP="00F461C5">
      <w:pPr>
        <w:pStyle w:val="ListParagraph"/>
        <w:spacing w:after="0"/>
        <w:rPr>
          <w:rFonts w:eastAsia="Aptos" w:cs="Franklin Gothic Book"/>
          <w:kern w:val="24"/>
          <w:sz w:val="26"/>
          <w:szCs w:val="26"/>
          <w14:ligatures w14:val="none"/>
        </w:rPr>
      </w:pPr>
    </w:p>
    <w:p w14:paraId="54149224" w14:textId="47D7D218" w:rsidR="00F77471" w:rsidRDefault="00F962B8" w:rsidP="002B2E54">
      <w:pPr>
        <w:spacing w:after="0"/>
        <w:rPr>
          <w:rFonts w:eastAsia="Aptos" w:cs="Franklin Gothic Book"/>
          <w:b/>
          <w:bCs/>
          <w:kern w:val="24"/>
          <w:u w:val="single"/>
          <w14:ligatures w14:val="none"/>
        </w:rPr>
      </w:pPr>
      <w:r>
        <w:rPr>
          <w:rFonts w:eastAsia="Aptos" w:cs="Franklin Gothic Book"/>
          <w:kern w:val="24"/>
          <w:sz w:val="26"/>
          <w:szCs w:val="26"/>
          <w14:ligatures w14:val="none"/>
        </w:rPr>
        <w:t>Options (1) and (2) could be adopted together and work in tandem. Option (3) would likely be a standalone option.</w:t>
      </w:r>
      <w:r w:rsidR="00F461C5">
        <w:rPr>
          <w:rFonts w:eastAsia="Aptos" w:cs="Franklin Gothic Book"/>
          <w:kern w:val="24"/>
          <w:sz w:val="26"/>
          <w:szCs w:val="26"/>
          <w14:ligatures w14:val="none"/>
        </w:rPr>
        <w:t xml:space="preserve"> </w:t>
      </w:r>
      <w:r w:rsidR="000B115B">
        <w:rPr>
          <w:rFonts w:eastAsia="Aptos" w:cs="Franklin Gothic Book"/>
          <w:kern w:val="24"/>
          <w:sz w:val="26"/>
          <w:szCs w:val="26"/>
          <w14:ligatures w14:val="none"/>
        </w:rPr>
        <w:t>Whatever is used as the threshold step, there will be some overlap between that and the requirement for “distinct and identifiable” components in the bundling rules.</w:t>
      </w:r>
    </w:p>
    <w:p w14:paraId="4B3E3BA0" w14:textId="7E4BE079" w:rsidR="002B2E54" w:rsidRPr="007E4C66" w:rsidRDefault="00317E10" w:rsidP="002B2E54">
      <w:pPr>
        <w:spacing w:after="0"/>
        <w:rPr>
          <w:rFonts w:eastAsia="Aptos" w:cs="Franklin Gothic Book"/>
          <w:b/>
          <w:bCs/>
          <w:kern w:val="24"/>
          <w:sz w:val="26"/>
          <w:szCs w:val="26"/>
          <w:u w:val="single"/>
          <w14:ligatures w14:val="none"/>
        </w:rPr>
      </w:pPr>
      <w:r w:rsidRPr="007E4C66">
        <w:rPr>
          <w:rFonts w:eastAsia="Aptos" w:cs="Franklin Gothic Book"/>
          <w:b/>
          <w:bCs/>
          <w:kern w:val="24"/>
          <w:sz w:val="26"/>
          <w:szCs w:val="26"/>
          <w:u w:val="single"/>
          <w14:ligatures w14:val="none"/>
        </w:rPr>
        <w:t xml:space="preserve">Step </w:t>
      </w:r>
      <w:r w:rsidR="00BC3D4C" w:rsidRPr="007E4C66">
        <w:rPr>
          <w:rFonts w:eastAsia="Aptos" w:cs="Franklin Gothic Book"/>
          <w:b/>
          <w:bCs/>
          <w:kern w:val="24"/>
          <w:sz w:val="26"/>
          <w:szCs w:val="26"/>
          <w:u w:val="single"/>
          <w14:ligatures w14:val="none"/>
        </w:rPr>
        <w:t>2</w:t>
      </w:r>
      <w:r w:rsidRPr="007E4C66">
        <w:rPr>
          <w:rFonts w:eastAsia="Aptos" w:cs="Franklin Gothic Book"/>
          <w:b/>
          <w:bCs/>
          <w:kern w:val="24"/>
          <w:sz w:val="26"/>
          <w:szCs w:val="26"/>
          <w:u w:val="single"/>
          <w14:ligatures w14:val="none"/>
        </w:rPr>
        <w:t>: Is th</w:t>
      </w:r>
      <w:r w:rsidR="00CC0303" w:rsidRPr="007E4C66">
        <w:rPr>
          <w:rFonts w:eastAsia="Aptos" w:cs="Franklin Gothic Book"/>
          <w:b/>
          <w:bCs/>
          <w:kern w:val="24"/>
          <w:sz w:val="26"/>
          <w:szCs w:val="26"/>
          <w:u w:val="single"/>
          <w14:ligatures w14:val="none"/>
        </w:rPr>
        <w:t>is</w:t>
      </w:r>
      <w:r w:rsidRPr="007E4C66">
        <w:rPr>
          <w:rFonts w:eastAsia="Aptos" w:cs="Franklin Gothic Book"/>
          <w:b/>
          <w:bCs/>
          <w:kern w:val="24"/>
          <w:sz w:val="26"/>
          <w:szCs w:val="26"/>
          <w:u w:val="single"/>
          <w14:ligatures w14:val="none"/>
        </w:rPr>
        <w:t xml:space="preserve"> a bundled transaction?</w:t>
      </w:r>
    </w:p>
    <w:p w14:paraId="121C5589" w14:textId="77777777" w:rsidR="00342945" w:rsidRPr="007E4C66" w:rsidRDefault="00342945" w:rsidP="00342945">
      <w:pPr>
        <w:autoSpaceDE w:val="0"/>
        <w:autoSpaceDN w:val="0"/>
        <w:adjustRightInd w:val="0"/>
        <w:spacing w:after="0" w:line="240" w:lineRule="auto"/>
        <w:rPr>
          <w:rFonts w:eastAsia="Aptos" w:cs="Franklin Gothic Book"/>
          <w:kern w:val="24"/>
          <w:sz w:val="26"/>
          <w:szCs w:val="26"/>
          <w14:ligatures w14:val="none"/>
        </w:rPr>
      </w:pPr>
    </w:p>
    <w:p w14:paraId="4B3E3BA1" w14:textId="2118E80D" w:rsidR="002B2E54" w:rsidRPr="007E4C66" w:rsidRDefault="00CC0303" w:rsidP="00342945">
      <w:pPr>
        <w:autoSpaceDE w:val="0"/>
        <w:autoSpaceDN w:val="0"/>
        <w:adjustRightInd w:val="0"/>
        <w:spacing w:after="0" w:line="240" w:lineRule="auto"/>
        <w:rPr>
          <w:rFonts w:eastAsia="Aptos" w:cs="Franklin Gothic Book"/>
          <w:kern w:val="24"/>
          <w:sz w:val="26"/>
          <w:szCs w:val="26"/>
          <w14:ligatures w14:val="none"/>
        </w:rPr>
      </w:pPr>
      <w:r w:rsidRPr="007E4C66">
        <w:rPr>
          <w:rFonts w:eastAsia="Aptos" w:cs="Franklin Gothic Book"/>
          <w:kern w:val="24"/>
          <w:sz w:val="26"/>
          <w:szCs w:val="26"/>
          <w14:ligatures w14:val="none"/>
        </w:rPr>
        <w:t>A bundled transaction r</w:t>
      </w:r>
      <w:r w:rsidR="00317E10" w:rsidRPr="007E4C66">
        <w:rPr>
          <w:rFonts w:eastAsia="Aptos" w:cs="Franklin Gothic Book"/>
          <w:kern w:val="24"/>
          <w:sz w:val="26"/>
          <w:szCs w:val="26"/>
          <w14:ligatures w14:val="none"/>
        </w:rPr>
        <w:t xml:space="preserve">equires two or more </w:t>
      </w:r>
      <w:r w:rsidR="000B50D9" w:rsidRPr="007E4C66">
        <w:rPr>
          <w:rFonts w:eastAsia="Aptos" w:cs="Franklin Gothic Book"/>
          <w:kern w:val="24"/>
          <w:sz w:val="26"/>
          <w:szCs w:val="26"/>
          <w14:ligatures w14:val="none"/>
        </w:rPr>
        <w:t>“</w:t>
      </w:r>
      <w:r w:rsidR="00317E10" w:rsidRPr="007E4C66">
        <w:rPr>
          <w:rFonts w:eastAsia="Aptos" w:cs="Franklin Gothic Book"/>
          <w:kern w:val="24"/>
          <w:sz w:val="26"/>
          <w:szCs w:val="26"/>
          <w14:ligatures w14:val="none"/>
        </w:rPr>
        <w:t>distinct and identifiable</w:t>
      </w:r>
      <w:r w:rsidR="000B50D9" w:rsidRPr="007E4C66">
        <w:rPr>
          <w:rFonts w:eastAsia="Aptos" w:cs="Franklin Gothic Book"/>
          <w:kern w:val="24"/>
          <w:sz w:val="26"/>
          <w:szCs w:val="26"/>
          <w14:ligatures w14:val="none"/>
        </w:rPr>
        <w:t>”</w:t>
      </w:r>
      <w:r w:rsidR="00317E10" w:rsidRPr="007E4C66">
        <w:rPr>
          <w:rFonts w:eastAsia="Aptos" w:cs="Franklin Gothic Book"/>
          <w:kern w:val="24"/>
          <w:sz w:val="26"/>
          <w:szCs w:val="26"/>
          <w14:ligatures w14:val="none"/>
        </w:rPr>
        <w:t xml:space="preserve"> products</w:t>
      </w:r>
      <w:r w:rsidR="00BA0902" w:rsidRPr="007E4C66">
        <w:rPr>
          <w:rFonts w:eastAsia="Aptos" w:cs="Franklin Gothic Book"/>
          <w:kern w:val="24"/>
          <w:sz w:val="26"/>
          <w:szCs w:val="26"/>
          <w14:ligatures w14:val="none"/>
        </w:rPr>
        <w:t xml:space="preserve"> sold for one non-itemized price</w:t>
      </w:r>
      <w:r w:rsidR="00E41858" w:rsidRPr="007E4C66">
        <w:rPr>
          <w:rFonts w:eastAsia="Aptos" w:cs="Franklin Gothic Book"/>
          <w:kern w:val="24"/>
          <w:sz w:val="26"/>
          <w:szCs w:val="26"/>
          <w14:ligatures w14:val="none"/>
        </w:rPr>
        <w:t xml:space="preserve"> and</w:t>
      </w:r>
      <w:r w:rsidR="00317E10" w:rsidRPr="007E4C66">
        <w:rPr>
          <w:rFonts w:eastAsia="Aptos" w:cs="Franklin Gothic Book"/>
          <w:kern w:val="24"/>
          <w:sz w:val="26"/>
          <w:szCs w:val="26"/>
          <w14:ligatures w14:val="none"/>
        </w:rPr>
        <w:t xml:space="preserve"> </w:t>
      </w:r>
      <w:r w:rsidR="007D4E79" w:rsidRPr="007E4C66">
        <w:rPr>
          <w:rFonts w:eastAsia="Aptos" w:cs="Franklin Gothic Book"/>
          <w:kern w:val="24"/>
          <w:sz w:val="26"/>
          <w:szCs w:val="26"/>
          <w:highlight w:val="white"/>
          <w14:ligatures w14:val="none"/>
        </w:rPr>
        <w:t>exclud</w:t>
      </w:r>
      <w:r w:rsidR="00D859A7" w:rsidRPr="007E4C66">
        <w:rPr>
          <w:rFonts w:eastAsia="Aptos" w:cs="Franklin Gothic Book"/>
          <w:kern w:val="24"/>
          <w:sz w:val="26"/>
          <w:szCs w:val="26"/>
          <w:highlight w:val="white"/>
          <w14:ligatures w14:val="none"/>
        </w:rPr>
        <w:t>es</w:t>
      </w:r>
      <w:r w:rsidR="007D4E79" w:rsidRPr="007E4C66">
        <w:rPr>
          <w:rFonts w:eastAsia="Aptos" w:cs="Franklin Gothic Book"/>
          <w:kern w:val="24"/>
          <w:sz w:val="26"/>
          <w:szCs w:val="26"/>
          <w:highlight w:val="white"/>
          <w14:ligatures w14:val="none"/>
        </w:rPr>
        <w:t xml:space="preserve"> any </w:t>
      </w:r>
      <w:r w:rsidR="00D859A7" w:rsidRPr="007E4C66">
        <w:rPr>
          <w:rFonts w:eastAsia="Aptos" w:cs="Franklin Gothic Book"/>
          <w:kern w:val="24"/>
          <w:sz w:val="26"/>
          <w:szCs w:val="26"/>
          <w:highlight w:val="white"/>
          <w14:ligatures w14:val="none"/>
        </w:rPr>
        <w:t xml:space="preserve">transaction </w:t>
      </w:r>
      <w:r w:rsidR="006D0B10" w:rsidRPr="007E4C66">
        <w:rPr>
          <w:rFonts w:eastAsia="Aptos" w:cs="Franklin Gothic Book"/>
          <w:kern w:val="24"/>
          <w:sz w:val="26"/>
          <w:szCs w:val="26"/>
          <w:highlight w:val="white"/>
          <w14:ligatures w14:val="none"/>
        </w:rPr>
        <w:t>when</w:t>
      </w:r>
      <w:r w:rsidR="007D4E79" w:rsidRPr="007E4C66">
        <w:rPr>
          <w:rFonts w:eastAsia="Aptos" w:cs="Franklin Gothic Book"/>
          <w:kern w:val="24"/>
          <w:sz w:val="26"/>
          <w:szCs w:val="26"/>
          <w:highlight w:val="white"/>
          <w14:ligatures w14:val="none"/>
        </w:rPr>
        <w:t xml:space="preserve"> the sales price varies or is negotiable</w:t>
      </w:r>
      <w:r w:rsidR="00BF4C5E" w:rsidRPr="007E4C66">
        <w:rPr>
          <w:rFonts w:eastAsia="Aptos" w:cs="Franklin Gothic Book"/>
          <w:kern w:val="24"/>
          <w:sz w:val="26"/>
          <w:szCs w:val="26"/>
          <w14:ligatures w14:val="none"/>
        </w:rPr>
        <w:t xml:space="preserve">, </w:t>
      </w:r>
      <w:r w:rsidR="00BF4C5E" w:rsidRPr="007E4C66">
        <w:rPr>
          <w:rFonts w:eastAsia="Aptos" w:cs="Franklin Gothic Book"/>
          <w:kern w:val="24"/>
          <w:sz w:val="26"/>
          <w:szCs w:val="26"/>
          <w14:ligatures w14:val="none"/>
        </w:rPr>
        <w:lastRenderedPageBreak/>
        <w:t>based on the selection by the purchaser of the products included in the transaction</w:t>
      </w:r>
      <w:r w:rsidR="007D4E79" w:rsidRPr="007E4C66">
        <w:rPr>
          <w:rFonts w:eastAsia="Aptos" w:cs="Franklin Gothic Book"/>
          <w:kern w:val="24"/>
          <w:sz w:val="26"/>
          <w:szCs w:val="26"/>
          <w14:ligatures w14:val="none"/>
        </w:rPr>
        <w:t>.</w:t>
      </w:r>
      <w:r w:rsidR="004D1828" w:rsidRPr="007E4C66">
        <w:rPr>
          <w:rFonts w:eastAsia="Aptos" w:cs="Franklin Gothic Book"/>
          <w:kern w:val="24"/>
          <w:sz w:val="26"/>
          <w:szCs w:val="26"/>
          <w14:ligatures w14:val="none"/>
        </w:rPr>
        <w:t xml:space="preserve"> For this analysis</w:t>
      </w:r>
      <w:r w:rsidR="00C42E5D" w:rsidRPr="007E4C66">
        <w:rPr>
          <w:rFonts w:eastAsia="Aptos" w:cs="Franklin Gothic Book"/>
          <w:kern w:val="24"/>
          <w:sz w:val="26"/>
          <w:szCs w:val="26"/>
          <w14:ligatures w14:val="none"/>
        </w:rPr>
        <w:t>, the</w:t>
      </w:r>
      <w:r w:rsidR="00317E10" w:rsidRPr="007E4C66">
        <w:rPr>
          <w:rFonts w:eastAsia="Aptos" w:cs="Franklin Gothic Book"/>
          <w:kern w:val="24"/>
          <w:sz w:val="26"/>
          <w:szCs w:val="26"/>
          <w14:ligatures w14:val="none"/>
        </w:rPr>
        <w:t xml:space="preserve"> following </w:t>
      </w:r>
      <w:r w:rsidR="0068636E" w:rsidRPr="007E4C66">
        <w:rPr>
          <w:rFonts w:eastAsia="Aptos" w:cs="Franklin Gothic Book"/>
          <w:kern w:val="24"/>
          <w:sz w:val="26"/>
          <w:szCs w:val="26"/>
          <w14:ligatures w14:val="none"/>
        </w:rPr>
        <w:t xml:space="preserve">items </w:t>
      </w:r>
      <w:r w:rsidR="00C42E5D" w:rsidRPr="007E4C66">
        <w:rPr>
          <w:rFonts w:eastAsia="Aptos" w:cs="Franklin Gothic Book"/>
          <w:kern w:val="24"/>
          <w:sz w:val="26"/>
          <w:szCs w:val="26"/>
          <w14:ligatures w14:val="none"/>
        </w:rPr>
        <w:t>are not</w:t>
      </w:r>
      <w:r w:rsidR="00317E10" w:rsidRPr="007E4C66">
        <w:rPr>
          <w:rFonts w:eastAsia="Aptos" w:cs="Franklin Gothic Book"/>
          <w:kern w:val="24"/>
          <w:sz w:val="26"/>
          <w:szCs w:val="26"/>
          <w14:ligatures w14:val="none"/>
        </w:rPr>
        <w:t xml:space="preserve"> distinct and identifiable</w:t>
      </w:r>
      <w:r w:rsidR="00745A1D" w:rsidRPr="007E4C66">
        <w:rPr>
          <w:rFonts w:eastAsia="Aptos" w:cs="Franklin Gothic Book"/>
          <w:kern w:val="24"/>
          <w:sz w:val="26"/>
          <w:szCs w:val="26"/>
          <w14:ligatures w14:val="none"/>
        </w:rPr>
        <w:t xml:space="preserve"> products</w:t>
      </w:r>
      <w:r w:rsidR="00317E10" w:rsidRPr="007E4C66">
        <w:rPr>
          <w:rFonts w:eastAsia="Aptos" w:cs="Franklin Gothic Book"/>
          <w:kern w:val="24"/>
          <w:sz w:val="26"/>
          <w:szCs w:val="26"/>
          <w14:ligatures w14:val="none"/>
        </w:rPr>
        <w:t>:</w:t>
      </w:r>
    </w:p>
    <w:p w14:paraId="57C41B90" w14:textId="77777777" w:rsidR="00745A1D" w:rsidRPr="007E4C66" w:rsidRDefault="00745A1D" w:rsidP="00342945">
      <w:pPr>
        <w:autoSpaceDE w:val="0"/>
        <w:autoSpaceDN w:val="0"/>
        <w:adjustRightInd w:val="0"/>
        <w:spacing w:after="0" w:line="240" w:lineRule="auto"/>
        <w:rPr>
          <w:rFonts w:eastAsia="Aptos" w:cs="Franklin Gothic Book"/>
          <w:kern w:val="24"/>
          <w:sz w:val="26"/>
          <w:szCs w:val="26"/>
          <w14:ligatures w14:val="none"/>
        </w:rPr>
      </w:pPr>
    </w:p>
    <w:p w14:paraId="4B3E3BA2" w14:textId="3D6B2338" w:rsidR="002B2E54" w:rsidRPr="007E4C66" w:rsidRDefault="00317E10" w:rsidP="00C55420">
      <w:pPr>
        <w:numPr>
          <w:ilvl w:val="0"/>
          <w:numId w:val="6"/>
        </w:numPr>
        <w:autoSpaceDE w:val="0"/>
        <w:autoSpaceDN w:val="0"/>
        <w:adjustRightInd w:val="0"/>
        <w:spacing w:after="0" w:line="240" w:lineRule="auto"/>
        <w:rPr>
          <w:rFonts w:eastAsia="Aptos" w:cs="Franklin Gothic Book"/>
          <w:kern w:val="0"/>
          <w:sz w:val="26"/>
          <w:szCs w:val="26"/>
          <w14:ligatures w14:val="none"/>
        </w:rPr>
      </w:pPr>
      <w:r w:rsidRPr="007E4C66">
        <w:rPr>
          <w:rFonts w:eastAsia="Aptos" w:cs="Franklin Gothic Book"/>
          <w:kern w:val="0"/>
          <w:sz w:val="26"/>
          <w:szCs w:val="26"/>
          <w14:ligatures w14:val="none"/>
        </w:rPr>
        <w:t xml:space="preserve">Elements of </w:t>
      </w:r>
      <w:r w:rsidR="005E1770" w:rsidRPr="007E4C66">
        <w:rPr>
          <w:rFonts w:eastAsia="Aptos" w:cs="Franklin Gothic Book"/>
          <w:kern w:val="0"/>
          <w:sz w:val="26"/>
          <w:szCs w:val="26"/>
          <w14:ligatures w14:val="none"/>
        </w:rPr>
        <w:t xml:space="preserve">the </w:t>
      </w:r>
      <w:r w:rsidRPr="007E4C66">
        <w:rPr>
          <w:rFonts w:eastAsia="Aptos" w:cs="Franklin Gothic Book"/>
          <w:kern w:val="0"/>
          <w:sz w:val="26"/>
          <w:szCs w:val="26"/>
          <w14:ligatures w14:val="none"/>
        </w:rPr>
        <w:t>sales price, e.g., material and labor costs</w:t>
      </w:r>
    </w:p>
    <w:p w14:paraId="4B3E3BA3" w14:textId="77777777" w:rsidR="002B2E54" w:rsidRPr="007E4C66" w:rsidRDefault="00317E10" w:rsidP="00C55420">
      <w:pPr>
        <w:numPr>
          <w:ilvl w:val="0"/>
          <w:numId w:val="6"/>
        </w:numPr>
        <w:autoSpaceDE w:val="0"/>
        <w:autoSpaceDN w:val="0"/>
        <w:adjustRightInd w:val="0"/>
        <w:spacing w:after="0" w:line="240" w:lineRule="auto"/>
        <w:rPr>
          <w:rFonts w:eastAsia="Aptos" w:cs="Franklin Gothic Book"/>
          <w:kern w:val="0"/>
          <w:sz w:val="26"/>
          <w:szCs w:val="26"/>
          <w14:ligatures w14:val="none"/>
        </w:rPr>
      </w:pPr>
      <w:r w:rsidRPr="007E4C66">
        <w:rPr>
          <w:rFonts w:eastAsia="Aptos" w:cs="Franklin Gothic Book"/>
          <w:kern w:val="0"/>
          <w:sz w:val="26"/>
          <w:szCs w:val="26"/>
          <w14:ligatures w14:val="none"/>
        </w:rPr>
        <w:t>Packaging</w:t>
      </w:r>
    </w:p>
    <w:p w14:paraId="4B3E3BA4" w14:textId="77777777" w:rsidR="002B2E54" w:rsidRPr="007E4C66" w:rsidRDefault="00317E10" w:rsidP="00C55420">
      <w:pPr>
        <w:numPr>
          <w:ilvl w:val="0"/>
          <w:numId w:val="6"/>
        </w:numPr>
        <w:autoSpaceDE w:val="0"/>
        <w:autoSpaceDN w:val="0"/>
        <w:adjustRightInd w:val="0"/>
        <w:spacing w:after="0" w:line="240" w:lineRule="auto"/>
        <w:rPr>
          <w:rFonts w:eastAsia="Aptos" w:cs="Franklin Gothic Book"/>
          <w:kern w:val="0"/>
          <w:sz w:val="26"/>
          <w:szCs w:val="26"/>
          <w14:ligatures w14:val="none"/>
        </w:rPr>
      </w:pPr>
      <w:r w:rsidRPr="007E4C66">
        <w:rPr>
          <w:rFonts w:eastAsia="Aptos" w:cs="Franklin Gothic Book"/>
          <w:kern w:val="0"/>
          <w:sz w:val="26"/>
          <w:szCs w:val="26"/>
          <w14:ligatures w14:val="none"/>
        </w:rPr>
        <w:t>Items offered for free</w:t>
      </w:r>
    </w:p>
    <w:p w14:paraId="4B3E3BA5" w14:textId="77777777" w:rsidR="00087B0A" w:rsidRPr="007E4C66" w:rsidRDefault="00087B0A" w:rsidP="0073488F">
      <w:pPr>
        <w:autoSpaceDE w:val="0"/>
        <w:autoSpaceDN w:val="0"/>
        <w:adjustRightInd w:val="0"/>
        <w:spacing w:after="0" w:line="240" w:lineRule="auto"/>
        <w:rPr>
          <w:rFonts w:eastAsia="Aptos" w:cs="Franklin Gothic Book"/>
          <w:kern w:val="0"/>
          <w:sz w:val="26"/>
          <w:szCs w:val="26"/>
          <w14:ligatures w14:val="none"/>
        </w:rPr>
      </w:pPr>
    </w:p>
    <w:p w14:paraId="4B3E3BA6" w14:textId="101BB98F" w:rsidR="0073488F" w:rsidRPr="007E4C66" w:rsidRDefault="004D1828" w:rsidP="00BC3D4C">
      <w:pPr>
        <w:autoSpaceDE w:val="0"/>
        <w:autoSpaceDN w:val="0"/>
        <w:adjustRightInd w:val="0"/>
        <w:spacing w:after="0" w:line="240" w:lineRule="auto"/>
        <w:rPr>
          <w:rFonts w:eastAsia="Aptos" w:cs="Franklin Gothic Book"/>
          <w:kern w:val="0"/>
          <w:sz w:val="26"/>
          <w:szCs w:val="26"/>
          <w14:ligatures w14:val="none"/>
        </w:rPr>
      </w:pPr>
      <w:r w:rsidRPr="007E4C66">
        <w:rPr>
          <w:rFonts w:eastAsia="Aptos" w:cs="Franklin Gothic Book"/>
          <w:kern w:val="0"/>
          <w:sz w:val="26"/>
          <w:szCs w:val="26"/>
          <w14:ligatures w14:val="none"/>
        </w:rPr>
        <w:t xml:space="preserve">For this analysis, “one non-itemized price” does not include </w:t>
      </w:r>
      <w:r w:rsidRPr="007E4C66">
        <w:rPr>
          <w:sz w:val="26"/>
          <w:szCs w:val="26"/>
        </w:rPr>
        <w:t xml:space="preserve">a price that is separately identified by product on binding sales </w:t>
      </w:r>
      <w:r w:rsidR="005E1770" w:rsidRPr="007E4C66">
        <w:rPr>
          <w:sz w:val="26"/>
          <w:szCs w:val="26"/>
        </w:rPr>
        <w:t xml:space="preserve">documentation </w:t>
      </w:r>
      <w:r w:rsidRPr="007E4C66">
        <w:rPr>
          <w:sz w:val="26"/>
          <w:szCs w:val="26"/>
        </w:rPr>
        <w:t>or other supporting sales-related documentation made available to the customer in paper or electronic form</w:t>
      </w:r>
      <w:r w:rsidR="005E1770" w:rsidRPr="007E4C66">
        <w:rPr>
          <w:sz w:val="26"/>
          <w:szCs w:val="26"/>
        </w:rPr>
        <w:t>,</w:t>
      </w:r>
      <w:r w:rsidRPr="007E4C66">
        <w:rPr>
          <w:sz w:val="26"/>
          <w:szCs w:val="26"/>
        </w:rPr>
        <w:t xml:space="preserve"> including, but not limited to, an invoice, bill of sale, receipt, contract, service agreement, lease agreement, periodic notice of rates and services, rate card, or price list.</w:t>
      </w:r>
    </w:p>
    <w:p w14:paraId="56915E56" w14:textId="77777777" w:rsidR="00F120DE" w:rsidRPr="007E4C66" w:rsidRDefault="00F120DE" w:rsidP="002B2E54">
      <w:pPr>
        <w:autoSpaceDE w:val="0"/>
        <w:autoSpaceDN w:val="0"/>
        <w:adjustRightInd w:val="0"/>
        <w:spacing w:after="0" w:line="240" w:lineRule="auto"/>
        <w:rPr>
          <w:rFonts w:eastAsia="Aptos" w:cs="Franklin Gothic Book"/>
          <w:kern w:val="24"/>
          <w:sz w:val="26"/>
          <w:szCs w:val="26"/>
          <w:u w:val="single"/>
          <w14:ligatures w14:val="none"/>
        </w:rPr>
      </w:pPr>
    </w:p>
    <w:p w14:paraId="4B3E3BB8" w14:textId="656D6224" w:rsidR="002B2E54" w:rsidRPr="007E4C66" w:rsidRDefault="00317E10" w:rsidP="002B2E54">
      <w:pPr>
        <w:autoSpaceDE w:val="0"/>
        <w:autoSpaceDN w:val="0"/>
        <w:adjustRightInd w:val="0"/>
        <w:spacing w:after="0" w:line="240" w:lineRule="auto"/>
        <w:rPr>
          <w:rFonts w:eastAsia="Aptos" w:cs="Franklin Gothic Book"/>
          <w:b/>
          <w:bCs/>
          <w:kern w:val="24"/>
          <w:sz w:val="26"/>
          <w:szCs w:val="26"/>
          <w:u w:val="single"/>
          <w14:ligatures w14:val="none"/>
        </w:rPr>
      </w:pPr>
      <w:r w:rsidRPr="007E4C66">
        <w:rPr>
          <w:rFonts w:eastAsia="Aptos" w:cs="Franklin Gothic Book"/>
          <w:b/>
          <w:bCs/>
          <w:kern w:val="24"/>
          <w:sz w:val="26"/>
          <w:szCs w:val="26"/>
          <w:u w:val="single"/>
          <w14:ligatures w14:val="none"/>
        </w:rPr>
        <w:t xml:space="preserve">Step </w:t>
      </w:r>
      <w:r w:rsidR="00BC3D4C" w:rsidRPr="007E4C66">
        <w:rPr>
          <w:rFonts w:eastAsia="Aptos" w:cs="Franklin Gothic Book"/>
          <w:b/>
          <w:bCs/>
          <w:kern w:val="24"/>
          <w:sz w:val="26"/>
          <w:szCs w:val="26"/>
          <w:u w:val="single"/>
          <w14:ligatures w14:val="none"/>
        </w:rPr>
        <w:t>3</w:t>
      </w:r>
      <w:r w:rsidRPr="007E4C66">
        <w:rPr>
          <w:rFonts w:eastAsia="Aptos" w:cs="Franklin Gothic Book"/>
          <w:b/>
          <w:bCs/>
          <w:kern w:val="24"/>
          <w:sz w:val="26"/>
          <w:szCs w:val="26"/>
          <w:u w:val="single"/>
          <w14:ligatures w14:val="none"/>
        </w:rPr>
        <w:t xml:space="preserve">: </w:t>
      </w:r>
      <w:r w:rsidR="00087B0A" w:rsidRPr="007E4C66">
        <w:rPr>
          <w:rFonts w:eastAsia="Aptos" w:cs="Franklin Gothic Book"/>
          <w:b/>
          <w:bCs/>
          <w:kern w:val="24"/>
          <w:sz w:val="26"/>
          <w:szCs w:val="26"/>
          <w:u w:val="single"/>
          <w14:ligatures w14:val="none"/>
        </w:rPr>
        <w:t xml:space="preserve">Identify </w:t>
      </w:r>
      <w:r w:rsidR="00682966" w:rsidRPr="007E4C66">
        <w:rPr>
          <w:rFonts w:eastAsia="Aptos" w:cs="Franklin Gothic Book"/>
          <w:b/>
          <w:bCs/>
          <w:kern w:val="24"/>
          <w:sz w:val="26"/>
          <w:szCs w:val="26"/>
          <w:u w:val="single"/>
          <w14:ligatures w14:val="none"/>
        </w:rPr>
        <w:t xml:space="preserve">applicable </w:t>
      </w:r>
      <w:r w:rsidRPr="007E4C66">
        <w:rPr>
          <w:rFonts w:eastAsia="Aptos" w:cs="Franklin Gothic Book"/>
          <w:b/>
          <w:bCs/>
          <w:kern w:val="24"/>
          <w:sz w:val="26"/>
          <w:szCs w:val="26"/>
          <w:u w:val="single"/>
          <w14:ligatures w14:val="none"/>
        </w:rPr>
        <w:t>exclusion</w:t>
      </w:r>
      <w:r w:rsidR="00682966" w:rsidRPr="007E4C66">
        <w:rPr>
          <w:rFonts w:eastAsia="Aptos" w:cs="Franklin Gothic Book"/>
          <w:b/>
          <w:bCs/>
          <w:kern w:val="24"/>
          <w:sz w:val="26"/>
          <w:szCs w:val="26"/>
          <w:u w:val="single"/>
          <w14:ligatures w14:val="none"/>
        </w:rPr>
        <w:t>s</w:t>
      </w:r>
    </w:p>
    <w:p w14:paraId="4B3E3BB9" w14:textId="77777777" w:rsidR="004D4151" w:rsidRPr="007E4C66" w:rsidRDefault="004D4151" w:rsidP="002B2E54">
      <w:pPr>
        <w:autoSpaceDE w:val="0"/>
        <w:autoSpaceDN w:val="0"/>
        <w:adjustRightInd w:val="0"/>
        <w:spacing w:after="0" w:line="240" w:lineRule="auto"/>
        <w:rPr>
          <w:rFonts w:eastAsia="Aptos" w:cs="Franklin Gothic Book"/>
          <w:kern w:val="24"/>
          <w:sz w:val="26"/>
          <w:szCs w:val="26"/>
          <w14:ligatures w14:val="none"/>
        </w:rPr>
      </w:pPr>
    </w:p>
    <w:p w14:paraId="4B3E3BBD" w14:textId="73281C3E" w:rsidR="00BE5377" w:rsidRPr="007E4C66" w:rsidRDefault="00BF4C5E" w:rsidP="001D7A73">
      <w:pPr>
        <w:autoSpaceDE w:val="0"/>
        <w:autoSpaceDN w:val="0"/>
        <w:adjustRightInd w:val="0"/>
        <w:spacing w:after="0" w:line="276" w:lineRule="auto"/>
        <w:rPr>
          <w:rFonts w:eastAsia="Aptos" w:cs="Franklin Gothic Book"/>
          <w:kern w:val="24"/>
          <w:sz w:val="26"/>
          <w:szCs w:val="26"/>
          <w14:ligatures w14:val="none"/>
        </w:rPr>
      </w:pPr>
      <w:r w:rsidRPr="007E4C66">
        <w:rPr>
          <w:rFonts w:eastAsia="Aptos" w:cs="Franklin Gothic Book"/>
          <w:kern w:val="24"/>
          <w:sz w:val="26"/>
          <w:szCs w:val="26"/>
          <w14:ligatures w14:val="none"/>
        </w:rPr>
        <w:t>Exclusions</w:t>
      </w:r>
      <w:r w:rsidR="00613C3D" w:rsidRPr="007E4C66">
        <w:rPr>
          <w:rFonts w:eastAsia="Aptos" w:cs="Franklin Gothic Book"/>
          <w:kern w:val="24"/>
          <w:sz w:val="26"/>
          <w:szCs w:val="26"/>
          <w14:ligatures w14:val="none"/>
        </w:rPr>
        <w:t xml:space="preserve"> </w:t>
      </w:r>
      <w:r w:rsidR="00525047" w:rsidRPr="007E4C66">
        <w:rPr>
          <w:rFonts w:eastAsia="Aptos" w:cs="Franklin Gothic Book"/>
          <w:kern w:val="24"/>
          <w:sz w:val="26"/>
          <w:szCs w:val="26"/>
          <w14:ligatures w14:val="none"/>
        </w:rPr>
        <w:t>allow polic</w:t>
      </w:r>
      <w:r w:rsidR="00377D1C" w:rsidRPr="007E4C66">
        <w:rPr>
          <w:rFonts w:eastAsia="Aptos" w:cs="Franklin Gothic Book"/>
          <w:kern w:val="24"/>
          <w:sz w:val="26"/>
          <w:szCs w:val="26"/>
          <w14:ligatures w14:val="none"/>
        </w:rPr>
        <w:t>y</w:t>
      </w:r>
      <w:r w:rsidR="00525047" w:rsidRPr="007E4C66">
        <w:rPr>
          <w:rFonts w:eastAsia="Aptos" w:cs="Franklin Gothic Book"/>
          <w:kern w:val="24"/>
          <w:sz w:val="26"/>
          <w:szCs w:val="26"/>
          <w14:ligatures w14:val="none"/>
        </w:rPr>
        <w:t>maker</w:t>
      </w:r>
      <w:r w:rsidR="00A905C1" w:rsidRPr="007E4C66">
        <w:rPr>
          <w:rFonts w:eastAsia="Aptos" w:cs="Franklin Gothic Book"/>
          <w:kern w:val="24"/>
          <w:sz w:val="26"/>
          <w:szCs w:val="26"/>
          <w14:ligatures w14:val="none"/>
        </w:rPr>
        <w:t>s</w:t>
      </w:r>
      <w:r w:rsidR="00BE5377" w:rsidRPr="007E4C66">
        <w:rPr>
          <w:rFonts w:eastAsia="Aptos" w:cs="Franklin Gothic Book"/>
          <w:kern w:val="24"/>
          <w:sz w:val="26"/>
          <w:szCs w:val="26"/>
          <w14:ligatures w14:val="none"/>
        </w:rPr>
        <w:t xml:space="preserve"> the</w:t>
      </w:r>
      <w:r w:rsidR="00215F69" w:rsidRPr="007E4C66">
        <w:rPr>
          <w:rFonts w:eastAsia="Aptos" w:cs="Franklin Gothic Book"/>
          <w:kern w:val="24"/>
          <w:sz w:val="26"/>
          <w:szCs w:val="26"/>
          <w14:ligatures w14:val="none"/>
        </w:rPr>
        <w:t xml:space="preserve"> flexibility to</w:t>
      </w:r>
      <w:r w:rsidR="00525047" w:rsidRPr="007E4C66">
        <w:rPr>
          <w:rFonts w:eastAsia="Aptos" w:cs="Franklin Gothic Book"/>
          <w:kern w:val="24"/>
          <w:sz w:val="26"/>
          <w:szCs w:val="26"/>
          <w14:ligatures w14:val="none"/>
        </w:rPr>
        <w:t xml:space="preserve"> </w:t>
      </w:r>
      <w:r w:rsidR="00377D1C" w:rsidRPr="007E4C66">
        <w:rPr>
          <w:rFonts w:eastAsia="Aptos" w:cs="Franklin Gothic Book"/>
          <w:kern w:val="24"/>
          <w:sz w:val="26"/>
          <w:szCs w:val="26"/>
          <w14:ligatures w14:val="none"/>
        </w:rPr>
        <w:t>apply different</w:t>
      </w:r>
      <w:r w:rsidR="00BE5377" w:rsidRPr="007E4C66">
        <w:rPr>
          <w:rFonts w:eastAsia="Aptos" w:cs="Franklin Gothic Book"/>
          <w:kern w:val="24"/>
          <w:sz w:val="26"/>
          <w:szCs w:val="26"/>
          <w14:ligatures w14:val="none"/>
        </w:rPr>
        <w:t xml:space="preserve"> taxability rule</w:t>
      </w:r>
      <w:r w:rsidR="00613C3D" w:rsidRPr="007E4C66">
        <w:rPr>
          <w:rFonts w:eastAsia="Aptos" w:cs="Franklin Gothic Book"/>
          <w:kern w:val="24"/>
          <w:sz w:val="26"/>
          <w:szCs w:val="26"/>
          <w14:ligatures w14:val="none"/>
        </w:rPr>
        <w:t>s</w:t>
      </w:r>
      <w:r w:rsidR="006A2D97" w:rsidRPr="007E4C66">
        <w:rPr>
          <w:rFonts w:eastAsia="Aptos" w:cs="Franklin Gothic Book"/>
          <w:kern w:val="24"/>
          <w:sz w:val="26"/>
          <w:szCs w:val="26"/>
          <w14:ligatures w14:val="none"/>
        </w:rPr>
        <w:t>.</w:t>
      </w:r>
      <w:r w:rsidRPr="007E4C66">
        <w:rPr>
          <w:rFonts w:eastAsia="Aptos" w:cs="Franklin Gothic Book"/>
          <w:kern w:val="24"/>
          <w:sz w:val="26"/>
          <w:szCs w:val="26"/>
          <w14:ligatures w14:val="none"/>
        </w:rPr>
        <w:t xml:space="preserve"> Potential exclusions include transactions where the true object of the transaction is not taxable, the taxable product is de minimis, or the transaction contains products from a specified industry and the other taxable products in the transaction are equal to or below the threshold percentage of the purchase price.</w:t>
      </w:r>
    </w:p>
    <w:p w14:paraId="4B3E3BC2" w14:textId="77777777" w:rsidR="002B2E54" w:rsidRPr="007E4C66" w:rsidRDefault="002B2E54" w:rsidP="002B2E54">
      <w:pPr>
        <w:autoSpaceDE w:val="0"/>
        <w:autoSpaceDN w:val="0"/>
        <w:adjustRightInd w:val="0"/>
        <w:spacing w:after="0" w:line="240" w:lineRule="auto"/>
        <w:ind w:left="1956"/>
        <w:rPr>
          <w:rFonts w:eastAsia="Aptos" w:cs="Franklin Gothic Book"/>
          <w:kern w:val="0"/>
          <w:sz w:val="26"/>
          <w:szCs w:val="26"/>
          <w:highlight w:val="white"/>
          <w14:ligatures w14:val="none"/>
        </w:rPr>
      </w:pPr>
    </w:p>
    <w:p w14:paraId="4B3E3BC5" w14:textId="0F078E8B" w:rsidR="00E06494" w:rsidRPr="007E4C66" w:rsidRDefault="00317E10" w:rsidP="00BF4C5E">
      <w:pPr>
        <w:autoSpaceDE w:val="0"/>
        <w:autoSpaceDN w:val="0"/>
        <w:adjustRightInd w:val="0"/>
        <w:spacing w:after="0" w:line="240" w:lineRule="auto"/>
        <w:rPr>
          <w:rFonts w:eastAsia="Aptos" w:cs="Franklin Gothic Book"/>
          <w:b/>
          <w:bCs/>
          <w:kern w:val="24"/>
          <w:sz w:val="26"/>
          <w:szCs w:val="26"/>
          <w:u w:val="single"/>
          <w14:ligatures w14:val="none"/>
        </w:rPr>
      </w:pPr>
      <w:r w:rsidRPr="007E4C66">
        <w:rPr>
          <w:rFonts w:eastAsia="Aptos" w:cs="Franklin Gothic Book"/>
          <w:b/>
          <w:bCs/>
          <w:kern w:val="24"/>
          <w:sz w:val="26"/>
          <w:szCs w:val="26"/>
          <w:highlight w:val="white"/>
          <w:u w:val="single"/>
          <w14:ligatures w14:val="none"/>
        </w:rPr>
        <w:t xml:space="preserve">Step </w:t>
      </w:r>
      <w:r w:rsidR="00BC3D4C" w:rsidRPr="007E4C66">
        <w:rPr>
          <w:rFonts w:eastAsia="Aptos" w:cs="Franklin Gothic Book"/>
          <w:b/>
          <w:bCs/>
          <w:kern w:val="24"/>
          <w:sz w:val="26"/>
          <w:szCs w:val="26"/>
          <w:highlight w:val="white"/>
          <w:u w:val="single"/>
          <w14:ligatures w14:val="none"/>
        </w:rPr>
        <w:t>4</w:t>
      </w:r>
      <w:r w:rsidRPr="007E4C66">
        <w:rPr>
          <w:rFonts w:eastAsia="Aptos" w:cs="Franklin Gothic Book"/>
          <w:b/>
          <w:bCs/>
          <w:kern w:val="24"/>
          <w:sz w:val="26"/>
          <w:szCs w:val="26"/>
          <w:highlight w:val="white"/>
          <w:u w:val="single"/>
          <w14:ligatures w14:val="none"/>
        </w:rPr>
        <w:t xml:space="preserve">: </w:t>
      </w:r>
      <w:r w:rsidR="00BF4C5E" w:rsidRPr="007E4C66">
        <w:rPr>
          <w:rFonts w:eastAsia="Aptos" w:cs="Franklin Gothic Book"/>
          <w:b/>
          <w:bCs/>
          <w:kern w:val="24"/>
          <w:sz w:val="26"/>
          <w:szCs w:val="26"/>
          <w:highlight w:val="white"/>
          <w:u w:val="single"/>
          <w14:ligatures w14:val="none"/>
        </w:rPr>
        <w:t>A</w:t>
      </w:r>
      <w:r w:rsidRPr="007E4C66">
        <w:rPr>
          <w:rFonts w:eastAsia="Aptos" w:cs="Franklin Gothic Book"/>
          <w:b/>
          <w:bCs/>
          <w:kern w:val="24"/>
          <w:sz w:val="26"/>
          <w:szCs w:val="26"/>
          <w:highlight w:val="white"/>
          <w:u w:val="single"/>
          <w14:ligatures w14:val="none"/>
        </w:rPr>
        <w:t>pply applicable post-transaction unbundling rules</w:t>
      </w:r>
      <w:r w:rsidR="00BF4C5E" w:rsidRPr="007E4C66">
        <w:rPr>
          <w:rFonts w:eastAsia="Aptos" w:cs="Franklin Gothic Book"/>
          <w:b/>
          <w:bCs/>
          <w:kern w:val="24"/>
          <w:sz w:val="26"/>
          <w:szCs w:val="26"/>
          <w:u w:val="single"/>
          <w14:ligatures w14:val="none"/>
        </w:rPr>
        <w:t>.</w:t>
      </w:r>
    </w:p>
    <w:p w14:paraId="5BAE5156" w14:textId="77777777" w:rsidR="00BF4C5E" w:rsidRPr="007E4C66" w:rsidRDefault="00BF4C5E" w:rsidP="00BF4C5E">
      <w:pPr>
        <w:autoSpaceDE w:val="0"/>
        <w:autoSpaceDN w:val="0"/>
        <w:adjustRightInd w:val="0"/>
        <w:spacing w:after="0" w:line="240" w:lineRule="auto"/>
        <w:rPr>
          <w:rFonts w:eastAsia="Aptos" w:cs="Franklin Gothic Book"/>
          <w:b/>
          <w:bCs/>
          <w:kern w:val="24"/>
          <w:sz w:val="26"/>
          <w:szCs w:val="26"/>
          <w:u w:val="single"/>
          <w14:ligatures w14:val="none"/>
        </w:rPr>
      </w:pPr>
    </w:p>
    <w:p w14:paraId="6E666379" w14:textId="7DBFB7A5" w:rsidR="008E15C8" w:rsidRPr="007E4C66" w:rsidRDefault="00BF4C5E" w:rsidP="00BF4C5E">
      <w:pPr>
        <w:autoSpaceDE w:val="0"/>
        <w:autoSpaceDN w:val="0"/>
        <w:adjustRightInd w:val="0"/>
        <w:spacing w:after="0" w:line="276" w:lineRule="auto"/>
        <w:rPr>
          <w:rFonts w:eastAsia="Aptos" w:cs="Franklin Gothic Book"/>
          <w:kern w:val="0"/>
          <w:sz w:val="26"/>
          <w:szCs w:val="26"/>
          <w:highlight w:val="white"/>
          <w14:ligatures w14:val="none"/>
        </w:rPr>
      </w:pPr>
      <w:r w:rsidRPr="007E4C66">
        <w:rPr>
          <w:rFonts w:eastAsia="Aptos" w:cs="Franklin Gothic Book"/>
          <w:kern w:val="0"/>
          <w:sz w:val="26"/>
          <w:szCs w:val="26"/>
          <w:highlight w:val="white"/>
          <w14:ligatures w14:val="none"/>
        </w:rPr>
        <w:t>Allow unbundling of certain transactions</w:t>
      </w:r>
      <w:r w:rsidR="00BC3D4C" w:rsidRPr="007E4C66">
        <w:rPr>
          <w:rFonts w:eastAsia="Aptos" w:cs="Franklin Gothic Book"/>
          <w:kern w:val="0"/>
          <w:sz w:val="26"/>
          <w:szCs w:val="26"/>
          <w:highlight w:val="white"/>
          <w14:ligatures w14:val="none"/>
        </w:rPr>
        <w:t>, either under</w:t>
      </w:r>
      <w:r w:rsidR="008E15C8" w:rsidRPr="007E4C66">
        <w:rPr>
          <w:rFonts w:eastAsia="Aptos" w:cs="Franklin Gothic Book"/>
          <w:kern w:val="0"/>
          <w:sz w:val="26"/>
          <w:szCs w:val="26"/>
          <w:highlight w:val="white"/>
          <w14:ligatures w14:val="none"/>
        </w:rPr>
        <w:t xml:space="preserve"> federal law, such as the Mobile Telecommunications Sourcing Act</w:t>
      </w:r>
      <w:r w:rsidR="00BA5419" w:rsidRPr="007E4C66">
        <w:rPr>
          <w:rFonts w:eastAsia="Aptos" w:cs="Franklin Gothic Book"/>
          <w:kern w:val="0"/>
          <w:sz w:val="26"/>
          <w:szCs w:val="26"/>
          <w:highlight w:val="white"/>
          <w14:ligatures w14:val="none"/>
        </w:rPr>
        <w:t xml:space="preserve"> and Internet Tax Freedom Act</w:t>
      </w:r>
      <w:r w:rsidR="00BC3D4C" w:rsidRPr="007E4C66">
        <w:rPr>
          <w:rFonts w:eastAsia="Aptos" w:cs="Franklin Gothic Book"/>
          <w:kern w:val="0"/>
          <w:sz w:val="26"/>
          <w:szCs w:val="26"/>
          <w:highlight w:val="white"/>
          <w14:ligatures w14:val="none"/>
        </w:rPr>
        <w:t>, or under state law.</w:t>
      </w:r>
    </w:p>
    <w:p w14:paraId="4B3E3BC6" w14:textId="46E4B11F" w:rsidR="00DE0294" w:rsidRDefault="00120ACA" w:rsidP="00355D29">
      <w:pPr>
        <w:pStyle w:val="Heading1"/>
      </w:pPr>
      <w:r>
        <w:t>7</w:t>
      </w:r>
      <w:r w:rsidR="00317E10">
        <w:t>. Appendices</w:t>
      </w:r>
    </w:p>
    <w:p w14:paraId="60E72FCA" w14:textId="54634EDD" w:rsidR="00D70AA1" w:rsidRDefault="006A6AA5" w:rsidP="006A6AA5">
      <w:pPr>
        <w:pStyle w:val="Heading2"/>
      </w:pPr>
      <w:r w:rsidRPr="006A6AA5">
        <w:rPr>
          <w:rStyle w:val="Heading2Char"/>
        </w:rPr>
        <w:t>A.</w:t>
      </w:r>
      <w:r>
        <w:t xml:space="preserve"> </w:t>
      </w:r>
      <w:r w:rsidRPr="009357D0">
        <w:t>Results of stakeholder discussions about bundling and digital products</w:t>
      </w:r>
      <w:r>
        <w:t>.</w:t>
      </w:r>
    </w:p>
    <w:p w14:paraId="5B7EF3AD" w14:textId="301E9852" w:rsidR="006A6AA5" w:rsidRPr="007E4C66" w:rsidRDefault="006A6AA5" w:rsidP="00DC54E8">
      <w:pPr>
        <w:rPr>
          <w:sz w:val="26"/>
          <w:szCs w:val="26"/>
        </w:rPr>
      </w:pPr>
      <w:r w:rsidRPr="007E4C66">
        <w:rPr>
          <w:sz w:val="26"/>
          <w:szCs w:val="26"/>
        </w:rPr>
        <w:t>At the July 30, 2024 MTC Uniformity Committee meeting in Denver, Colorado, the digital products work group chair, vice-chair, and staff reported on stakeholder calls conducted with taxpayers, their representatives, and other non-state representatives to solicit input on their experiences and information about bundling and digital products.</w:t>
      </w:r>
      <w:r w:rsidRPr="007E4C66">
        <w:rPr>
          <w:rStyle w:val="FootnoteReference"/>
          <w:sz w:val="26"/>
          <w:szCs w:val="26"/>
        </w:rPr>
        <w:footnoteReference w:id="72"/>
      </w:r>
    </w:p>
    <w:p w14:paraId="2B9AC99F" w14:textId="77777777" w:rsidR="006A6AA5" w:rsidRDefault="006A6AA5" w:rsidP="006A6AA5">
      <w:pPr>
        <w:pStyle w:val="Heading3"/>
      </w:pPr>
      <w:proofErr w:type="spellStart"/>
      <w:r>
        <w:t>i</w:t>
      </w:r>
      <w:proofErr w:type="spellEnd"/>
      <w:r>
        <w:t>.</w:t>
      </w:r>
      <w:r>
        <w:tab/>
      </w:r>
      <w:r w:rsidRPr="00DC6AC3">
        <w:rPr>
          <w:u w:val="single"/>
        </w:rPr>
        <w:t xml:space="preserve">General </w:t>
      </w:r>
      <w:r>
        <w:rPr>
          <w:u w:val="single"/>
        </w:rPr>
        <w:t>o</w:t>
      </w:r>
      <w:r w:rsidRPr="00DC6AC3">
        <w:rPr>
          <w:u w:val="single"/>
        </w:rPr>
        <w:t>bservations</w:t>
      </w:r>
    </w:p>
    <w:p w14:paraId="6C3590E1" w14:textId="01CFCB62" w:rsidR="006A6AA5" w:rsidRPr="007E4C66" w:rsidRDefault="006A6AA5" w:rsidP="006A6AA5">
      <w:pPr>
        <w:rPr>
          <w:sz w:val="26"/>
          <w:szCs w:val="26"/>
        </w:rPr>
      </w:pPr>
      <w:r w:rsidRPr="007E4C66">
        <w:rPr>
          <w:sz w:val="26"/>
          <w:szCs w:val="26"/>
        </w:rPr>
        <w:t xml:space="preserve">Many stakeholders explained that confusion exists when working with bundling issues across the states, regardless </w:t>
      </w:r>
      <w:r w:rsidR="005A0995" w:rsidRPr="007E4C66">
        <w:rPr>
          <w:sz w:val="26"/>
          <w:szCs w:val="26"/>
        </w:rPr>
        <w:t>o</w:t>
      </w:r>
      <w:r w:rsidRPr="007E4C66">
        <w:rPr>
          <w:sz w:val="26"/>
          <w:szCs w:val="26"/>
        </w:rPr>
        <w:t xml:space="preserve">f </w:t>
      </w:r>
      <w:r w:rsidR="005A0995" w:rsidRPr="007E4C66">
        <w:rPr>
          <w:sz w:val="26"/>
          <w:szCs w:val="26"/>
        </w:rPr>
        <w:t xml:space="preserve">whether </w:t>
      </w:r>
      <w:r w:rsidRPr="007E4C66">
        <w:rPr>
          <w:sz w:val="26"/>
          <w:szCs w:val="26"/>
        </w:rPr>
        <w:t xml:space="preserve">the transaction includes digital products. </w:t>
      </w:r>
      <w:r w:rsidR="005A0995" w:rsidRPr="007E4C66">
        <w:rPr>
          <w:sz w:val="26"/>
          <w:szCs w:val="26"/>
        </w:rPr>
        <w:t xml:space="preserve">Stakeholders cited </w:t>
      </w:r>
      <w:r w:rsidR="005A0995" w:rsidRPr="007E4C66">
        <w:rPr>
          <w:sz w:val="26"/>
          <w:szCs w:val="26"/>
        </w:rPr>
        <w:lastRenderedPageBreak/>
        <w:t>confusion</w:t>
      </w:r>
      <w:r w:rsidRPr="007E4C66">
        <w:rPr>
          <w:sz w:val="26"/>
          <w:szCs w:val="26"/>
        </w:rPr>
        <w:t xml:space="preserve"> </w:t>
      </w:r>
      <w:r w:rsidR="005A0995" w:rsidRPr="007E4C66">
        <w:rPr>
          <w:sz w:val="26"/>
          <w:szCs w:val="26"/>
        </w:rPr>
        <w:t>over</w:t>
      </w:r>
      <w:r w:rsidRPr="007E4C66">
        <w:rPr>
          <w:sz w:val="26"/>
          <w:szCs w:val="26"/>
        </w:rPr>
        <w:t xml:space="preserve"> </w:t>
      </w:r>
      <w:r w:rsidR="005A0995" w:rsidRPr="007E4C66">
        <w:rPr>
          <w:sz w:val="26"/>
          <w:szCs w:val="26"/>
        </w:rPr>
        <w:t>identifying</w:t>
      </w:r>
      <w:r w:rsidRPr="007E4C66">
        <w:rPr>
          <w:sz w:val="26"/>
          <w:szCs w:val="26"/>
        </w:rPr>
        <w:t xml:space="preserve"> a bundle versus a single product with multiple attributes and </w:t>
      </w:r>
      <w:r w:rsidR="005A0995" w:rsidRPr="007E4C66">
        <w:rPr>
          <w:sz w:val="26"/>
          <w:szCs w:val="26"/>
        </w:rPr>
        <w:t>identifying</w:t>
      </w:r>
      <w:r w:rsidRPr="007E4C66">
        <w:rPr>
          <w:sz w:val="26"/>
          <w:szCs w:val="26"/>
        </w:rPr>
        <w:t xml:space="preserve"> when </w:t>
      </w:r>
      <w:r w:rsidR="005A0995" w:rsidRPr="007E4C66">
        <w:rPr>
          <w:sz w:val="26"/>
          <w:szCs w:val="26"/>
        </w:rPr>
        <w:t xml:space="preserve">to apply </w:t>
      </w:r>
      <w:r w:rsidRPr="007E4C66">
        <w:rPr>
          <w:sz w:val="26"/>
          <w:szCs w:val="26"/>
        </w:rPr>
        <w:t xml:space="preserve">the true object test. </w:t>
      </w:r>
    </w:p>
    <w:p w14:paraId="5E0409D0" w14:textId="2C970549" w:rsidR="006A6AA5" w:rsidRPr="007E4C66" w:rsidRDefault="006A6AA5" w:rsidP="006A6AA5">
      <w:pPr>
        <w:rPr>
          <w:sz w:val="26"/>
          <w:szCs w:val="26"/>
        </w:rPr>
      </w:pPr>
      <w:r w:rsidRPr="007E4C66">
        <w:rPr>
          <w:sz w:val="26"/>
          <w:szCs w:val="26"/>
        </w:rPr>
        <w:t xml:space="preserve">Some stakeholders, but not all, </w:t>
      </w:r>
      <w:r w:rsidR="005A0995" w:rsidRPr="007E4C66">
        <w:rPr>
          <w:sz w:val="26"/>
          <w:szCs w:val="26"/>
        </w:rPr>
        <w:t>said</w:t>
      </w:r>
      <w:r w:rsidRPr="007E4C66">
        <w:rPr>
          <w:sz w:val="26"/>
          <w:szCs w:val="26"/>
        </w:rPr>
        <w:t xml:space="preserve"> bundling with digital products is more difficult than with </w:t>
      </w:r>
      <w:r w:rsidR="005A0995" w:rsidRPr="007E4C66">
        <w:rPr>
          <w:sz w:val="26"/>
          <w:szCs w:val="26"/>
        </w:rPr>
        <w:t>traditional</w:t>
      </w:r>
      <w:r w:rsidRPr="007E4C66">
        <w:rPr>
          <w:sz w:val="26"/>
          <w:szCs w:val="26"/>
        </w:rPr>
        <w:t xml:space="preserve"> products. That said, </w:t>
      </w:r>
      <w:r w:rsidR="005A0995" w:rsidRPr="007E4C66">
        <w:rPr>
          <w:sz w:val="26"/>
          <w:szCs w:val="26"/>
        </w:rPr>
        <w:t>stakeholder</w:t>
      </w:r>
      <w:r w:rsidR="007819BA" w:rsidRPr="007E4C66">
        <w:rPr>
          <w:sz w:val="26"/>
          <w:szCs w:val="26"/>
        </w:rPr>
        <w:t>s</w:t>
      </w:r>
      <w:r w:rsidR="005A0995" w:rsidRPr="007E4C66">
        <w:rPr>
          <w:sz w:val="26"/>
          <w:szCs w:val="26"/>
        </w:rPr>
        <w:t xml:space="preserve"> stated that </w:t>
      </w:r>
      <w:r w:rsidRPr="007E4C66">
        <w:rPr>
          <w:sz w:val="26"/>
          <w:szCs w:val="26"/>
        </w:rPr>
        <w:t>businesses like bundles</w:t>
      </w:r>
      <w:r w:rsidR="005A0995" w:rsidRPr="007E4C66">
        <w:rPr>
          <w:sz w:val="26"/>
          <w:szCs w:val="26"/>
        </w:rPr>
        <w:t xml:space="preserve"> as they increase</w:t>
      </w:r>
      <w:r w:rsidRPr="007E4C66">
        <w:rPr>
          <w:sz w:val="26"/>
          <w:szCs w:val="26"/>
        </w:rPr>
        <w:t xml:space="preserve"> perceived value to purchasers. Bundles </w:t>
      </w:r>
      <w:r w:rsidR="005A0995" w:rsidRPr="007E4C66">
        <w:rPr>
          <w:sz w:val="26"/>
          <w:szCs w:val="26"/>
        </w:rPr>
        <w:t>are considered</w:t>
      </w:r>
      <w:r w:rsidRPr="007E4C66">
        <w:rPr>
          <w:sz w:val="26"/>
          <w:szCs w:val="26"/>
        </w:rPr>
        <w:t xml:space="preserve"> necessary to stay competitive</w:t>
      </w:r>
      <w:r w:rsidR="005A0995" w:rsidRPr="007E4C66">
        <w:rPr>
          <w:sz w:val="26"/>
          <w:szCs w:val="26"/>
        </w:rPr>
        <w:t xml:space="preserve"> in certain industries</w:t>
      </w:r>
      <w:r w:rsidRPr="007E4C66">
        <w:rPr>
          <w:sz w:val="26"/>
          <w:szCs w:val="26"/>
        </w:rPr>
        <w:t xml:space="preserve">, such as the telecommunications industry. </w:t>
      </w:r>
      <w:r w:rsidR="005A0995" w:rsidRPr="007E4C66">
        <w:rPr>
          <w:sz w:val="26"/>
          <w:szCs w:val="26"/>
        </w:rPr>
        <w:t>Stakeholders stated that m</w:t>
      </w:r>
      <w:r w:rsidRPr="007E4C66">
        <w:rPr>
          <w:sz w:val="26"/>
          <w:szCs w:val="26"/>
        </w:rPr>
        <w:t xml:space="preserve">arketing staff, who are typically not responsible for taxability determinations, </w:t>
      </w:r>
      <w:r w:rsidR="005A0995" w:rsidRPr="007E4C66">
        <w:rPr>
          <w:sz w:val="26"/>
          <w:szCs w:val="26"/>
        </w:rPr>
        <w:t>often</w:t>
      </w:r>
      <w:r w:rsidRPr="007E4C66">
        <w:rPr>
          <w:sz w:val="26"/>
          <w:szCs w:val="26"/>
        </w:rPr>
        <w:t xml:space="preserve"> want to sell a bundled product for a single price, </w:t>
      </w:r>
      <w:r w:rsidR="005A0995" w:rsidRPr="007E4C66">
        <w:rPr>
          <w:sz w:val="26"/>
          <w:szCs w:val="26"/>
        </w:rPr>
        <w:t>inclusive of tax</w:t>
      </w:r>
      <w:r w:rsidRPr="007E4C66">
        <w:rPr>
          <w:sz w:val="26"/>
          <w:szCs w:val="26"/>
        </w:rPr>
        <w:t xml:space="preserve">, to offer a better overall cost than what their competitors offer. </w:t>
      </w:r>
    </w:p>
    <w:p w14:paraId="5BF956FD" w14:textId="67093039" w:rsidR="006A6AA5" w:rsidRPr="007E4C66" w:rsidRDefault="005A0995" w:rsidP="006A6AA5">
      <w:pPr>
        <w:rPr>
          <w:sz w:val="26"/>
          <w:szCs w:val="26"/>
        </w:rPr>
      </w:pPr>
      <w:r w:rsidRPr="007E4C66">
        <w:rPr>
          <w:sz w:val="26"/>
          <w:szCs w:val="26"/>
        </w:rPr>
        <w:t>Stakeholders shared that d</w:t>
      </w:r>
      <w:r w:rsidR="006A6AA5" w:rsidRPr="007E4C66">
        <w:rPr>
          <w:sz w:val="26"/>
          <w:szCs w:val="26"/>
        </w:rPr>
        <w:t xml:space="preserve">igital apps frequently have various components or attributes which create confusion as to whether the item sold is a bundle. More than one stakeholder noted that all digital services have some component of software, and since software in many states is considered </w:t>
      </w:r>
      <w:r w:rsidR="00253AF6" w:rsidRPr="007E4C66">
        <w:rPr>
          <w:sz w:val="26"/>
          <w:szCs w:val="26"/>
        </w:rPr>
        <w:t>TPP</w:t>
      </w:r>
      <w:r w:rsidR="006A6AA5" w:rsidRPr="007E4C66">
        <w:rPr>
          <w:sz w:val="26"/>
          <w:szCs w:val="26"/>
        </w:rPr>
        <w:t>, that causes tax administrators to look closely at the product. It was also noted that any digital attribute can be removed from a digital product, so digital products are not like tangible products.</w:t>
      </w:r>
    </w:p>
    <w:p w14:paraId="078B0D5E" w14:textId="4EB68D0B" w:rsidR="006A6AA5" w:rsidRPr="007E4C66" w:rsidRDefault="006A6AA5" w:rsidP="006A6AA5">
      <w:pPr>
        <w:rPr>
          <w:sz w:val="26"/>
          <w:szCs w:val="26"/>
        </w:rPr>
      </w:pPr>
      <w:r w:rsidRPr="007E4C66">
        <w:rPr>
          <w:sz w:val="26"/>
          <w:szCs w:val="26"/>
        </w:rPr>
        <w:t>Stakeholders mentioned the Internet Tax Freedom Act (ITFA)</w:t>
      </w:r>
      <w:r w:rsidRPr="007E4C66">
        <w:rPr>
          <w:rStyle w:val="FootnoteReference"/>
          <w:sz w:val="26"/>
          <w:szCs w:val="26"/>
        </w:rPr>
        <w:footnoteReference w:id="73"/>
      </w:r>
      <w:r w:rsidRPr="007E4C66">
        <w:rPr>
          <w:sz w:val="26"/>
          <w:szCs w:val="26"/>
        </w:rPr>
        <w:t xml:space="preserve"> </w:t>
      </w:r>
      <w:r w:rsidR="006F7F5B" w:rsidRPr="007E4C66">
        <w:rPr>
          <w:sz w:val="26"/>
          <w:szCs w:val="26"/>
        </w:rPr>
        <w:t xml:space="preserve">accounting rule and accompanying </w:t>
      </w:r>
      <w:r w:rsidRPr="007E4C66">
        <w:rPr>
          <w:sz w:val="26"/>
          <w:szCs w:val="26"/>
        </w:rPr>
        <w:t>definitions</w:t>
      </w:r>
      <w:r w:rsidR="006F7F5B" w:rsidRPr="007E4C66">
        <w:rPr>
          <w:sz w:val="26"/>
          <w:szCs w:val="26"/>
        </w:rPr>
        <w:t xml:space="preserve"> and hinted </w:t>
      </w:r>
      <w:r w:rsidRPr="007E4C66">
        <w:rPr>
          <w:sz w:val="26"/>
          <w:szCs w:val="26"/>
        </w:rPr>
        <w:t>that taxpayers and states are not as aware of the ITFA accounting rule as tax practitioners are.</w:t>
      </w:r>
    </w:p>
    <w:p w14:paraId="7C8C805F" w14:textId="6B044482" w:rsidR="006A6AA5" w:rsidRPr="007E4C66" w:rsidRDefault="006F7F5B" w:rsidP="006A6AA5">
      <w:pPr>
        <w:rPr>
          <w:sz w:val="26"/>
          <w:szCs w:val="26"/>
        </w:rPr>
      </w:pPr>
      <w:r w:rsidRPr="007E4C66">
        <w:rPr>
          <w:sz w:val="26"/>
          <w:szCs w:val="26"/>
        </w:rPr>
        <w:t>Stakeholders mentioned that s</w:t>
      </w:r>
      <w:r w:rsidR="006A6AA5" w:rsidRPr="007E4C66">
        <w:rPr>
          <w:sz w:val="26"/>
          <w:szCs w:val="26"/>
        </w:rPr>
        <w:t xml:space="preserve">oftware maintenance services </w:t>
      </w:r>
      <w:r w:rsidRPr="007E4C66">
        <w:rPr>
          <w:sz w:val="26"/>
          <w:szCs w:val="26"/>
        </w:rPr>
        <w:t>are common portions of</w:t>
      </w:r>
      <w:r w:rsidR="006A6AA5" w:rsidRPr="007E4C66">
        <w:rPr>
          <w:sz w:val="26"/>
          <w:szCs w:val="26"/>
        </w:rPr>
        <w:t xml:space="preserve"> bundles</w:t>
      </w:r>
      <w:r w:rsidRPr="007E4C66">
        <w:rPr>
          <w:sz w:val="26"/>
          <w:szCs w:val="26"/>
        </w:rPr>
        <w:t xml:space="preserve"> involving digital products</w:t>
      </w:r>
      <w:r w:rsidR="006A6AA5" w:rsidRPr="007E4C66">
        <w:rPr>
          <w:sz w:val="26"/>
          <w:szCs w:val="26"/>
        </w:rPr>
        <w:t>.</w:t>
      </w:r>
    </w:p>
    <w:p w14:paraId="3525C9AD" w14:textId="6DBAF143" w:rsidR="006A6AA5" w:rsidRPr="007E4C66" w:rsidRDefault="006F7F5B" w:rsidP="006A6AA5">
      <w:pPr>
        <w:rPr>
          <w:sz w:val="26"/>
          <w:szCs w:val="26"/>
        </w:rPr>
      </w:pPr>
      <w:r w:rsidRPr="007E4C66">
        <w:rPr>
          <w:sz w:val="26"/>
          <w:szCs w:val="26"/>
        </w:rPr>
        <w:t>Some stakeholders provided that s</w:t>
      </w:r>
      <w:r w:rsidR="006A6AA5" w:rsidRPr="007E4C66">
        <w:rPr>
          <w:sz w:val="26"/>
          <w:szCs w:val="26"/>
        </w:rPr>
        <w:t xml:space="preserve">treaming products </w:t>
      </w:r>
      <w:r w:rsidRPr="007E4C66">
        <w:rPr>
          <w:sz w:val="26"/>
          <w:szCs w:val="26"/>
        </w:rPr>
        <w:t>often</w:t>
      </w:r>
      <w:r w:rsidR="006A6AA5" w:rsidRPr="007E4C66">
        <w:rPr>
          <w:sz w:val="26"/>
          <w:szCs w:val="26"/>
        </w:rPr>
        <w:t xml:space="preserve"> create disputes between taxpayers and tax agencies. </w:t>
      </w:r>
      <w:r w:rsidRPr="007E4C66">
        <w:rPr>
          <w:sz w:val="26"/>
          <w:szCs w:val="26"/>
        </w:rPr>
        <w:t>According to stakeholders, t</w:t>
      </w:r>
      <w:r w:rsidR="006A6AA5" w:rsidRPr="007E4C66">
        <w:rPr>
          <w:sz w:val="26"/>
          <w:szCs w:val="26"/>
        </w:rPr>
        <w:t xml:space="preserve">ax agency staff often ask about the percentages associated with different parts of a streaming product or may request the percentage of downloads versus streamed views to determine taxability. Some stakeholders said the ability to download an otherwise streaming digital product should not </w:t>
      </w:r>
      <w:r w:rsidRPr="007E4C66">
        <w:rPr>
          <w:sz w:val="26"/>
          <w:szCs w:val="26"/>
        </w:rPr>
        <w:t xml:space="preserve">cause the product to be treated as </w:t>
      </w:r>
      <w:r w:rsidR="006A6AA5" w:rsidRPr="007E4C66">
        <w:rPr>
          <w:sz w:val="26"/>
          <w:szCs w:val="26"/>
        </w:rPr>
        <w:t>downloaded software</w:t>
      </w:r>
      <w:r w:rsidRPr="007E4C66">
        <w:rPr>
          <w:sz w:val="26"/>
          <w:szCs w:val="26"/>
        </w:rPr>
        <w:t xml:space="preserve">, stating that </w:t>
      </w:r>
      <w:r w:rsidR="006A6AA5" w:rsidRPr="007E4C66">
        <w:rPr>
          <w:sz w:val="26"/>
          <w:szCs w:val="26"/>
        </w:rPr>
        <w:t>the true object is the streaming.</w:t>
      </w:r>
    </w:p>
    <w:p w14:paraId="05B6D3C8" w14:textId="77777777" w:rsidR="006A6AA5" w:rsidRDefault="006A6AA5" w:rsidP="006A6AA5">
      <w:pPr>
        <w:pStyle w:val="Heading3"/>
        <w:rPr>
          <w:u w:val="single"/>
        </w:rPr>
      </w:pPr>
      <w:r>
        <w:t xml:space="preserve">ii. </w:t>
      </w:r>
      <w:r>
        <w:tab/>
      </w:r>
      <w:r w:rsidRPr="00851CA7">
        <w:rPr>
          <w:u w:val="single"/>
        </w:rPr>
        <w:t>Coding compliance software</w:t>
      </w:r>
    </w:p>
    <w:p w14:paraId="51E762A4" w14:textId="38B5B205" w:rsidR="006A6AA5" w:rsidRPr="007E4C66" w:rsidRDefault="006A6AA5" w:rsidP="006A6AA5">
      <w:pPr>
        <w:rPr>
          <w:sz w:val="26"/>
          <w:szCs w:val="26"/>
        </w:rPr>
      </w:pPr>
      <w:r w:rsidRPr="007E4C66">
        <w:rPr>
          <w:sz w:val="26"/>
          <w:szCs w:val="26"/>
        </w:rPr>
        <w:t xml:space="preserve">Stakeholders </w:t>
      </w:r>
      <w:r w:rsidR="006F7F5B" w:rsidRPr="007E4C66">
        <w:rPr>
          <w:sz w:val="26"/>
          <w:szCs w:val="26"/>
        </w:rPr>
        <w:t>agreed</w:t>
      </w:r>
      <w:r w:rsidRPr="007E4C66">
        <w:rPr>
          <w:sz w:val="26"/>
          <w:szCs w:val="26"/>
        </w:rPr>
        <w:t xml:space="preserve"> that coding bundled products with the correct taxability determination is challenging for taxpayers </w:t>
      </w:r>
      <w:r w:rsidR="006F7F5B" w:rsidRPr="007E4C66">
        <w:rPr>
          <w:sz w:val="26"/>
          <w:szCs w:val="26"/>
        </w:rPr>
        <w:t xml:space="preserve">and </w:t>
      </w:r>
      <w:r w:rsidRPr="007E4C66">
        <w:rPr>
          <w:sz w:val="26"/>
          <w:szCs w:val="26"/>
        </w:rPr>
        <w:t xml:space="preserve">software vendors. One </w:t>
      </w:r>
      <w:r w:rsidR="006F7F5B" w:rsidRPr="007E4C66">
        <w:rPr>
          <w:sz w:val="26"/>
          <w:szCs w:val="26"/>
        </w:rPr>
        <w:t>stakeholder</w:t>
      </w:r>
      <w:r w:rsidRPr="007E4C66">
        <w:rPr>
          <w:sz w:val="26"/>
          <w:szCs w:val="26"/>
        </w:rPr>
        <w:t xml:space="preserve"> </w:t>
      </w:r>
      <w:r w:rsidR="006F7F5B" w:rsidRPr="007E4C66">
        <w:rPr>
          <w:sz w:val="26"/>
          <w:szCs w:val="26"/>
        </w:rPr>
        <w:t>shared that</w:t>
      </w:r>
      <w:r w:rsidRPr="007E4C66">
        <w:rPr>
          <w:sz w:val="26"/>
          <w:szCs w:val="26"/>
        </w:rPr>
        <w:t xml:space="preserve"> it had been working for years with its third-party software provider to customize </w:t>
      </w:r>
      <w:r w:rsidR="006F7F5B" w:rsidRPr="007E4C66">
        <w:rPr>
          <w:sz w:val="26"/>
          <w:szCs w:val="26"/>
        </w:rPr>
        <w:t xml:space="preserve">the software </w:t>
      </w:r>
      <w:r w:rsidRPr="007E4C66">
        <w:rPr>
          <w:sz w:val="26"/>
          <w:szCs w:val="26"/>
        </w:rPr>
        <w:t>to address the bundled products it sells</w:t>
      </w:r>
      <w:r w:rsidR="006F7F5B" w:rsidRPr="007E4C66">
        <w:rPr>
          <w:sz w:val="26"/>
          <w:szCs w:val="26"/>
        </w:rPr>
        <w:t xml:space="preserve">. The same stakeholder </w:t>
      </w:r>
      <w:r w:rsidRPr="007E4C66">
        <w:rPr>
          <w:sz w:val="26"/>
          <w:szCs w:val="26"/>
        </w:rPr>
        <w:t xml:space="preserve">stated that </w:t>
      </w:r>
      <w:r w:rsidR="006F7F5B" w:rsidRPr="007E4C66">
        <w:rPr>
          <w:sz w:val="26"/>
          <w:szCs w:val="26"/>
        </w:rPr>
        <w:t>according to the provider</w:t>
      </w:r>
      <w:r w:rsidRPr="007E4C66">
        <w:rPr>
          <w:sz w:val="26"/>
          <w:szCs w:val="26"/>
        </w:rPr>
        <w:t xml:space="preserve"> the platform had been </w:t>
      </w:r>
      <w:r w:rsidR="006F7F5B" w:rsidRPr="007E4C66">
        <w:rPr>
          <w:sz w:val="26"/>
          <w:szCs w:val="26"/>
        </w:rPr>
        <w:t>around</w:t>
      </w:r>
      <w:r w:rsidRPr="007E4C66">
        <w:rPr>
          <w:sz w:val="26"/>
          <w:szCs w:val="26"/>
        </w:rPr>
        <w:t xml:space="preserve"> for years and was still </w:t>
      </w:r>
      <w:r w:rsidR="006F7F5B" w:rsidRPr="007E4C66">
        <w:rPr>
          <w:sz w:val="26"/>
          <w:szCs w:val="26"/>
        </w:rPr>
        <w:t>un</w:t>
      </w:r>
      <w:r w:rsidRPr="007E4C66">
        <w:rPr>
          <w:sz w:val="26"/>
          <w:szCs w:val="26"/>
        </w:rPr>
        <w:t xml:space="preserve">able to offer standardized product and </w:t>
      </w:r>
      <w:r w:rsidRPr="007E4C66">
        <w:rPr>
          <w:sz w:val="26"/>
          <w:szCs w:val="26"/>
        </w:rPr>
        <w:lastRenderedPageBreak/>
        <w:t>taxability codes for bundled products because of the complexity and lack of uniformity across the states.</w:t>
      </w:r>
    </w:p>
    <w:p w14:paraId="34C01641" w14:textId="77777777" w:rsidR="006A6AA5" w:rsidRDefault="006A6AA5" w:rsidP="006A6AA5">
      <w:pPr>
        <w:pStyle w:val="Heading3"/>
      </w:pPr>
      <w:r>
        <w:t>iii.</w:t>
      </w:r>
      <w:r>
        <w:tab/>
      </w:r>
      <w:r w:rsidRPr="00903FA3">
        <w:rPr>
          <w:u w:val="single"/>
        </w:rPr>
        <w:t>Case-by-case determinations</w:t>
      </w:r>
    </w:p>
    <w:p w14:paraId="48228BF0" w14:textId="3D1E1B5F" w:rsidR="006A6AA5" w:rsidRPr="007E4C66" w:rsidRDefault="006A6AA5" w:rsidP="006A6AA5">
      <w:pPr>
        <w:rPr>
          <w:sz w:val="26"/>
          <w:szCs w:val="26"/>
        </w:rPr>
      </w:pPr>
      <w:r w:rsidRPr="007E4C66">
        <w:rPr>
          <w:sz w:val="26"/>
          <w:szCs w:val="26"/>
        </w:rPr>
        <w:t xml:space="preserve">Stakeholders reported negotiating with states to allow sellers and tax agencies to determine what taxability determination controls in specific situations. They also reported requesting letter rulings to address the taxability of bundled products when state guidance is not otherwise clear. Sometimes long-term negotiations </w:t>
      </w:r>
      <w:r w:rsidR="006F7F5B" w:rsidRPr="007E4C66">
        <w:rPr>
          <w:sz w:val="26"/>
          <w:szCs w:val="26"/>
        </w:rPr>
        <w:t>between states and taxpayers</w:t>
      </w:r>
      <w:r w:rsidRPr="007E4C66">
        <w:rPr>
          <w:sz w:val="26"/>
          <w:szCs w:val="26"/>
        </w:rPr>
        <w:t xml:space="preserve"> </w:t>
      </w:r>
      <w:r w:rsidR="006F7F5B" w:rsidRPr="007E4C66">
        <w:rPr>
          <w:sz w:val="26"/>
          <w:szCs w:val="26"/>
        </w:rPr>
        <w:t>are required for</w:t>
      </w:r>
      <w:r w:rsidRPr="007E4C66">
        <w:rPr>
          <w:sz w:val="26"/>
          <w:szCs w:val="26"/>
        </w:rPr>
        <w:t xml:space="preserve"> the tax agency to make a determination </w:t>
      </w:r>
      <w:r w:rsidR="006F7F5B" w:rsidRPr="007E4C66">
        <w:rPr>
          <w:sz w:val="26"/>
          <w:szCs w:val="26"/>
        </w:rPr>
        <w:t>on</w:t>
      </w:r>
      <w:r w:rsidRPr="007E4C66">
        <w:rPr>
          <w:sz w:val="26"/>
          <w:szCs w:val="26"/>
        </w:rPr>
        <w:t xml:space="preserve"> whether a product is a bundle.</w:t>
      </w:r>
    </w:p>
    <w:p w14:paraId="705F453C" w14:textId="77777777" w:rsidR="006A6AA5" w:rsidRPr="00E3265C" w:rsidRDefault="006A6AA5" w:rsidP="006A6AA5">
      <w:pPr>
        <w:pStyle w:val="Heading3"/>
        <w:rPr>
          <w:u w:val="single"/>
        </w:rPr>
      </w:pPr>
      <w:r>
        <w:t>iv</w:t>
      </w:r>
      <w:r w:rsidRPr="0098038F">
        <w:t xml:space="preserve">. </w:t>
      </w:r>
      <w:r>
        <w:tab/>
      </w:r>
      <w:r w:rsidRPr="00E3265C">
        <w:rPr>
          <w:u w:val="single"/>
        </w:rPr>
        <w:t>Invoices vs. contracts</w:t>
      </w:r>
    </w:p>
    <w:p w14:paraId="5AC5133C" w14:textId="11F000D7" w:rsidR="006A6AA5" w:rsidRPr="007E4C66" w:rsidRDefault="006A6AA5" w:rsidP="006A6AA5">
      <w:pPr>
        <w:rPr>
          <w:sz w:val="26"/>
          <w:szCs w:val="26"/>
        </w:rPr>
      </w:pPr>
      <w:r w:rsidRPr="007E4C66">
        <w:rPr>
          <w:sz w:val="26"/>
          <w:szCs w:val="26"/>
        </w:rPr>
        <w:t>Stakeholders noted that when analyzing facts relating to a bundled transaction, or to make a determination whether the item sold is a bundle, details may exist in a contract about what is being purchased and how the product works to help auditors and tax agency staff. A lack of such detail may result in the unwillingness of tax agency staff to allow unbundling through an accounting rule.</w:t>
      </w:r>
    </w:p>
    <w:p w14:paraId="6C436E2F" w14:textId="1C5F048A" w:rsidR="006A6AA5" w:rsidRDefault="006A6AA5" w:rsidP="006A6AA5">
      <w:pPr>
        <w:pStyle w:val="Heading3"/>
      </w:pPr>
      <w:r>
        <w:t xml:space="preserve">v. </w:t>
      </w:r>
      <w:r>
        <w:tab/>
        <w:t>Stakeholders Interviewed</w:t>
      </w:r>
    </w:p>
    <w:p w14:paraId="272CED83" w14:textId="77777777" w:rsidR="006A6AA5" w:rsidRPr="007E4C66" w:rsidRDefault="006A6AA5" w:rsidP="006A6AA5">
      <w:pPr>
        <w:ind w:firstLine="720"/>
        <w:rPr>
          <w:sz w:val="26"/>
          <w:szCs w:val="26"/>
        </w:rPr>
      </w:pPr>
      <w:r w:rsidRPr="007E4C66">
        <w:rPr>
          <w:sz w:val="26"/>
          <w:szCs w:val="26"/>
        </w:rPr>
        <w:t xml:space="preserve">Academics: </w:t>
      </w:r>
    </w:p>
    <w:p w14:paraId="4545740C" w14:textId="4BEEE751" w:rsidR="006A6AA5" w:rsidRPr="007E4C66" w:rsidRDefault="006A6AA5" w:rsidP="006A6AA5">
      <w:pPr>
        <w:rPr>
          <w:sz w:val="26"/>
          <w:szCs w:val="26"/>
        </w:rPr>
      </w:pPr>
      <w:r w:rsidRPr="007E4C66">
        <w:rPr>
          <w:sz w:val="26"/>
          <w:szCs w:val="26"/>
        </w:rPr>
        <w:t>Andrew Appleby, Stetson College of Law</w:t>
      </w:r>
    </w:p>
    <w:p w14:paraId="11C5916A" w14:textId="6911FAB0" w:rsidR="006A6AA5" w:rsidRPr="007E4C66" w:rsidRDefault="006A6AA5" w:rsidP="006A6AA5">
      <w:pPr>
        <w:rPr>
          <w:sz w:val="26"/>
          <w:szCs w:val="26"/>
        </w:rPr>
      </w:pPr>
      <w:r w:rsidRPr="007E4C66">
        <w:rPr>
          <w:sz w:val="26"/>
          <w:szCs w:val="26"/>
        </w:rPr>
        <w:tab/>
        <w:t>Streamlined Representatives:</w:t>
      </w:r>
    </w:p>
    <w:p w14:paraId="381D95D2" w14:textId="77777777" w:rsidR="006A6AA5" w:rsidRPr="007E4C66" w:rsidRDefault="006A6AA5" w:rsidP="006A6AA5">
      <w:pPr>
        <w:spacing w:after="0"/>
        <w:rPr>
          <w:sz w:val="26"/>
          <w:szCs w:val="26"/>
        </w:rPr>
      </w:pPr>
      <w:r w:rsidRPr="007E4C66">
        <w:rPr>
          <w:sz w:val="26"/>
          <w:szCs w:val="26"/>
        </w:rPr>
        <w:t xml:space="preserve">Craig Johnson &amp; Christie </w:t>
      </w:r>
      <w:proofErr w:type="spellStart"/>
      <w:r w:rsidRPr="007E4C66">
        <w:rPr>
          <w:sz w:val="26"/>
          <w:szCs w:val="26"/>
        </w:rPr>
        <w:t>Comanita</w:t>
      </w:r>
      <w:proofErr w:type="spellEnd"/>
      <w:r w:rsidRPr="007E4C66">
        <w:rPr>
          <w:sz w:val="26"/>
          <w:szCs w:val="26"/>
        </w:rPr>
        <w:t xml:space="preserve"> (work group ex officio members)</w:t>
      </w:r>
    </w:p>
    <w:p w14:paraId="1848B392" w14:textId="62097274" w:rsidR="006A6AA5" w:rsidRPr="007E4C66" w:rsidRDefault="006A6AA5" w:rsidP="006A6AA5">
      <w:pPr>
        <w:rPr>
          <w:sz w:val="26"/>
          <w:szCs w:val="26"/>
        </w:rPr>
      </w:pPr>
      <w:r w:rsidRPr="007E4C66">
        <w:rPr>
          <w:sz w:val="26"/>
          <w:szCs w:val="26"/>
        </w:rPr>
        <w:t>Sherry Hathaway &amp; Michael Ward (TN)</w:t>
      </w:r>
    </w:p>
    <w:p w14:paraId="651BFB18" w14:textId="2655EB14" w:rsidR="006A6AA5" w:rsidRPr="007E4C66" w:rsidRDefault="006A6AA5" w:rsidP="006A6AA5">
      <w:pPr>
        <w:rPr>
          <w:sz w:val="26"/>
          <w:szCs w:val="26"/>
        </w:rPr>
      </w:pPr>
      <w:r w:rsidRPr="007E4C66">
        <w:rPr>
          <w:sz w:val="26"/>
          <w:szCs w:val="26"/>
        </w:rPr>
        <w:tab/>
        <w:t>Taxpayers</w:t>
      </w:r>
      <w:r w:rsidR="0092225E" w:rsidRPr="007E4C66">
        <w:rPr>
          <w:sz w:val="26"/>
          <w:szCs w:val="26"/>
        </w:rPr>
        <w:t>:</w:t>
      </w:r>
    </w:p>
    <w:p w14:paraId="494D617A" w14:textId="77777777" w:rsidR="006A6AA5" w:rsidRPr="007E4C66" w:rsidRDefault="006A6AA5" w:rsidP="006A6AA5">
      <w:pPr>
        <w:spacing w:after="0"/>
        <w:rPr>
          <w:sz w:val="26"/>
          <w:szCs w:val="26"/>
        </w:rPr>
      </w:pPr>
      <w:r w:rsidRPr="007E4C66">
        <w:rPr>
          <w:sz w:val="26"/>
          <w:szCs w:val="26"/>
        </w:rPr>
        <w:t>Amazon – Jessie Eisenmenger &amp; Roger Price</w:t>
      </w:r>
    </w:p>
    <w:p w14:paraId="38A1726B" w14:textId="77777777" w:rsidR="006A6AA5" w:rsidRPr="007E4C66" w:rsidRDefault="006A6AA5" w:rsidP="006A6AA5">
      <w:pPr>
        <w:spacing w:after="0"/>
        <w:rPr>
          <w:sz w:val="26"/>
          <w:szCs w:val="26"/>
        </w:rPr>
      </w:pPr>
      <w:r w:rsidRPr="007E4C66">
        <w:rPr>
          <w:sz w:val="26"/>
          <w:szCs w:val="26"/>
        </w:rPr>
        <w:t>Apple – Terry Ryan and Sheila Bayley</w:t>
      </w:r>
    </w:p>
    <w:p w14:paraId="24AF3855" w14:textId="77777777" w:rsidR="006A6AA5" w:rsidRPr="007E4C66" w:rsidRDefault="006A6AA5" w:rsidP="006A6AA5">
      <w:pPr>
        <w:rPr>
          <w:sz w:val="26"/>
          <w:szCs w:val="26"/>
        </w:rPr>
      </w:pPr>
      <w:r w:rsidRPr="007E4C66">
        <w:rPr>
          <w:sz w:val="26"/>
          <w:szCs w:val="26"/>
        </w:rPr>
        <w:t>Charter Communications – Brandi Drake</w:t>
      </w:r>
    </w:p>
    <w:p w14:paraId="3B8E1BAD" w14:textId="4928145D" w:rsidR="006A6AA5" w:rsidRPr="007E4C66" w:rsidRDefault="006A6AA5" w:rsidP="006A6AA5">
      <w:pPr>
        <w:ind w:firstLine="720"/>
        <w:rPr>
          <w:sz w:val="26"/>
          <w:szCs w:val="26"/>
        </w:rPr>
      </w:pPr>
      <w:r w:rsidRPr="007E4C66">
        <w:rPr>
          <w:sz w:val="26"/>
          <w:szCs w:val="26"/>
        </w:rPr>
        <w:t>Practitioners &amp; Taxpayer Representatives</w:t>
      </w:r>
      <w:r w:rsidR="0092225E" w:rsidRPr="007E4C66">
        <w:rPr>
          <w:sz w:val="26"/>
          <w:szCs w:val="26"/>
        </w:rPr>
        <w:t>:</w:t>
      </w:r>
    </w:p>
    <w:p w14:paraId="3CE5251A" w14:textId="77777777" w:rsidR="006A6AA5" w:rsidRPr="007E4C66" w:rsidRDefault="006A6AA5" w:rsidP="006A6AA5">
      <w:pPr>
        <w:spacing w:after="0" w:line="240" w:lineRule="auto"/>
        <w:rPr>
          <w:sz w:val="26"/>
          <w:szCs w:val="26"/>
        </w:rPr>
      </w:pPr>
      <w:r w:rsidRPr="007E4C66">
        <w:rPr>
          <w:sz w:val="26"/>
          <w:szCs w:val="26"/>
        </w:rPr>
        <w:t>Eversheds Sutherland – Michele Borens and Charlie Helms</w:t>
      </w:r>
    </w:p>
    <w:p w14:paraId="3DCD201A" w14:textId="77777777" w:rsidR="006A6AA5" w:rsidRPr="007E4C66" w:rsidRDefault="006A6AA5" w:rsidP="006A6AA5">
      <w:pPr>
        <w:spacing w:after="0" w:line="240" w:lineRule="auto"/>
        <w:rPr>
          <w:sz w:val="26"/>
          <w:szCs w:val="26"/>
        </w:rPr>
      </w:pPr>
      <w:r w:rsidRPr="007E4C66">
        <w:rPr>
          <w:sz w:val="26"/>
          <w:szCs w:val="26"/>
        </w:rPr>
        <w:t>Kranz &amp; Associates – Carolyn Kranz</w:t>
      </w:r>
    </w:p>
    <w:p w14:paraId="01554E21" w14:textId="77777777" w:rsidR="006A6AA5" w:rsidRPr="007E4C66" w:rsidRDefault="006A6AA5" w:rsidP="006A6AA5">
      <w:pPr>
        <w:spacing w:after="0" w:line="240" w:lineRule="auto"/>
        <w:rPr>
          <w:sz w:val="26"/>
          <w:szCs w:val="26"/>
        </w:rPr>
      </w:pPr>
      <w:r w:rsidRPr="007E4C66">
        <w:rPr>
          <w:sz w:val="26"/>
          <w:szCs w:val="26"/>
        </w:rPr>
        <w:t>Moss Adams – Phil Horwitz</w:t>
      </w:r>
    </w:p>
    <w:p w14:paraId="40A302CF" w14:textId="77777777" w:rsidR="006A6AA5" w:rsidRPr="007E4C66" w:rsidRDefault="006A6AA5" w:rsidP="006A6AA5">
      <w:pPr>
        <w:spacing w:after="0" w:line="240" w:lineRule="auto"/>
        <w:rPr>
          <w:sz w:val="26"/>
          <w:szCs w:val="26"/>
        </w:rPr>
      </w:pPr>
      <w:proofErr w:type="spellStart"/>
      <w:r w:rsidRPr="007E4C66">
        <w:rPr>
          <w:sz w:val="26"/>
          <w:szCs w:val="26"/>
        </w:rPr>
        <w:t>MultiState</w:t>
      </w:r>
      <w:proofErr w:type="spellEnd"/>
      <w:r w:rsidRPr="007E4C66">
        <w:rPr>
          <w:sz w:val="26"/>
          <w:szCs w:val="26"/>
        </w:rPr>
        <w:t xml:space="preserve"> Associates – Deborah Bierbaum</w:t>
      </w:r>
    </w:p>
    <w:p w14:paraId="48AF893B" w14:textId="77777777" w:rsidR="006A6AA5" w:rsidRPr="007E4C66" w:rsidRDefault="006A6AA5" w:rsidP="006A6AA5">
      <w:pPr>
        <w:spacing w:after="0" w:line="240" w:lineRule="auto"/>
        <w:rPr>
          <w:sz w:val="26"/>
          <w:szCs w:val="26"/>
        </w:rPr>
      </w:pPr>
      <w:r w:rsidRPr="007E4C66">
        <w:rPr>
          <w:sz w:val="26"/>
          <w:szCs w:val="26"/>
        </w:rPr>
        <w:t>Yetter Tax – Diane Yetter</w:t>
      </w:r>
    </w:p>
    <w:p w14:paraId="11306D0F" w14:textId="77777777" w:rsidR="006A6AA5" w:rsidRPr="007E4C66" w:rsidRDefault="006A6AA5" w:rsidP="0092225E">
      <w:pPr>
        <w:rPr>
          <w:sz w:val="26"/>
          <w:szCs w:val="26"/>
        </w:rPr>
      </w:pPr>
      <w:r w:rsidRPr="007E4C66">
        <w:rPr>
          <w:sz w:val="26"/>
          <w:szCs w:val="26"/>
        </w:rPr>
        <w:t>Pillsbury Winthrop Shaw Pittman - Zach Atkins</w:t>
      </w:r>
    </w:p>
    <w:p w14:paraId="2F9BD4F8" w14:textId="21A2132C" w:rsidR="0092225E" w:rsidRPr="007E4C66" w:rsidRDefault="0092225E" w:rsidP="0092225E">
      <w:pPr>
        <w:ind w:firstLine="720"/>
        <w:rPr>
          <w:sz w:val="26"/>
          <w:szCs w:val="26"/>
        </w:rPr>
      </w:pPr>
      <w:r w:rsidRPr="007E4C66">
        <w:rPr>
          <w:sz w:val="26"/>
          <w:szCs w:val="26"/>
        </w:rPr>
        <w:t>Organizations &amp; Compliance Vendors:</w:t>
      </w:r>
    </w:p>
    <w:p w14:paraId="47EBAEBB" w14:textId="77777777" w:rsidR="0092225E" w:rsidRPr="007E4C66" w:rsidRDefault="0092225E" w:rsidP="0092225E">
      <w:pPr>
        <w:spacing w:after="0" w:line="240" w:lineRule="auto"/>
        <w:rPr>
          <w:sz w:val="26"/>
          <w:szCs w:val="26"/>
        </w:rPr>
      </w:pPr>
      <w:r w:rsidRPr="007E4C66">
        <w:rPr>
          <w:sz w:val="26"/>
          <w:szCs w:val="26"/>
        </w:rPr>
        <w:lastRenderedPageBreak/>
        <w:t>Avalara – Scott Peterson (via comments to the press)</w:t>
      </w:r>
    </w:p>
    <w:p w14:paraId="6B0014F7" w14:textId="0CDAFB69" w:rsidR="0092225E" w:rsidRPr="007E4C66" w:rsidRDefault="0092225E" w:rsidP="0092225E">
      <w:pPr>
        <w:spacing w:after="0" w:line="240" w:lineRule="auto"/>
        <w:rPr>
          <w:sz w:val="26"/>
          <w:szCs w:val="26"/>
        </w:rPr>
      </w:pPr>
      <w:r w:rsidRPr="007E4C66">
        <w:rPr>
          <w:sz w:val="26"/>
          <w:szCs w:val="26"/>
        </w:rPr>
        <w:t>Council On State Taxation – Fred Nicely</w:t>
      </w:r>
    </w:p>
    <w:p w14:paraId="7D313739" w14:textId="77777777" w:rsidR="0092225E" w:rsidRPr="007E4C66" w:rsidRDefault="0092225E" w:rsidP="0092225E">
      <w:pPr>
        <w:spacing w:after="0" w:line="240" w:lineRule="auto"/>
        <w:rPr>
          <w:sz w:val="26"/>
          <w:szCs w:val="26"/>
        </w:rPr>
      </w:pPr>
      <w:proofErr w:type="spellStart"/>
      <w:r w:rsidRPr="007E4C66">
        <w:rPr>
          <w:sz w:val="26"/>
          <w:szCs w:val="26"/>
        </w:rPr>
        <w:t>SofTec</w:t>
      </w:r>
      <w:proofErr w:type="spellEnd"/>
      <w:r w:rsidRPr="007E4C66">
        <w:rPr>
          <w:sz w:val="26"/>
          <w:szCs w:val="26"/>
        </w:rPr>
        <w:t xml:space="preserve"> – Mark Nebergall</w:t>
      </w:r>
    </w:p>
    <w:p w14:paraId="642078B8" w14:textId="77777777" w:rsidR="0092225E" w:rsidRPr="007E4C66" w:rsidRDefault="0092225E" w:rsidP="0092225E">
      <w:pPr>
        <w:spacing w:after="0" w:line="240" w:lineRule="auto"/>
        <w:rPr>
          <w:sz w:val="26"/>
          <w:szCs w:val="26"/>
        </w:rPr>
      </w:pPr>
      <w:proofErr w:type="spellStart"/>
      <w:r w:rsidRPr="007E4C66">
        <w:rPr>
          <w:sz w:val="26"/>
          <w:szCs w:val="26"/>
        </w:rPr>
        <w:t>Sovos</w:t>
      </w:r>
      <w:proofErr w:type="spellEnd"/>
      <w:r w:rsidRPr="007E4C66">
        <w:rPr>
          <w:sz w:val="26"/>
          <w:szCs w:val="26"/>
        </w:rPr>
        <w:t xml:space="preserve"> – Charles (Chuck) Maniace</w:t>
      </w:r>
    </w:p>
    <w:p w14:paraId="4D60BF84" w14:textId="2EE3DA31" w:rsidR="008651EE" w:rsidRPr="007E4C66" w:rsidRDefault="0092225E" w:rsidP="00A26D06">
      <w:pPr>
        <w:spacing w:after="0" w:line="240" w:lineRule="auto"/>
        <w:rPr>
          <w:sz w:val="26"/>
          <w:szCs w:val="26"/>
        </w:rPr>
      </w:pPr>
      <w:proofErr w:type="spellStart"/>
      <w:r w:rsidRPr="007E4C66">
        <w:rPr>
          <w:sz w:val="26"/>
          <w:szCs w:val="26"/>
        </w:rPr>
        <w:t>TaxCloud</w:t>
      </w:r>
      <w:proofErr w:type="spellEnd"/>
      <w:r w:rsidRPr="007E4C66">
        <w:rPr>
          <w:sz w:val="26"/>
          <w:szCs w:val="26"/>
        </w:rPr>
        <w:t xml:space="preserve"> – Bruce Johnson</w:t>
      </w:r>
    </w:p>
    <w:p w14:paraId="1F01031B" w14:textId="77777777" w:rsidR="00A26D06" w:rsidRPr="007E4C66" w:rsidRDefault="00A26D06" w:rsidP="00A26D06">
      <w:pPr>
        <w:spacing w:after="0" w:line="240" w:lineRule="auto"/>
        <w:rPr>
          <w:sz w:val="26"/>
          <w:szCs w:val="26"/>
        </w:rPr>
      </w:pPr>
    </w:p>
    <w:p w14:paraId="0045EA7F" w14:textId="447792ED" w:rsidR="008651EE" w:rsidRDefault="00A26D06" w:rsidP="008651EE">
      <w:pPr>
        <w:pStyle w:val="Heading2"/>
      </w:pPr>
      <w:r>
        <w:rPr>
          <w:rFonts w:cs="Times New Roman"/>
        </w:rPr>
        <w:t>B</w:t>
      </w:r>
      <w:r w:rsidR="008651EE" w:rsidRPr="008651EE">
        <w:rPr>
          <w:rFonts w:cs="Times New Roman"/>
        </w:rPr>
        <w:t>.</w:t>
      </w:r>
      <w:r w:rsidR="008651EE">
        <w:t xml:space="preserve"> </w:t>
      </w:r>
      <w:r w:rsidR="008651EE" w:rsidRPr="009357D0">
        <w:t>Examples of digital products in the marketplace and bundling issues.</w:t>
      </w:r>
    </w:p>
    <w:p w14:paraId="4DF35E2D" w14:textId="2115DB9C" w:rsidR="008651EE" w:rsidRPr="007E4C66" w:rsidRDefault="008651EE" w:rsidP="008651EE">
      <w:pPr>
        <w:pStyle w:val="ListParagraph"/>
        <w:ind w:left="0"/>
        <w:rPr>
          <w:sz w:val="26"/>
          <w:szCs w:val="26"/>
        </w:rPr>
      </w:pPr>
      <w:r w:rsidRPr="007E4C66">
        <w:rPr>
          <w:sz w:val="26"/>
          <w:szCs w:val="26"/>
        </w:rPr>
        <w:t xml:space="preserve">In this subsection we identify examples of bundles </w:t>
      </w:r>
      <w:r w:rsidR="00B85105" w:rsidRPr="007E4C66">
        <w:rPr>
          <w:sz w:val="26"/>
          <w:szCs w:val="26"/>
        </w:rPr>
        <w:t>drawn from</w:t>
      </w:r>
      <w:r w:rsidRPr="007E4C66">
        <w:rPr>
          <w:sz w:val="26"/>
          <w:szCs w:val="26"/>
        </w:rPr>
        <w:t xml:space="preserve"> staff research, stakeholder discussions, and work group </w:t>
      </w:r>
      <w:r w:rsidR="00B85105" w:rsidRPr="007E4C66">
        <w:rPr>
          <w:sz w:val="26"/>
          <w:szCs w:val="26"/>
        </w:rPr>
        <w:t>members</w:t>
      </w:r>
      <w:r w:rsidRPr="007E4C66">
        <w:rPr>
          <w:sz w:val="26"/>
          <w:szCs w:val="26"/>
        </w:rPr>
        <w:t>.</w:t>
      </w:r>
    </w:p>
    <w:p w14:paraId="7B741A44" w14:textId="0F9001AD" w:rsidR="008651EE" w:rsidRDefault="008651EE" w:rsidP="008651EE">
      <w:pPr>
        <w:pStyle w:val="Heading3"/>
      </w:pPr>
      <w:proofErr w:type="spellStart"/>
      <w:r>
        <w:t>i</w:t>
      </w:r>
      <w:proofErr w:type="spellEnd"/>
      <w:r>
        <w:t>.</w:t>
      </w:r>
      <w:r>
        <w:tab/>
        <w:t>Stakeholder Examples</w:t>
      </w:r>
    </w:p>
    <w:p w14:paraId="01BD09AF" w14:textId="2028F0B8" w:rsidR="008651EE" w:rsidRPr="007E4C66" w:rsidRDefault="008651EE" w:rsidP="00C55420">
      <w:pPr>
        <w:pStyle w:val="ListParagraph"/>
        <w:numPr>
          <w:ilvl w:val="3"/>
          <w:numId w:val="3"/>
        </w:numPr>
        <w:ind w:left="720"/>
        <w:rPr>
          <w:sz w:val="26"/>
          <w:szCs w:val="26"/>
        </w:rPr>
      </w:pPr>
      <w:r w:rsidRPr="007E4C66">
        <w:rPr>
          <w:sz w:val="26"/>
          <w:szCs w:val="26"/>
        </w:rPr>
        <w:t xml:space="preserve">Digital codes entitle the buyer to digital products, services, and </w:t>
      </w:r>
      <w:r w:rsidR="00253AF6" w:rsidRPr="007E4C66">
        <w:rPr>
          <w:sz w:val="26"/>
          <w:szCs w:val="26"/>
        </w:rPr>
        <w:t>TPP</w:t>
      </w:r>
      <w:r w:rsidRPr="007E4C66">
        <w:rPr>
          <w:sz w:val="26"/>
          <w:szCs w:val="26"/>
        </w:rPr>
        <w:t>, or some combination. An example is a digital code that entitles the purchaser to a streaming movie and a bag of chips.</w:t>
      </w:r>
    </w:p>
    <w:p w14:paraId="1BF8DD6C" w14:textId="4B9107B5" w:rsidR="008651EE" w:rsidRPr="007E4C66" w:rsidRDefault="008651EE" w:rsidP="00C55420">
      <w:pPr>
        <w:pStyle w:val="ListParagraph"/>
        <w:numPr>
          <w:ilvl w:val="3"/>
          <w:numId w:val="3"/>
        </w:numPr>
        <w:ind w:left="720"/>
        <w:rPr>
          <w:sz w:val="26"/>
          <w:szCs w:val="26"/>
        </w:rPr>
      </w:pPr>
      <w:r w:rsidRPr="007E4C66">
        <w:rPr>
          <w:sz w:val="26"/>
          <w:szCs w:val="26"/>
        </w:rPr>
        <w:t xml:space="preserve">Free items may be given away with a digital product that is sold. An example is a streaming concert video and </w:t>
      </w:r>
      <w:r w:rsidR="00750973" w:rsidRPr="007E4C66">
        <w:rPr>
          <w:sz w:val="26"/>
          <w:szCs w:val="26"/>
        </w:rPr>
        <w:t xml:space="preserve">a </w:t>
      </w:r>
      <w:r w:rsidRPr="007E4C66">
        <w:rPr>
          <w:sz w:val="26"/>
          <w:szCs w:val="26"/>
        </w:rPr>
        <w:t>t-shirt.</w:t>
      </w:r>
    </w:p>
    <w:p w14:paraId="0CE6D835" w14:textId="2E0D765E" w:rsidR="008651EE" w:rsidRPr="007E4C66" w:rsidRDefault="008651EE" w:rsidP="00C55420">
      <w:pPr>
        <w:pStyle w:val="ListParagraph"/>
        <w:numPr>
          <w:ilvl w:val="3"/>
          <w:numId w:val="3"/>
        </w:numPr>
        <w:ind w:left="720"/>
        <w:rPr>
          <w:sz w:val="26"/>
          <w:szCs w:val="26"/>
        </w:rPr>
      </w:pPr>
      <w:r w:rsidRPr="007E4C66">
        <w:rPr>
          <w:sz w:val="26"/>
          <w:szCs w:val="26"/>
        </w:rPr>
        <w:t>Exercise equipment sold with streaming video services.</w:t>
      </w:r>
    </w:p>
    <w:p w14:paraId="1322D73F" w14:textId="444FD17A" w:rsidR="008651EE" w:rsidRPr="007E4C66" w:rsidRDefault="008651EE" w:rsidP="00C55420">
      <w:pPr>
        <w:pStyle w:val="ListParagraph"/>
        <w:numPr>
          <w:ilvl w:val="3"/>
          <w:numId w:val="3"/>
        </w:numPr>
        <w:ind w:left="720"/>
        <w:rPr>
          <w:sz w:val="26"/>
          <w:szCs w:val="26"/>
        </w:rPr>
      </w:pPr>
      <w:r w:rsidRPr="007E4C66">
        <w:rPr>
          <w:sz w:val="26"/>
          <w:szCs w:val="26"/>
        </w:rPr>
        <w:t xml:space="preserve">Software maintenance </w:t>
      </w:r>
      <w:r w:rsidR="00750973" w:rsidRPr="007E4C66">
        <w:rPr>
          <w:sz w:val="26"/>
          <w:szCs w:val="26"/>
        </w:rPr>
        <w:t>services</w:t>
      </w:r>
      <w:r w:rsidRPr="007E4C66">
        <w:rPr>
          <w:sz w:val="26"/>
          <w:szCs w:val="26"/>
        </w:rPr>
        <w:t>.</w:t>
      </w:r>
    </w:p>
    <w:p w14:paraId="18CE9F2B" w14:textId="77777777" w:rsidR="008651EE" w:rsidRPr="007E4C66" w:rsidRDefault="008651EE" w:rsidP="008651EE">
      <w:pPr>
        <w:pStyle w:val="ListParagraph"/>
        <w:ind w:left="360"/>
        <w:rPr>
          <w:sz w:val="26"/>
          <w:szCs w:val="26"/>
        </w:rPr>
      </w:pPr>
    </w:p>
    <w:p w14:paraId="44356CB2" w14:textId="7B459CBE" w:rsidR="008651EE" w:rsidRDefault="008651EE" w:rsidP="008651EE">
      <w:pPr>
        <w:pStyle w:val="Heading3"/>
      </w:pPr>
      <w:r w:rsidRPr="008651EE">
        <w:t>ii.</w:t>
      </w:r>
      <w:r>
        <w:t xml:space="preserve"> </w:t>
      </w:r>
      <w:r>
        <w:tab/>
        <w:t>Work Group Member Examples</w:t>
      </w:r>
    </w:p>
    <w:p w14:paraId="64CD12E7" w14:textId="1397E42A" w:rsidR="008651EE" w:rsidRPr="007E4C66" w:rsidRDefault="00750973" w:rsidP="00C55420">
      <w:pPr>
        <w:pStyle w:val="ListParagraph"/>
        <w:numPr>
          <w:ilvl w:val="3"/>
          <w:numId w:val="2"/>
        </w:numPr>
        <w:ind w:left="720"/>
        <w:rPr>
          <w:sz w:val="26"/>
          <w:szCs w:val="26"/>
        </w:rPr>
      </w:pPr>
      <w:r w:rsidRPr="007E4C66">
        <w:rPr>
          <w:rFonts w:eastAsia="Aptos" w:cs="Franklin Gothic Book"/>
          <w:kern w:val="24"/>
          <w:sz w:val="26"/>
          <w:szCs w:val="26"/>
          <w14:ligatures w14:val="none"/>
        </w:rPr>
        <w:t xml:space="preserve">Software as a service (SaaS) that comes with an app (software). </w:t>
      </w:r>
      <w:r w:rsidR="008651EE" w:rsidRPr="007E4C66">
        <w:rPr>
          <w:rFonts w:eastAsia="Aptos" w:cs="Franklin Gothic Book"/>
          <w:kern w:val="24"/>
          <w:sz w:val="26"/>
          <w:szCs w:val="26"/>
          <w14:ligatures w14:val="none"/>
        </w:rPr>
        <w:t xml:space="preserve">Assume a state does not tax SaaS but does tax software as TPP. </w:t>
      </w:r>
      <w:r w:rsidRPr="007E4C66">
        <w:rPr>
          <w:rFonts w:eastAsia="Aptos" w:cs="Franklin Gothic Book"/>
          <w:kern w:val="24"/>
          <w:sz w:val="26"/>
          <w:szCs w:val="26"/>
          <w14:ligatures w14:val="none"/>
        </w:rPr>
        <w:t>When the</w:t>
      </w:r>
      <w:r w:rsidR="008651EE" w:rsidRPr="007E4C66">
        <w:rPr>
          <w:rFonts w:eastAsia="Aptos" w:cs="Franklin Gothic Book"/>
          <w:kern w:val="24"/>
          <w:sz w:val="26"/>
          <w:szCs w:val="26"/>
          <w14:ligatures w14:val="none"/>
        </w:rPr>
        <w:t xml:space="preserve"> SaaS subscription includes </w:t>
      </w:r>
      <w:r w:rsidRPr="007E4C66">
        <w:rPr>
          <w:rFonts w:eastAsia="Aptos" w:cs="Franklin Gothic Book"/>
          <w:kern w:val="24"/>
          <w:sz w:val="26"/>
          <w:szCs w:val="26"/>
          <w14:ligatures w14:val="none"/>
        </w:rPr>
        <w:t>the</w:t>
      </w:r>
      <w:r w:rsidR="008651EE" w:rsidRPr="007E4C66">
        <w:rPr>
          <w:rFonts w:eastAsia="Aptos" w:cs="Franklin Gothic Book"/>
          <w:kern w:val="24"/>
          <w:sz w:val="26"/>
          <w:szCs w:val="26"/>
          <w14:ligatures w14:val="none"/>
        </w:rPr>
        <w:t xml:space="preserve"> app that allows the purchaser to more easily access the SaaS platform, is the transaction taxable?</w:t>
      </w:r>
    </w:p>
    <w:p w14:paraId="3BCA66D2" w14:textId="61B3261C" w:rsidR="008651EE" w:rsidRPr="007E4C66" w:rsidRDefault="008651EE" w:rsidP="00C55420">
      <w:pPr>
        <w:pStyle w:val="ListParagraph"/>
        <w:numPr>
          <w:ilvl w:val="3"/>
          <w:numId w:val="2"/>
        </w:numPr>
        <w:ind w:left="720"/>
        <w:rPr>
          <w:sz w:val="26"/>
          <w:szCs w:val="26"/>
        </w:rPr>
      </w:pPr>
      <w:r w:rsidRPr="007E4C66">
        <w:rPr>
          <w:rFonts w:eastAsia="Aptos" w:cs="Franklin Gothic Book"/>
          <w:kern w:val="24"/>
          <w:sz w:val="26"/>
          <w:szCs w:val="26"/>
          <w14:ligatures w14:val="none"/>
        </w:rPr>
        <w:t>Charges for personal services (e.g., training or consulting) or a membership to a trade or professional organization that include access to a digital library of forms, templates, articles, and/or training videos.</w:t>
      </w:r>
    </w:p>
    <w:p w14:paraId="4E948A88" w14:textId="2EE18C46" w:rsidR="008651EE" w:rsidRPr="007E4C66" w:rsidRDefault="008651EE"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Vendor's non-itemized offering includes the following:</w:t>
      </w:r>
    </w:p>
    <w:p w14:paraId="2F3403A8" w14:textId="687B1860" w:rsidR="008651EE" w:rsidRPr="007E4C66" w:rsidRDefault="008651EE"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right to use an online portal to access the vendor's proprietary digital research library</w:t>
      </w:r>
      <w:r w:rsidR="00750973" w:rsidRPr="007E4C66">
        <w:rPr>
          <w:rFonts w:eastAsia="Times New Roman" w:cs="Franklin Gothic Book"/>
          <w:kern w:val="24"/>
          <w:sz w:val="26"/>
          <w:szCs w:val="26"/>
          <w14:ligatures w14:val="none"/>
        </w:rPr>
        <w:t>;</w:t>
      </w:r>
    </w:p>
    <w:p w14:paraId="0799642C" w14:textId="1AE14AA0" w:rsidR="008651EE" w:rsidRPr="007E4C66" w:rsidRDefault="008651EE"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right to receive personal consulting from professional analysts</w:t>
      </w:r>
      <w:r w:rsidR="00750973" w:rsidRPr="007E4C66">
        <w:rPr>
          <w:rFonts w:eastAsia="Times New Roman" w:cs="Franklin Gothic Book"/>
          <w:kern w:val="24"/>
          <w:sz w:val="26"/>
          <w:szCs w:val="26"/>
          <w14:ligatures w14:val="none"/>
        </w:rPr>
        <w:t xml:space="preserve">; </w:t>
      </w:r>
      <w:r w:rsidRPr="007E4C66">
        <w:rPr>
          <w:rFonts w:eastAsia="Times New Roman" w:cs="Franklin Gothic Book"/>
          <w:kern w:val="24"/>
          <w:sz w:val="26"/>
          <w:szCs w:val="26"/>
          <w14:ligatures w14:val="none"/>
        </w:rPr>
        <w:t>and</w:t>
      </w:r>
    </w:p>
    <w:p w14:paraId="1D88FB88" w14:textId="4FF89572" w:rsidR="008651EE" w:rsidRPr="007E4C66" w:rsidRDefault="008651EE"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right to view pre</w:t>
      </w:r>
      <w:r w:rsidR="00750973"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recorded online presentations, meetings, or workshops.</w:t>
      </w:r>
    </w:p>
    <w:p w14:paraId="3A84420A" w14:textId="1F0E1EA8" w:rsidR="008651EE" w:rsidRPr="007E4C66" w:rsidRDefault="008651EE"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Vendor's non-itemized offering includes the following:</w:t>
      </w:r>
    </w:p>
    <w:p w14:paraId="49526465" w14:textId="0E8A0E88" w:rsidR="008651EE"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right to access a Communications as a Service platform, which includes access to use VOIP, SMS/MMS texting through IP protocol, instant messaging</w:t>
      </w:r>
      <w:r w:rsidR="00750973"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 xml:space="preserve"> and audio/video conferencing tools;</w:t>
      </w:r>
    </w:p>
    <w:p w14:paraId="692C6252" w14:textId="3C4B8C05"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lastRenderedPageBreak/>
        <w:t>The ability to store and manage data (storage and management of communication data); and</w:t>
      </w:r>
    </w:p>
    <w:p w14:paraId="03FB30E8" w14:textId="7B7210C6"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ability to integrate (e.g., through an Application Programmable Interface) the software platform with other 3</w:t>
      </w:r>
      <w:r w:rsidRPr="007E4C66">
        <w:rPr>
          <w:rFonts w:eastAsia="Times New Roman" w:cs="Franklin Gothic Book"/>
          <w:kern w:val="24"/>
          <w:sz w:val="26"/>
          <w:szCs w:val="26"/>
          <w:vertAlign w:val="superscript"/>
          <w14:ligatures w14:val="none"/>
        </w:rPr>
        <w:t>rd</w:t>
      </w:r>
      <w:r w:rsidRPr="007E4C66">
        <w:rPr>
          <w:rFonts w:eastAsia="Times New Roman" w:cs="Franklin Gothic Book"/>
          <w:kern w:val="24"/>
          <w:sz w:val="26"/>
          <w:szCs w:val="26"/>
          <w14:ligatures w14:val="none"/>
        </w:rPr>
        <w:t xml:space="preserve"> party software.</w:t>
      </w:r>
    </w:p>
    <w:p w14:paraId="61EBF0EC" w14:textId="65FF0F4D" w:rsidR="003D58CA" w:rsidRPr="007E4C66" w:rsidRDefault="003D58CA"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Vendor's non-itemized offering includes following:</w:t>
      </w:r>
    </w:p>
    <w:p w14:paraId="296294F5" w14:textId="141E682D"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Lease of a live-stream camera with unlimited 4G LTE Data;</w:t>
      </w:r>
    </w:p>
    <w:p w14:paraId="2DDD6078" w14:textId="6DBC9703"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A web-based platform to access the live video streaming of a location (e.g., construction site);</w:t>
      </w:r>
    </w:p>
    <w:p w14:paraId="7924E13D" w14:textId="31BF72E1"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ability to control the camera through customer's computers or electronic devices;</w:t>
      </w:r>
    </w:p>
    <w:p w14:paraId="5A0B230E" w14:textId="53AA46FF"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Unlimited storage of videos;</w:t>
      </w:r>
    </w:p>
    <w:p w14:paraId="338FE74B" w14:textId="22F155C8"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Access to weather data; and</w:t>
      </w:r>
    </w:p>
    <w:p w14:paraId="55A1DFA9" w14:textId="157D76F1" w:rsidR="003D58CA" w:rsidRPr="007E4C66" w:rsidRDefault="00750973"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Ability</w:t>
      </w:r>
      <w:r w:rsidR="003D58CA" w:rsidRPr="007E4C66">
        <w:rPr>
          <w:rFonts w:eastAsia="Times New Roman" w:cs="Franklin Gothic Book"/>
          <w:kern w:val="24"/>
          <w:sz w:val="26"/>
          <w:szCs w:val="26"/>
          <w14:ligatures w14:val="none"/>
        </w:rPr>
        <w:t xml:space="preserve"> to create time-lapsing videos/photos.</w:t>
      </w:r>
    </w:p>
    <w:p w14:paraId="5BA5F495" w14:textId="26B0115F" w:rsidR="003D58CA" w:rsidRPr="007E4C66" w:rsidRDefault="003D58CA"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Vendor's non-itemized offering is the sale of a Non-Fungible Token that provides the owner with the following:</w:t>
      </w:r>
    </w:p>
    <w:p w14:paraId="0025DD3D" w14:textId="7D4A83A5"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Free admission to a set number of music concerts annually – (sourced to respective state);</w:t>
      </w:r>
    </w:p>
    <w:p w14:paraId="328933F2" w14:textId="2D1F004D"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Access to in-person educational events;</w:t>
      </w:r>
    </w:p>
    <w:p w14:paraId="59F10A01" w14:textId="37FCA799"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Lifetime subscription to video streaming service;</w:t>
      </w:r>
    </w:p>
    <w:p w14:paraId="3396F340" w14:textId="11F72AE1"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Lifetime subscription to downloadable software; and</w:t>
      </w:r>
    </w:p>
    <w:p w14:paraId="4ACEBE2D" w14:textId="724AFE90"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Lifetime subscription to music streaming service.</w:t>
      </w:r>
    </w:p>
    <w:p w14:paraId="3121B8F7" w14:textId="33A0A81F" w:rsidR="003D58CA" w:rsidRPr="007E4C66" w:rsidRDefault="003D58CA"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Vendor's non-itemized offering is the sale of remote access software, providing users with the following:</w:t>
      </w:r>
    </w:p>
    <w:p w14:paraId="07B3B3A3" w14:textId="7F7422F3"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right to exclusive</w:t>
      </w:r>
      <w:r w:rsidR="0069773C" w:rsidRPr="007E4C66">
        <w:rPr>
          <w:rFonts w:eastAsia="Times New Roman" w:cs="Franklin Gothic Book"/>
          <w:kern w:val="24"/>
          <w:sz w:val="26"/>
          <w:szCs w:val="26"/>
          <w14:ligatures w14:val="none"/>
        </w:rPr>
        <w:t xml:space="preserve"> and remote</w:t>
      </w:r>
      <w:r w:rsidRPr="007E4C66">
        <w:rPr>
          <w:rFonts w:eastAsia="Times New Roman" w:cs="Franklin Gothic Book"/>
          <w:kern w:val="24"/>
          <w:sz w:val="26"/>
          <w:szCs w:val="26"/>
          <w14:ligatures w14:val="none"/>
        </w:rPr>
        <w:t xml:space="preserve"> use </w:t>
      </w:r>
      <w:r w:rsidR="0069773C" w:rsidRPr="007E4C66">
        <w:rPr>
          <w:rFonts w:eastAsia="Times New Roman" w:cs="Franklin Gothic Book"/>
          <w:kern w:val="24"/>
          <w:sz w:val="26"/>
          <w:szCs w:val="26"/>
          <w14:ligatures w14:val="none"/>
        </w:rPr>
        <w:t xml:space="preserve">of </w:t>
      </w:r>
      <w:r w:rsidRPr="007E4C66">
        <w:rPr>
          <w:rFonts w:eastAsia="Times New Roman" w:cs="Franklin Gothic Book"/>
          <w:kern w:val="24"/>
          <w:sz w:val="26"/>
          <w:szCs w:val="26"/>
          <w14:ligatures w14:val="none"/>
        </w:rPr>
        <w:t>the software product;</w:t>
      </w:r>
    </w:p>
    <w:p w14:paraId="0F87A180" w14:textId="26FB627D" w:rsidR="003D58CA" w:rsidRPr="007E4C66" w:rsidRDefault="0069773C"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ability to</w:t>
      </w:r>
      <w:r w:rsidR="003D58CA" w:rsidRPr="007E4C66">
        <w:rPr>
          <w:rFonts w:eastAsia="Times New Roman" w:cs="Franklin Gothic Book"/>
          <w:kern w:val="24"/>
          <w:sz w:val="26"/>
          <w:szCs w:val="26"/>
          <w14:ligatures w14:val="none"/>
        </w:rPr>
        <w:t xml:space="preserve"> download an application (e.g., mobile, desktop, tablet) that provides access to the vendor's remote access software</w:t>
      </w:r>
      <w:r w:rsidRPr="007E4C66">
        <w:rPr>
          <w:rFonts w:eastAsia="Times New Roman" w:cs="Franklin Gothic Book"/>
          <w:kern w:val="24"/>
          <w:sz w:val="26"/>
          <w:szCs w:val="26"/>
          <w14:ligatures w14:val="none"/>
        </w:rPr>
        <w:t xml:space="preserve"> but provides no </w:t>
      </w:r>
      <w:r w:rsidR="003D58CA" w:rsidRPr="007E4C66">
        <w:rPr>
          <w:rFonts w:eastAsia="Times New Roman" w:cs="Franklin Gothic Book"/>
          <w:kern w:val="24"/>
          <w:sz w:val="26"/>
          <w:szCs w:val="26"/>
          <w14:ligatures w14:val="none"/>
        </w:rPr>
        <w:t>offline functionality for the user; and</w:t>
      </w:r>
    </w:p>
    <w:p w14:paraId="0B432AFD" w14:textId="3EB4605A"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ability to create 3D renderings of a building or structure that can be downloaded or shared via email.</w:t>
      </w:r>
    </w:p>
    <w:p w14:paraId="09CB502E" w14:textId="1A347200" w:rsidR="003D58CA" w:rsidRPr="007E4C66" w:rsidRDefault="003D58CA"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Vendor's non-itemized offering is the sale of remote access software, providing users with the following:</w:t>
      </w:r>
    </w:p>
    <w:p w14:paraId="2CC20AAE" w14:textId="64BDD087"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 xml:space="preserve">The right to </w:t>
      </w:r>
      <w:r w:rsidR="0069773C" w:rsidRPr="007E4C66">
        <w:rPr>
          <w:rFonts w:eastAsia="Times New Roman" w:cs="Franklin Gothic Book"/>
          <w:kern w:val="24"/>
          <w:sz w:val="26"/>
          <w:szCs w:val="26"/>
          <w14:ligatures w14:val="none"/>
        </w:rPr>
        <w:t xml:space="preserve">remote </w:t>
      </w:r>
      <w:r w:rsidRPr="007E4C66">
        <w:rPr>
          <w:rFonts w:eastAsia="Times New Roman" w:cs="Franklin Gothic Book"/>
          <w:kern w:val="24"/>
          <w:sz w:val="26"/>
          <w:szCs w:val="26"/>
          <w14:ligatures w14:val="none"/>
        </w:rPr>
        <w:t xml:space="preserve">use </w:t>
      </w:r>
      <w:r w:rsidR="0069773C" w:rsidRPr="007E4C66">
        <w:rPr>
          <w:rFonts w:eastAsia="Times New Roman" w:cs="Franklin Gothic Book"/>
          <w:kern w:val="24"/>
          <w:sz w:val="26"/>
          <w:szCs w:val="26"/>
          <w14:ligatures w14:val="none"/>
        </w:rPr>
        <w:t xml:space="preserve">of </w:t>
      </w:r>
      <w:r w:rsidRPr="007E4C66">
        <w:rPr>
          <w:rFonts w:eastAsia="Times New Roman" w:cs="Franklin Gothic Book"/>
          <w:kern w:val="24"/>
          <w:sz w:val="26"/>
          <w:szCs w:val="26"/>
          <w14:ligatures w14:val="none"/>
        </w:rPr>
        <w:t>the software product;</w:t>
      </w:r>
    </w:p>
    <w:p w14:paraId="4953D596" w14:textId="0A833D6A" w:rsidR="003D58CA" w:rsidRPr="007E4C66" w:rsidRDefault="0069773C"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ability to</w:t>
      </w:r>
      <w:r w:rsidR="003D58CA" w:rsidRPr="007E4C66">
        <w:rPr>
          <w:rFonts w:eastAsia="Times New Roman" w:cs="Franklin Gothic Book"/>
          <w:kern w:val="24"/>
          <w:sz w:val="26"/>
          <w:szCs w:val="26"/>
          <w14:ligatures w14:val="none"/>
        </w:rPr>
        <w:t xml:space="preserve"> download an application (e.g., mobile, desktop, tablet) that provides access to the vendor's remote access software. The downloaded application includes various offline functionalities when not connected to the vendor's platform, such as:</w:t>
      </w:r>
    </w:p>
    <w:p w14:paraId="4BC09E7D" w14:textId="46E53F42" w:rsidR="003D58CA" w:rsidRPr="007E4C66" w:rsidRDefault="003D58CA" w:rsidP="00C55420">
      <w:pPr>
        <w:pStyle w:val="ListParagraph"/>
        <w:numPr>
          <w:ilvl w:val="5"/>
          <w:numId w:val="2"/>
        </w:numPr>
        <w:ind w:left="1440"/>
        <w:rPr>
          <w:sz w:val="26"/>
          <w:szCs w:val="26"/>
        </w:rPr>
      </w:pPr>
      <w:r w:rsidRPr="007E4C66">
        <w:rPr>
          <w:rFonts w:eastAsia="Times New Roman" w:cs="Franklin Gothic Book"/>
          <w:kern w:val="0"/>
          <w:sz w:val="26"/>
          <w:szCs w:val="26"/>
          <w14:ligatures w14:val="none"/>
        </w:rPr>
        <w:t>The ability for the user to take pictures within the application installed on their device;</w:t>
      </w:r>
    </w:p>
    <w:p w14:paraId="3BED2FE2" w14:textId="77B3C445" w:rsidR="003D58CA" w:rsidRPr="007E4C66" w:rsidRDefault="003D58CA" w:rsidP="00C55420">
      <w:pPr>
        <w:pStyle w:val="ListParagraph"/>
        <w:numPr>
          <w:ilvl w:val="5"/>
          <w:numId w:val="2"/>
        </w:numPr>
        <w:ind w:left="1440"/>
        <w:rPr>
          <w:sz w:val="26"/>
          <w:szCs w:val="26"/>
        </w:rPr>
      </w:pPr>
      <w:r w:rsidRPr="007E4C66">
        <w:rPr>
          <w:rFonts w:eastAsia="Times New Roman" w:cs="Franklin Gothic Book"/>
          <w:kern w:val="0"/>
          <w:sz w:val="26"/>
          <w:szCs w:val="26"/>
          <w14:ligatures w14:val="none"/>
        </w:rPr>
        <w:lastRenderedPageBreak/>
        <w:t>Data storage within the user's device; and</w:t>
      </w:r>
    </w:p>
    <w:p w14:paraId="57663E0E" w14:textId="423761C4" w:rsidR="003D58CA" w:rsidRPr="007E4C66" w:rsidRDefault="003D58CA" w:rsidP="00C55420">
      <w:pPr>
        <w:pStyle w:val="ListParagraph"/>
        <w:numPr>
          <w:ilvl w:val="5"/>
          <w:numId w:val="2"/>
        </w:numPr>
        <w:ind w:left="1440"/>
        <w:rPr>
          <w:sz w:val="26"/>
          <w:szCs w:val="26"/>
        </w:rPr>
      </w:pPr>
      <w:r w:rsidRPr="007E4C66">
        <w:rPr>
          <w:rFonts w:eastAsia="Times New Roman" w:cs="Franklin Gothic Book"/>
          <w:kern w:val="0"/>
          <w:sz w:val="26"/>
          <w:szCs w:val="26"/>
          <w14:ligatures w14:val="none"/>
        </w:rPr>
        <w:t>Geolocation tracking features, such as:</w:t>
      </w:r>
    </w:p>
    <w:p w14:paraId="7C8BDA52" w14:textId="1B3061EC" w:rsidR="003D58CA" w:rsidRPr="007E4C66" w:rsidRDefault="003D58CA" w:rsidP="00C55420">
      <w:pPr>
        <w:pStyle w:val="ListParagraph"/>
        <w:numPr>
          <w:ilvl w:val="6"/>
          <w:numId w:val="2"/>
        </w:numPr>
        <w:ind w:left="1800"/>
        <w:rPr>
          <w:sz w:val="26"/>
          <w:szCs w:val="26"/>
        </w:rPr>
      </w:pPr>
      <w:r w:rsidRPr="007E4C66">
        <w:rPr>
          <w:rFonts w:eastAsia="Times New Roman" w:cs="Franklin Gothic Book"/>
          <w:kern w:val="0"/>
          <w:sz w:val="26"/>
          <w:szCs w:val="26"/>
          <w14:ligatures w14:val="none"/>
        </w:rPr>
        <w:t>Location history logging</w:t>
      </w:r>
    </w:p>
    <w:p w14:paraId="539AE882" w14:textId="0317E553" w:rsidR="003D58CA" w:rsidRPr="007E4C66" w:rsidRDefault="003D58CA" w:rsidP="00C55420">
      <w:pPr>
        <w:pStyle w:val="ListParagraph"/>
        <w:numPr>
          <w:ilvl w:val="6"/>
          <w:numId w:val="2"/>
        </w:numPr>
        <w:ind w:left="1800"/>
        <w:rPr>
          <w:sz w:val="26"/>
          <w:szCs w:val="26"/>
        </w:rPr>
      </w:pPr>
      <w:r w:rsidRPr="007E4C66">
        <w:rPr>
          <w:rFonts w:eastAsia="Times New Roman" w:cs="Franklin Gothic Book"/>
          <w:kern w:val="0"/>
          <w:sz w:val="26"/>
          <w:szCs w:val="26"/>
          <w14:ligatures w14:val="none"/>
        </w:rPr>
        <w:t>The ability to tag the location where photos are taken or data is collected; and</w:t>
      </w:r>
    </w:p>
    <w:p w14:paraId="6332882D" w14:textId="2C89D803" w:rsidR="003D58CA" w:rsidRPr="007E4C66" w:rsidRDefault="003D58CA" w:rsidP="00C55420">
      <w:pPr>
        <w:pStyle w:val="ListParagraph"/>
        <w:numPr>
          <w:ilvl w:val="4"/>
          <w:numId w:val="2"/>
        </w:numPr>
        <w:ind w:left="1170"/>
        <w:rPr>
          <w:sz w:val="26"/>
          <w:szCs w:val="26"/>
        </w:rPr>
      </w:pPr>
      <w:r w:rsidRPr="007E4C66">
        <w:rPr>
          <w:rFonts w:eastAsia="Times New Roman" w:cs="Franklin Gothic Book"/>
          <w:kern w:val="24"/>
          <w:sz w:val="26"/>
          <w:szCs w:val="26"/>
          <w14:ligatures w14:val="none"/>
        </w:rPr>
        <w:t>The ability to create 3D renderings of a building or structure that can be downloaded or shared via email.</w:t>
      </w:r>
    </w:p>
    <w:p w14:paraId="1A582128" w14:textId="58524BC2" w:rsidR="003D58CA" w:rsidRPr="007E4C66" w:rsidRDefault="003D58CA" w:rsidP="00C55420">
      <w:pPr>
        <w:pStyle w:val="ListParagraph"/>
        <w:numPr>
          <w:ilvl w:val="3"/>
          <w:numId w:val="2"/>
        </w:numPr>
        <w:ind w:left="720"/>
        <w:rPr>
          <w:sz w:val="26"/>
          <w:szCs w:val="26"/>
        </w:rPr>
      </w:pPr>
      <w:r w:rsidRPr="007E4C66">
        <w:rPr>
          <w:rFonts w:eastAsia="Times New Roman" w:cs="Franklin Gothic Book"/>
          <w:kern w:val="24"/>
          <w:sz w:val="26"/>
          <w:szCs w:val="26"/>
          <w14:ligatures w14:val="none"/>
        </w:rPr>
        <w:t>College Application Platform — Ready for School</w:t>
      </w:r>
    </w:p>
    <w:p w14:paraId="400C72DF" w14:textId="77777777" w:rsidR="003D58CA" w:rsidRPr="007E4C66" w:rsidRDefault="003D58CA" w:rsidP="003D58CA">
      <w:pPr>
        <w:pStyle w:val="ListParagraph"/>
        <w:rPr>
          <w:sz w:val="26"/>
          <w:szCs w:val="26"/>
        </w:rPr>
      </w:pPr>
    </w:p>
    <w:p w14:paraId="71B8E66F" w14:textId="74E94F24"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r w:rsidRPr="007E4C66">
        <w:rPr>
          <w:rFonts w:eastAsia="Times New Roman" w:cs="Franklin Gothic Book"/>
          <w:kern w:val="24"/>
          <w:sz w:val="26"/>
          <w:szCs w:val="26"/>
          <w14:ligatures w14:val="none"/>
        </w:rPr>
        <w:t>The Taxpayer provides an online application platform (Ready for School), which is a SaaS platform. Ready for School is used by schools for two purposes. The first, Best Document Admin (BDA)</w:t>
      </w:r>
      <w:r w:rsidR="0069773C"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 xml:space="preserve"> is for prospective students to send in their application materials and pay deposits. The second, Easy Document Review (EDR)</w:t>
      </w:r>
      <w:r w:rsidR="0069773C"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 xml:space="preserve"> is for the educational institution to review the applications. Each of these functions is a separate SaaS platform used by the school and each is sold for one non</w:t>
      </w:r>
      <w:r w:rsidR="000D3D05"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 xml:space="preserve">itemized price. </w:t>
      </w:r>
    </w:p>
    <w:p w14:paraId="5D6D3120" w14:textId="77777777"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p>
    <w:p w14:paraId="41027BC1" w14:textId="358E027A"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r w:rsidRPr="007E4C66">
        <w:rPr>
          <w:rFonts w:eastAsia="Times New Roman" w:cs="Franklin Gothic Book"/>
          <w:kern w:val="24"/>
          <w:sz w:val="26"/>
          <w:szCs w:val="26"/>
          <w14:ligatures w14:val="none"/>
        </w:rPr>
        <w:t>The Taxpayer summarizes the BDA SaaS platform as comprising four distinct components: (1) Document Processing (for applicants’ applications), (2) Data Hosting (for applicants’ information), (3) Payment Processing (for applicants to pay), and (4) Administrative Tools (for school to view, search, and retrieve applicants’ data), which are sold together for one non</w:t>
      </w:r>
      <w:r w:rsidR="000D3D05"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 xml:space="preserve">itemized price. The Taxpayer asserts that because of the components’ separate functionality, the BDA is not a single product. The Taxpayer argues the component parts are distinct and identifiable products. The Taxpayer argues that the BDA SaaS platform is a bundle because it has four features: document processing, data hosting, payment processing, and administrative tools. The Taxpayer claims that each of the four features is an individual product. Additionally, the Taxpayer argues that the first three components listed above qualify for specific exclusions from tax. The Taxpayer argues the administrative tools, while arguably taxable, have a cost relative to the entire package that is de minimis. Alternatively, the Taxpayer argues the true object of the administrative tools, that consist </w:t>
      </w:r>
      <w:r w:rsidR="0069773C" w:rsidRPr="007E4C66">
        <w:rPr>
          <w:rFonts w:eastAsia="Times New Roman" w:cs="Franklin Gothic Book"/>
          <w:kern w:val="24"/>
          <w:sz w:val="26"/>
          <w:szCs w:val="26"/>
          <w14:ligatures w14:val="none"/>
        </w:rPr>
        <w:t xml:space="preserve">of </w:t>
      </w:r>
      <w:r w:rsidRPr="007E4C66">
        <w:rPr>
          <w:rFonts w:eastAsia="Times New Roman" w:cs="Franklin Gothic Book"/>
          <w:kern w:val="24"/>
          <w:sz w:val="26"/>
          <w:szCs w:val="26"/>
          <w14:ligatures w14:val="none"/>
        </w:rPr>
        <w:t xml:space="preserve">taxable products such as electronic search functionality and data processing, is exempt data processing. Or, alternatively, the administrative tools </w:t>
      </w:r>
      <w:r w:rsidR="0069773C" w:rsidRPr="007E4C66">
        <w:rPr>
          <w:rFonts w:eastAsia="Times New Roman" w:cs="Franklin Gothic Book"/>
          <w:kern w:val="24"/>
          <w:sz w:val="26"/>
          <w:szCs w:val="26"/>
          <w14:ligatures w14:val="none"/>
        </w:rPr>
        <w:t>constitute</w:t>
      </w:r>
      <w:r w:rsidRPr="007E4C66">
        <w:rPr>
          <w:rFonts w:eastAsia="Times New Roman" w:cs="Franklin Gothic Book"/>
          <w:kern w:val="24"/>
          <w:sz w:val="26"/>
          <w:szCs w:val="26"/>
          <w14:ligatures w14:val="none"/>
        </w:rPr>
        <w:t xml:space="preserve"> a bundle and the taxable products are de minimis.</w:t>
      </w:r>
    </w:p>
    <w:p w14:paraId="175280DE" w14:textId="77777777"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p>
    <w:p w14:paraId="532691C0" w14:textId="6ED25B9C"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r w:rsidRPr="007E4C66">
        <w:rPr>
          <w:rFonts w:eastAsia="Times New Roman" w:cs="Franklin Gothic Book"/>
          <w:kern w:val="24"/>
          <w:sz w:val="26"/>
          <w:szCs w:val="26"/>
          <w14:ligatures w14:val="none"/>
        </w:rPr>
        <w:t xml:space="preserve">The second SaaS platform used by schools is the Easy Document Review platform (EDR), which manages the entire application review process online. This platform can be purchased separately from BDA. EDR collects all reviewers’ scores and </w:t>
      </w:r>
      <w:r w:rsidRPr="007E4C66">
        <w:rPr>
          <w:rFonts w:eastAsia="Times New Roman" w:cs="Franklin Gothic Book"/>
          <w:kern w:val="24"/>
          <w:sz w:val="26"/>
          <w:szCs w:val="26"/>
          <w14:ligatures w14:val="none"/>
        </w:rPr>
        <w:lastRenderedPageBreak/>
        <w:t>comments into a single location. Applications are routed to the appropriate department. Built-in search tools make it easy for evaluators to retrieve and compare applications. EDR is customized for each educational institution based on their unique needs. EDR fully integrates several other Ready for School SaaS platforms, including those for potential students to upload letters of recommendation, verify credentials, and solicit prospective students to apply. Customers would pay for each additional platform separately. All data shared between the platforms is automatic. The EDR platform is sold for one non</w:t>
      </w:r>
      <w:r w:rsidR="0069773C"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 xml:space="preserve">itemized price. The Taxpayer argues that EDR is </w:t>
      </w:r>
      <w:r w:rsidR="0069773C" w:rsidRPr="007E4C66">
        <w:rPr>
          <w:rFonts w:eastAsia="Times New Roman" w:cs="Franklin Gothic Book"/>
          <w:kern w:val="24"/>
          <w:sz w:val="26"/>
          <w:szCs w:val="26"/>
          <w14:ligatures w14:val="none"/>
        </w:rPr>
        <w:t xml:space="preserve">a </w:t>
      </w:r>
      <w:r w:rsidRPr="007E4C66">
        <w:rPr>
          <w:rFonts w:eastAsia="Times New Roman" w:cs="Franklin Gothic Book"/>
          <w:kern w:val="24"/>
          <w:sz w:val="26"/>
          <w:szCs w:val="26"/>
          <w14:ligatures w14:val="none"/>
        </w:rPr>
        <w:t>single product</w:t>
      </w:r>
      <w:r w:rsidR="000D3D05" w:rsidRPr="007E4C66">
        <w:rPr>
          <w:rFonts w:eastAsia="Times New Roman" w:cs="Franklin Gothic Book"/>
          <w:kern w:val="24"/>
          <w:sz w:val="26"/>
          <w:szCs w:val="26"/>
          <w14:ligatures w14:val="none"/>
        </w:rPr>
        <w:t xml:space="preserve"> and is </w:t>
      </w:r>
      <w:r w:rsidRPr="007E4C66">
        <w:rPr>
          <w:rFonts w:eastAsia="Times New Roman" w:cs="Franklin Gothic Book"/>
          <w:kern w:val="24"/>
          <w:sz w:val="26"/>
          <w:szCs w:val="26"/>
          <w14:ligatures w14:val="none"/>
        </w:rPr>
        <w:t>exempt as customization of prewritten software.</w:t>
      </w:r>
    </w:p>
    <w:p w14:paraId="09B24912" w14:textId="77777777"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p>
    <w:p w14:paraId="30614FDC" w14:textId="17A9F49C" w:rsidR="003D58CA" w:rsidRPr="007E4C66" w:rsidRDefault="003D58CA" w:rsidP="003D58CA">
      <w:pPr>
        <w:pStyle w:val="ListParagraph"/>
        <w:rPr>
          <w:rFonts w:eastAsia="Times New Roman" w:cs="Franklin Gothic Book"/>
          <w:kern w:val="24"/>
          <w:sz w:val="26"/>
          <w:szCs w:val="26"/>
          <w14:ligatures w14:val="none"/>
        </w:rPr>
      </w:pPr>
      <w:r w:rsidRPr="007E4C66">
        <w:rPr>
          <w:rFonts w:eastAsia="Times New Roman" w:cs="Franklin Gothic Book"/>
          <w:kern w:val="24"/>
          <w:sz w:val="26"/>
          <w:szCs w:val="26"/>
          <w14:ligatures w14:val="none"/>
        </w:rPr>
        <w:t>Whether someone is an employee of the university or a prospective student, they log onto the same Ready for School SaaS platform and have access to all the different platforms — BDA, EDR, or any additional platforms into which the customer has opted into. When Ready for School bills their customers, they itemize their invoices with a price for each individual platform that is integrated into the Ready for School SaaS platform.</w:t>
      </w:r>
    </w:p>
    <w:p w14:paraId="71A079AF" w14:textId="77777777" w:rsidR="003D58CA" w:rsidRPr="007E4C66" w:rsidRDefault="003D58CA" w:rsidP="003D58CA">
      <w:pPr>
        <w:pStyle w:val="ListParagraph"/>
        <w:rPr>
          <w:sz w:val="26"/>
          <w:szCs w:val="26"/>
        </w:rPr>
      </w:pPr>
    </w:p>
    <w:p w14:paraId="408B7D48" w14:textId="2D471092" w:rsidR="003D58CA" w:rsidRPr="007E4C66" w:rsidRDefault="003D58CA" w:rsidP="00C55420">
      <w:pPr>
        <w:pStyle w:val="ListParagraph"/>
        <w:numPr>
          <w:ilvl w:val="3"/>
          <w:numId w:val="2"/>
        </w:numPr>
        <w:ind w:left="720"/>
        <w:rPr>
          <w:sz w:val="26"/>
          <w:szCs w:val="26"/>
        </w:rPr>
      </w:pPr>
      <w:r w:rsidRPr="007E4C66">
        <w:rPr>
          <w:sz w:val="26"/>
          <w:szCs w:val="26"/>
        </w:rPr>
        <w:t xml:space="preserve">Online Banking </w:t>
      </w:r>
      <w:r w:rsidRPr="007E4C66">
        <w:rPr>
          <w:rFonts w:eastAsia="Times New Roman" w:cs="Franklin Gothic Book"/>
          <w:kern w:val="24"/>
          <w:sz w:val="26"/>
          <w:szCs w:val="26"/>
          <w14:ligatures w14:val="none"/>
        </w:rPr>
        <w:t>Platform — GreenThumb</w:t>
      </w:r>
    </w:p>
    <w:p w14:paraId="06CFAF40" w14:textId="77777777" w:rsidR="003D58CA" w:rsidRPr="007E4C66" w:rsidRDefault="003D58CA" w:rsidP="003D58CA">
      <w:pPr>
        <w:pStyle w:val="ListParagraph"/>
        <w:rPr>
          <w:sz w:val="26"/>
          <w:szCs w:val="26"/>
        </w:rPr>
      </w:pPr>
    </w:p>
    <w:p w14:paraId="6FE78B3A" w14:textId="7A9FF6DA"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r w:rsidRPr="007E4C66">
        <w:rPr>
          <w:rFonts w:eastAsia="Times New Roman" w:cs="Franklin Gothic Book"/>
          <w:kern w:val="24"/>
          <w:sz w:val="26"/>
          <w:szCs w:val="26"/>
          <w14:ligatures w14:val="none"/>
        </w:rPr>
        <w:t xml:space="preserve">GreenThumb is an online banking platform built by the Taxpayer that allows financial entities (FT) to provide a variety of features to their customers including: paying bills, accessing electronic account statements, making balance transfers, accessing credit card accounts, checking their available credit, reviewing account data, ordering statements for the preceding year, requesting replacement cards and PIN numbers, updating account contact information, requesting a current credit score, initiating inquiries about payments and transactions, and reporting a lost or stolen card. To provide all these services, the Taxpayer retrieves data from a variety of databases. The Taxpayer maintains a website that hosts and manages the data pulls for each of the FT’s selected options. Each individual FT selects its own preferences and options available for their customers separately. </w:t>
      </w:r>
    </w:p>
    <w:p w14:paraId="20D51F6A" w14:textId="77777777"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p>
    <w:p w14:paraId="2B22FC5A" w14:textId="385B391D"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r w:rsidRPr="007E4C66">
        <w:rPr>
          <w:rFonts w:eastAsia="Times New Roman" w:cs="Franklin Gothic Book"/>
          <w:kern w:val="24"/>
          <w:sz w:val="26"/>
          <w:szCs w:val="26"/>
          <w14:ligatures w14:val="none"/>
        </w:rPr>
        <w:t xml:space="preserve">The Taxpayer provides representative monthly billing statements to the FTs that include: a fee per unique user, a custom programing fee, a monthly maintenance fee, and separate charges for cardholder statement requests and reporting lost/stolen cards. The Taxpayer argues that the GreenThumb platform, is a single product, that qualifies for an exclusion from tax </w:t>
      </w:r>
      <w:r w:rsidR="00FE5163" w:rsidRPr="007E4C66">
        <w:rPr>
          <w:rFonts w:eastAsia="Times New Roman" w:cs="Franklin Gothic Book"/>
          <w:kern w:val="24"/>
          <w:sz w:val="26"/>
          <w:szCs w:val="26"/>
          <w14:ligatures w14:val="none"/>
        </w:rPr>
        <w:t xml:space="preserve">as a </w:t>
      </w:r>
      <w:r w:rsidRPr="007E4C66">
        <w:rPr>
          <w:rFonts w:eastAsia="Times New Roman" w:cs="Franklin Gothic Book"/>
          <w:kern w:val="24"/>
          <w:sz w:val="26"/>
          <w:szCs w:val="26"/>
          <w14:ligatures w14:val="none"/>
        </w:rPr>
        <w:t>payment processing service. The Department has determined that some of the features, if sold alone, would be taxable digital services.</w:t>
      </w:r>
    </w:p>
    <w:p w14:paraId="7837D02C" w14:textId="77777777" w:rsidR="003D58CA" w:rsidRPr="007E4C66" w:rsidRDefault="003D58CA" w:rsidP="003D58CA">
      <w:pPr>
        <w:pStyle w:val="ListParagraph"/>
        <w:autoSpaceDE w:val="0"/>
        <w:autoSpaceDN w:val="0"/>
        <w:adjustRightInd w:val="0"/>
        <w:spacing w:after="0" w:line="276" w:lineRule="auto"/>
        <w:rPr>
          <w:rFonts w:eastAsia="Times New Roman" w:cs="Franklin Gothic Book"/>
          <w:kern w:val="24"/>
          <w:sz w:val="26"/>
          <w:szCs w:val="26"/>
          <w14:ligatures w14:val="none"/>
        </w:rPr>
      </w:pPr>
    </w:p>
    <w:p w14:paraId="4F546C43" w14:textId="362A4A79" w:rsidR="003D58CA" w:rsidRPr="007E4C66" w:rsidRDefault="003D58CA" w:rsidP="00A26D06">
      <w:pPr>
        <w:pStyle w:val="ListParagraph"/>
        <w:rPr>
          <w:sz w:val="26"/>
          <w:szCs w:val="26"/>
        </w:rPr>
      </w:pPr>
      <w:r w:rsidRPr="007E4C66">
        <w:rPr>
          <w:rFonts w:eastAsia="Times New Roman" w:cs="Franklin Gothic Book"/>
          <w:kern w:val="24"/>
          <w:sz w:val="26"/>
          <w:szCs w:val="26"/>
          <w14:ligatures w14:val="none"/>
        </w:rPr>
        <w:t xml:space="preserve">The Taxpayer charges the individual </w:t>
      </w:r>
      <w:r w:rsidR="00FE5163" w:rsidRPr="007E4C66">
        <w:rPr>
          <w:rFonts w:eastAsia="Times New Roman" w:cs="Franklin Gothic Book"/>
          <w:kern w:val="24"/>
          <w:sz w:val="26"/>
          <w:szCs w:val="26"/>
          <w14:ligatures w14:val="none"/>
        </w:rPr>
        <w:t>FT</w:t>
      </w:r>
      <w:r w:rsidRPr="007E4C66">
        <w:rPr>
          <w:rFonts w:eastAsia="Times New Roman" w:cs="Franklin Gothic Book"/>
          <w:kern w:val="24"/>
          <w:sz w:val="26"/>
          <w:szCs w:val="26"/>
          <w14:ligatures w14:val="none"/>
        </w:rPr>
        <w:t>s one non</w:t>
      </w:r>
      <w:r w:rsidR="00FE5163" w:rsidRPr="007E4C66">
        <w:rPr>
          <w:rFonts w:eastAsia="Times New Roman" w:cs="Franklin Gothic Book"/>
          <w:kern w:val="24"/>
          <w:sz w:val="26"/>
          <w:szCs w:val="26"/>
          <w14:ligatures w14:val="none"/>
        </w:rPr>
        <w:t>-</w:t>
      </w:r>
      <w:r w:rsidRPr="007E4C66">
        <w:rPr>
          <w:rFonts w:eastAsia="Times New Roman" w:cs="Franklin Gothic Book"/>
          <w:kern w:val="24"/>
          <w:sz w:val="26"/>
          <w:szCs w:val="26"/>
          <w14:ligatures w14:val="none"/>
        </w:rPr>
        <w:t>itemized, but scalable, priced based on the number of users of the service. The Taxpayer bills for access to GreenThumb, which is an online banking platform. The membership fee per user for GreenThumb includes all the services that comprise the program, such as paying bills, accessing electronic account statements, and making balance transfers. Additionally, the Taxpayer charges separately for services related to GreenThumb, such as custom programing fee, a monthly maintenance fee, and separate charges for cardholder statement requests, and reporting lost/stolen cards.</w:t>
      </w:r>
    </w:p>
    <w:p w14:paraId="2B6A5321" w14:textId="1285F4BF" w:rsidR="008651EE" w:rsidRDefault="00A26D06" w:rsidP="008651EE">
      <w:pPr>
        <w:pStyle w:val="Heading2"/>
      </w:pPr>
      <w:r>
        <w:t>C</w:t>
      </w:r>
      <w:r w:rsidR="008651EE">
        <w:t xml:space="preserve">. </w:t>
      </w:r>
      <w:r w:rsidR="008651EE" w:rsidRPr="009357D0">
        <w:t>Approaches to addressing bundling issues</w:t>
      </w:r>
    </w:p>
    <w:p w14:paraId="4A9DC06B" w14:textId="62FF1838" w:rsidR="003742BA" w:rsidRPr="007E4C66" w:rsidRDefault="003742BA" w:rsidP="003742BA">
      <w:pPr>
        <w:rPr>
          <w:sz w:val="26"/>
          <w:szCs w:val="26"/>
        </w:rPr>
      </w:pPr>
      <w:r w:rsidRPr="007E4C66">
        <w:rPr>
          <w:sz w:val="26"/>
          <w:szCs w:val="26"/>
        </w:rPr>
        <w:t>In researching bundling and gathering information from stakeholders, we identified several current or potential approaches to bundling. These approaches might be considered by states for use in the digital products context.</w:t>
      </w:r>
    </w:p>
    <w:p w14:paraId="74350375" w14:textId="51ABF72C" w:rsidR="003742BA" w:rsidRDefault="003742BA" w:rsidP="003742BA">
      <w:pPr>
        <w:pStyle w:val="Heading3"/>
      </w:pPr>
      <w:proofErr w:type="spellStart"/>
      <w:r w:rsidRPr="003742BA">
        <w:t>i</w:t>
      </w:r>
      <w:proofErr w:type="spellEnd"/>
      <w:r w:rsidRPr="003742BA">
        <w:t>.</w:t>
      </w:r>
      <w:r>
        <w:t xml:space="preserve"> </w:t>
      </w:r>
      <w:r>
        <w:tab/>
        <w:t>Simple Tainting Rule</w:t>
      </w:r>
    </w:p>
    <w:p w14:paraId="5E63450F" w14:textId="737A4D32" w:rsidR="003742BA" w:rsidRPr="007E4C66" w:rsidRDefault="00FE5163" w:rsidP="003742BA">
      <w:pPr>
        <w:rPr>
          <w:sz w:val="26"/>
          <w:szCs w:val="26"/>
        </w:rPr>
      </w:pPr>
      <w:r w:rsidRPr="007E4C66">
        <w:rPr>
          <w:sz w:val="26"/>
          <w:szCs w:val="26"/>
        </w:rPr>
        <w:t>The presence of a</w:t>
      </w:r>
      <w:r w:rsidR="003742BA" w:rsidRPr="007E4C66">
        <w:rPr>
          <w:sz w:val="26"/>
          <w:szCs w:val="26"/>
        </w:rPr>
        <w:t>ny taxable component in a bundle, typically two or more products sold for a single price, means the whole bundle is taxable.</w:t>
      </w:r>
    </w:p>
    <w:p w14:paraId="215D2B90" w14:textId="77777777" w:rsidR="003742BA" w:rsidRPr="007E4C66" w:rsidRDefault="003742BA" w:rsidP="003742BA">
      <w:pPr>
        <w:rPr>
          <w:sz w:val="26"/>
          <w:szCs w:val="26"/>
        </w:rPr>
      </w:pPr>
      <w:r w:rsidRPr="007E4C66">
        <w:rPr>
          <w:sz w:val="26"/>
          <w:szCs w:val="26"/>
        </w:rPr>
        <w:t xml:space="preserve">Pros: </w:t>
      </w:r>
    </w:p>
    <w:p w14:paraId="0E5D085C" w14:textId="77777777" w:rsidR="003742BA" w:rsidRPr="007E4C66" w:rsidRDefault="003742BA" w:rsidP="00C55420">
      <w:pPr>
        <w:pStyle w:val="ListParagraph"/>
        <w:numPr>
          <w:ilvl w:val="0"/>
          <w:numId w:val="11"/>
        </w:numPr>
        <w:rPr>
          <w:sz w:val="26"/>
          <w:szCs w:val="26"/>
        </w:rPr>
      </w:pPr>
      <w:r w:rsidRPr="007E4C66">
        <w:rPr>
          <w:sz w:val="26"/>
          <w:szCs w:val="26"/>
        </w:rPr>
        <w:t>Easy for sellers to apply and explain to purchasers.</w:t>
      </w:r>
    </w:p>
    <w:p w14:paraId="22166B1E" w14:textId="77777777" w:rsidR="003742BA" w:rsidRPr="007E4C66" w:rsidRDefault="003742BA" w:rsidP="00C55420">
      <w:pPr>
        <w:pStyle w:val="ListParagraph"/>
        <w:numPr>
          <w:ilvl w:val="0"/>
          <w:numId w:val="11"/>
        </w:numPr>
        <w:rPr>
          <w:sz w:val="26"/>
          <w:szCs w:val="26"/>
        </w:rPr>
      </w:pPr>
      <w:r w:rsidRPr="007E4C66">
        <w:rPr>
          <w:sz w:val="26"/>
          <w:szCs w:val="26"/>
        </w:rPr>
        <w:t>Less audit risk.</w:t>
      </w:r>
    </w:p>
    <w:p w14:paraId="5118327E" w14:textId="77777777" w:rsidR="003742BA" w:rsidRPr="007E4C66" w:rsidRDefault="003742BA" w:rsidP="003742BA">
      <w:pPr>
        <w:rPr>
          <w:sz w:val="26"/>
          <w:szCs w:val="26"/>
        </w:rPr>
      </w:pPr>
      <w:r w:rsidRPr="007E4C66">
        <w:rPr>
          <w:sz w:val="26"/>
          <w:szCs w:val="26"/>
        </w:rPr>
        <w:t xml:space="preserve">Cons: </w:t>
      </w:r>
    </w:p>
    <w:p w14:paraId="2855E863" w14:textId="77777777" w:rsidR="003742BA" w:rsidRPr="007E4C66" w:rsidRDefault="003742BA" w:rsidP="00C55420">
      <w:pPr>
        <w:pStyle w:val="ListParagraph"/>
        <w:numPr>
          <w:ilvl w:val="0"/>
          <w:numId w:val="5"/>
        </w:numPr>
        <w:rPr>
          <w:sz w:val="26"/>
          <w:szCs w:val="26"/>
        </w:rPr>
      </w:pPr>
      <w:r w:rsidRPr="007E4C66">
        <w:rPr>
          <w:sz w:val="26"/>
          <w:szCs w:val="26"/>
        </w:rPr>
        <w:t>Purchasers may push back and not want to pay tax on the full amount.</w:t>
      </w:r>
    </w:p>
    <w:p w14:paraId="45769FF9" w14:textId="20DA3094" w:rsidR="003D1067" w:rsidRPr="007E4C66" w:rsidRDefault="003742BA" w:rsidP="00C55420">
      <w:pPr>
        <w:pStyle w:val="ListParagraph"/>
        <w:numPr>
          <w:ilvl w:val="0"/>
          <w:numId w:val="5"/>
        </w:numPr>
        <w:rPr>
          <w:sz w:val="26"/>
          <w:szCs w:val="26"/>
        </w:rPr>
      </w:pPr>
      <w:r w:rsidRPr="007E4C66">
        <w:rPr>
          <w:sz w:val="26"/>
          <w:szCs w:val="26"/>
        </w:rPr>
        <w:t>May negatively impact businesses or industries that state</w:t>
      </w:r>
      <w:r w:rsidR="003D1067" w:rsidRPr="007E4C66">
        <w:rPr>
          <w:sz w:val="26"/>
          <w:szCs w:val="26"/>
        </w:rPr>
        <w:t>s</w:t>
      </w:r>
      <w:r w:rsidRPr="007E4C66">
        <w:rPr>
          <w:sz w:val="26"/>
          <w:szCs w:val="26"/>
        </w:rPr>
        <w:t xml:space="preserve"> want </w:t>
      </w:r>
      <w:r w:rsidR="003D1067" w:rsidRPr="007E4C66">
        <w:rPr>
          <w:sz w:val="26"/>
          <w:szCs w:val="26"/>
        </w:rPr>
        <w:t>to preference</w:t>
      </w:r>
      <w:r w:rsidRPr="007E4C66">
        <w:rPr>
          <w:sz w:val="26"/>
          <w:szCs w:val="26"/>
        </w:rPr>
        <w:t>, e.g., agriculture or health care services.</w:t>
      </w:r>
    </w:p>
    <w:p w14:paraId="588ADF4B" w14:textId="77777777" w:rsidR="003D1067" w:rsidRPr="007E4C66" w:rsidRDefault="003D1067" w:rsidP="003D1067">
      <w:pPr>
        <w:pStyle w:val="ListParagraph"/>
        <w:rPr>
          <w:sz w:val="26"/>
          <w:szCs w:val="26"/>
        </w:rPr>
      </w:pPr>
    </w:p>
    <w:p w14:paraId="72C50C27" w14:textId="4CE04748" w:rsidR="003742BA" w:rsidRPr="007E4C66" w:rsidRDefault="003742BA" w:rsidP="003742BA">
      <w:pPr>
        <w:pStyle w:val="ListParagraph"/>
        <w:ind w:left="0"/>
        <w:rPr>
          <w:sz w:val="26"/>
          <w:szCs w:val="26"/>
        </w:rPr>
      </w:pPr>
      <w:r w:rsidRPr="007E4C66">
        <w:rPr>
          <w:sz w:val="26"/>
          <w:szCs w:val="26"/>
        </w:rPr>
        <w:t xml:space="preserve">Stakeholder comments: </w:t>
      </w:r>
      <w:r w:rsidR="003D1067" w:rsidRPr="007E4C66">
        <w:rPr>
          <w:sz w:val="26"/>
          <w:szCs w:val="26"/>
        </w:rPr>
        <w:t>Positions on this approach were polarized, s</w:t>
      </w:r>
      <w:r w:rsidRPr="007E4C66">
        <w:rPr>
          <w:sz w:val="26"/>
          <w:szCs w:val="26"/>
        </w:rPr>
        <w:t xml:space="preserve">ome </w:t>
      </w:r>
      <w:r w:rsidR="003D1067" w:rsidRPr="007E4C66">
        <w:rPr>
          <w:sz w:val="26"/>
          <w:szCs w:val="26"/>
        </w:rPr>
        <w:t xml:space="preserve">stakeholders </w:t>
      </w:r>
      <w:r w:rsidRPr="007E4C66">
        <w:rPr>
          <w:sz w:val="26"/>
          <w:szCs w:val="26"/>
        </w:rPr>
        <w:t>like</w:t>
      </w:r>
      <w:r w:rsidR="003D1067" w:rsidRPr="007E4C66">
        <w:rPr>
          <w:sz w:val="26"/>
          <w:szCs w:val="26"/>
        </w:rPr>
        <w:t>d</w:t>
      </w:r>
      <w:r w:rsidRPr="007E4C66">
        <w:rPr>
          <w:sz w:val="26"/>
          <w:szCs w:val="26"/>
        </w:rPr>
        <w:t xml:space="preserve"> </w:t>
      </w:r>
      <w:r w:rsidR="003D1067" w:rsidRPr="007E4C66">
        <w:rPr>
          <w:sz w:val="26"/>
          <w:szCs w:val="26"/>
        </w:rPr>
        <w:t xml:space="preserve">it </w:t>
      </w:r>
      <w:r w:rsidRPr="007E4C66">
        <w:rPr>
          <w:sz w:val="26"/>
          <w:szCs w:val="26"/>
        </w:rPr>
        <w:t xml:space="preserve">and others </w:t>
      </w:r>
      <w:r w:rsidR="003D1067" w:rsidRPr="007E4C66">
        <w:rPr>
          <w:sz w:val="26"/>
          <w:szCs w:val="26"/>
        </w:rPr>
        <w:t>did not</w:t>
      </w:r>
      <w:r w:rsidRPr="007E4C66">
        <w:rPr>
          <w:sz w:val="26"/>
          <w:szCs w:val="26"/>
        </w:rPr>
        <w:t>.</w:t>
      </w:r>
      <w:r w:rsidR="003D1067" w:rsidRPr="007E4C66">
        <w:rPr>
          <w:sz w:val="26"/>
          <w:szCs w:val="26"/>
        </w:rPr>
        <w:t xml:space="preserve"> </w:t>
      </w:r>
      <w:r w:rsidRPr="007E4C66">
        <w:rPr>
          <w:sz w:val="26"/>
          <w:szCs w:val="26"/>
        </w:rPr>
        <w:t>It seems to depend on the nature of a taxpayer’s business model and industry.</w:t>
      </w:r>
    </w:p>
    <w:p w14:paraId="0B4D73C8" w14:textId="26BC1FF5" w:rsidR="003742BA" w:rsidRDefault="003742BA" w:rsidP="003742BA">
      <w:pPr>
        <w:pStyle w:val="Heading3"/>
      </w:pPr>
      <w:r w:rsidRPr="003742BA">
        <w:t>ii.</w:t>
      </w:r>
      <w:r>
        <w:t xml:space="preserve"> </w:t>
      </w:r>
      <w:r>
        <w:tab/>
        <w:t>De minimis Rule</w:t>
      </w:r>
    </w:p>
    <w:p w14:paraId="78B5770F" w14:textId="28802A6F" w:rsidR="003D1067" w:rsidRPr="007E4C66" w:rsidRDefault="003D1067" w:rsidP="003742BA">
      <w:pPr>
        <w:rPr>
          <w:sz w:val="26"/>
          <w:szCs w:val="26"/>
        </w:rPr>
      </w:pPr>
      <w:r w:rsidRPr="007E4C66">
        <w:rPr>
          <w:sz w:val="26"/>
          <w:szCs w:val="26"/>
        </w:rPr>
        <w:t>The presence of taxable components</w:t>
      </w:r>
      <w:r w:rsidR="006C390A" w:rsidRPr="007E4C66">
        <w:rPr>
          <w:sz w:val="26"/>
          <w:szCs w:val="26"/>
        </w:rPr>
        <w:t xml:space="preserve"> does not make the entire bundle taxable if</w:t>
      </w:r>
      <w:r w:rsidRPr="007E4C66">
        <w:rPr>
          <w:sz w:val="26"/>
          <w:szCs w:val="26"/>
        </w:rPr>
        <w:t xml:space="preserve"> </w:t>
      </w:r>
      <w:r w:rsidR="006C390A" w:rsidRPr="007E4C66">
        <w:rPr>
          <w:sz w:val="26"/>
          <w:szCs w:val="26"/>
        </w:rPr>
        <w:t>the taxable components</w:t>
      </w:r>
      <w:r w:rsidRPr="007E4C66">
        <w:rPr>
          <w:sz w:val="26"/>
          <w:szCs w:val="26"/>
        </w:rPr>
        <w:t xml:space="preserve"> do not exceed some threshold of the cost or purchase price of the total bundle.</w:t>
      </w:r>
    </w:p>
    <w:p w14:paraId="63995A89" w14:textId="00CDF826" w:rsidR="003742BA" w:rsidRPr="007E4C66" w:rsidRDefault="003742BA" w:rsidP="003742BA">
      <w:pPr>
        <w:rPr>
          <w:sz w:val="26"/>
          <w:szCs w:val="26"/>
        </w:rPr>
      </w:pPr>
      <w:r w:rsidRPr="007E4C66">
        <w:rPr>
          <w:sz w:val="26"/>
          <w:szCs w:val="26"/>
        </w:rPr>
        <w:t xml:space="preserve">A de minimis rule might be viewed as an exception to the tainting rule, since a tainting rule will mean that tax is applied to the total sales price because at least one item in the bundle is </w:t>
      </w:r>
      <w:r w:rsidRPr="007E4C66">
        <w:rPr>
          <w:sz w:val="26"/>
          <w:szCs w:val="26"/>
        </w:rPr>
        <w:lastRenderedPageBreak/>
        <w:t>taxable. As noted above, if a tainting rule is universally applied, it may have negative impacts or create results that seem unfair or contrary to legislative</w:t>
      </w:r>
      <w:r w:rsidR="003D1067" w:rsidRPr="007E4C66">
        <w:rPr>
          <w:sz w:val="26"/>
          <w:szCs w:val="26"/>
        </w:rPr>
        <w:t xml:space="preserve"> or</w:t>
      </w:r>
      <w:r w:rsidRPr="007E4C66">
        <w:rPr>
          <w:sz w:val="26"/>
          <w:szCs w:val="26"/>
        </w:rPr>
        <w:t xml:space="preserve"> state policy prerogatives. </w:t>
      </w:r>
    </w:p>
    <w:p w14:paraId="0D3312B6" w14:textId="77777777" w:rsidR="003742BA" w:rsidRPr="007E4C66" w:rsidRDefault="003742BA" w:rsidP="003742BA">
      <w:pPr>
        <w:rPr>
          <w:sz w:val="26"/>
          <w:szCs w:val="26"/>
        </w:rPr>
      </w:pPr>
      <w:r w:rsidRPr="007E4C66">
        <w:rPr>
          <w:sz w:val="26"/>
          <w:szCs w:val="26"/>
        </w:rPr>
        <w:t xml:space="preserve">Imagine, for example, a nontaxable car wash service where the tires are treated with Armor All®. The Armor All® is not washed off, it goes down the road with the car. Under these facts, taxable TPP – the Armor All® - was transferred with the service, making the entire charge taxable. Whereas a competing carwash that does not treat tires with Armor All® will have no obligation to collect tax on the sale. Applying a de minimis rule can help to ameliorate some of these impacts by, for example, allowing for a determination that the cost of the Armor All® compared to all the other costs that the seller incurs to provide the car wash service, such as the water, soap, and labor, is de minimis and not enough to make the otherwise nontaxable service taxable. </w:t>
      </w:r>
    </w:p>
    <w:p w14:paraId="7B619AE4" w14:textId="17CBCEEC" w:rsidR="003742BA" w:rsidRPr="007E4C66" w:rsidRDefault="003742BA" w:rsidP="003742BA">
      <w:pPr>
        <w:rPr>
          <w:sz w:val="26"/>
          <w:szCs w:val="26"/>
        </w:rPr>
      </w:pPr>
      <w:r w:rsidRPr="007E4C66">
        <w:rPr>
          <w:sz w:val="26"/>
          <w:szCs w:val="26"/>
        </w:rPr>
        <w:t>However, a de minimis rule can be measured in different ways, by relative costs of the taxable and nontaxable portions (as in the above example), by cost of the taxable portions relative to the total purchase price, by an incidental standard, or other some other objective or subjective criteria. A de minimis rule can promote reasonable outcomes that states and taxpayers can agree to. The weakness is that it is hard to define exactly what qualifies as de minimis.</w:t>
      </w:r>
    </w:p>
    <w:p w14:paraId="6A8027AB" w14:textId="77777777" w:rsidR="003742BA" w:rsidRPr="007E4C66" w:rsidRDefault="003742BA" w:rsidP="003742BA">
      <w:pPr>
        <w:rPr>
          <w:sz w:val="26"/>
          <w:szCs w:val="26"/>
        </w:rPr>
      </w:pPr>
      <w:r w:rsidRPr="007E4C66">
        <w:rPr>
          <w:sz w:val="26"/>
          <w:szCs w:val="26"/>
        </w:rPr>
        <w:t>In addition, here are questions that arise when thinking about using a de minimis rule:</w:t>
      </w:r>
    </w:p>
    <w:p w14:paraId="517EBB4A" w14:textId="77777777" w:rsidR="003742BA" w:rsidRPr="007E4C66" w:rsidRDefault="003742BA" w:rsidP="00C55420">
      <w:pPr>
        <w:pStyle w:val="ListParagraph"/>
        <w:numPr>
          <w:ilvl w:val="0"/>
          <w:numId w:val="14"/>
        </w:numPr>
        <w:ind w:left="720"/>
        <w:rPr>
          <w:sz w:val="26"/>
          <w:szCs w:val="26"/>
        </w:rPr>
      </w:pPr>
      <w:r w:rsidRPr="007E4C66">
        <w:rPr>
          <w:sz w:val="26"/>
          <w:szCs w:val="26"/>
        </w:rPr>
        <w:t xml:space="preserve">Can taxability be determined based on verifiable cost information of the bundled products? </w:t>
      </w:r>
    </w:p>
    <w:p w14:paraId="05E3DC81" w14:textId="77777777" w:rsidR="003742BA" w:rsidRPr="007E4C66" w:rsidRDefault="003742BA" w:rsidP="00C55420">
      <w:pPr>
        <w:pStyle w:val="ListParagraph"/>
        <w:numPr>
          <w:ilvl w:val="0"/>
          <w:numId w:val="14"/>
        </w:numPr>
        <w:ind w:left="720"/>
        <w:rPr>
          <w:sz w:val="26"/>
          <w:szCs w:val="26"/>
        </w:rPr>
      </w:pPr>
      <w:r w:rsidRPr="007E4C66">
        <w:rPr>
          <w:sz w:val="26"/>
          <w:szCs w:val="26"/>
        </w:rPr>
        <w:t>What costs control – input or output costs? May be harder to determine in the digital realm when there are fewer comparison products available.</w:t>
      </w:r>
    </w:p>
    <w:p w14:paraId="118EF371" w14:textId="00440329" w:rsidR="003742BA" w:rsidRPr="007E4C66" w:rsidRDefault="003742BA" w:rsidP="00C55420">
      <w:pPr>
        <w:pStyle w:val="ListParagraph"/>
        <w:numPr>
          <w:ilvl w:val="0"/>
          <w:numId w:val="14"/>
        </w:numPr>
        <w:ind w:left="720"/>
        <w:rPr>
          <w:sz w:val="26"/>
          <w:szCs w:val="26"/>
        </w:rPr>
      </w:pPr>
      <w:r w:rsidRPr="007E4C66">
        <w:rPr>
          <w:sz w:val="26"/>
          <w:szCs w:val="26"/>
        </w:rPr>
        <w:t>What should the threshold be? Is 5-10</w:t>
      </w:r>
      <w:r w:rsidR="006136B8" w:rsidRPr="007E4C66">
        <w:rPr>
          <w:sz w:val="26"/>
          <w:szCs w:val="26"/>
        </w:rPr>
        <w:t xml:space="preserve"> percent</w:t>
      </w:r>
      <w:r w:rsidRPr="007E4C66">
        <w:rPr>
          <w:sz w:val="26"/>
          <w:szCs w:val="26"/>
        </w:rPr>
        <w:t xml:space="preserve"> too low to make a difference? Is 20</w:t>
      </w:r>
      <w:r w:rsidR="006136B8" w:rsidRPr="007E4C66">
        <w:rPr>
          <w:sz w:val="26"/>
          <w:szCs w:val="26"/>
        </w:rPr>
        <w:t xml:space="preserve"> percent</w:t>
      </w:r>
      <w:r w:rsidRPr="007E4C66">
        <w:rPr>
          <w:sz w:val="26"/>
          <w:szCs w:val="26"/>
        </w:rPr>
        <w:t xml:space="preserve"> better to allow taxpayers and tax administrators to feel more comfortable about the outcome?</w:t>
      </w:r>
    </w:p>
    <w:p w14:paraId="341E00D5" w14:textId="3DE4DDDB" w:rsidR="003742BA" w:rsidRPr="007E4C66" w:rsidRDefault="003742BA" w:rsidP="00C55420">
      <w:pPr>
        <w:pStyle w:val="ListParagraph"/>
        <w:numPr>
          <w:ilvl w:val="0"/>
          <w:numId w:val="14"/>
        </w:numPr>
        <w:ind w:left="720"/>
        <w:rPr>
          <w:sz w:val="26"/>
          <w:szCs w:val="26"/>
        </w:rPr>
      </w:pPr>
      <w:r w:rsidRPr="007E4C66">
        <w:rPr>
          <w:sz w:val="26"/>
          <w:szCs w:val="26"/>
        </w:rPr>
        <w:t xml:space="preserve">What is the philosophy behind </w:t>
      </w:r>
      <w:r w:rsidR="006C390A" w:rsidRPr="007E4C66">
        <w:rPr>
          <w:sz w:val="26"/>
          <w:szCs w:val="26"/>
        </w:rPr>
        <w:t>the</w:t>
      </w:r>
      <w:r w:rsidRPr="007E4C66">
        <w:rPr>
          <w:sz w:val="26"/>
          <w:szCs w:val="26"/>
        </w:rPr>
        <w:t xml:space="preserve"> de minimis rule? Does the use of a de minimis rule make it difficult for a bundle to escape taxation once something taxable is included in the bundle?</w:t>
      </w:r>
      <w:r w:rsidR="006C390A" w:rsidRPr="007E4C66">
        <w:rPr>
          <w:sz w:val="26"/>
          <w:szCs w:val="26"/>
        </w:rPr>
        <w:t xml:space="preserve"> If so, the threshold should be low.</w:t>
      </w:r>
      <w:r w:rsidRPr="007E4C66">
        <w:rPr>
          <w:sz w:val="26"/>
          <w:szCs w:val="26"/>
        </w:rPr>
        <w:t xml:space="preserve"> Does a de minimis rule create fairness? If so, </w:t>
      </w:r>
      <w:r w:rsidR="006C390A" w:rsidRPr="007E4C66">
        <w:rPr>
          <w:sz w:val="26"/>
          <w:szCs w:val="26"/>
        </w:rPr>
        <w:t>the threshold should be</w:t>
      </w:r>
      <w:r w:rsidRPr="007E4C66">
        <w:rPr>
          <w:sz w:val="26"/>
          <w:szCs w:val="26"/>
        </w:rPr>
        <w:t xml:space="preserve"> high</w:t>
      </w:r>
      <w:r w:rsidR="006C390A" w:rsidRPr="007E4C66">
        <w:rPr>
          <w:sz w:val="26"/>
          <w:szCs w:val="26"/>
        </w:rPr>
        <w:t>er so that taxing the entire bundle does not</w:t>
      </w:r>
      <w:r w:rsidRPr="007E4C66">
        <w:rPr>
          <w:sz w:val="26"/>
          <w:szCs w:val="26"/>
        </w:rPr>
        <w:t xml:space="preserve"> seem unreasonable</w:t>
      </w:r>
      <w:r w:rsidR="006C390A" w:rsidRPr="007E4C66">
        <w:rPr>
          <w:sz w:val="26"/>
          <w:szCs w:val="26"/>
        </w:rPr>
        <w:t>.</w:t>
      </w:r>
    </w:p>
    <w:p w14:paraId="7E12A97E" w14:textId="77777777" w:rsidR="003742BA" w:rsidRPr="007E4C66" w:rsidRDefault="003742BA" w:rsidP="003742BA">
      <w:pPr>
        <w:rPr>
          <w:sz w:val="26"/>
          <w:szCs w:val="26"/>
        </w:rPr>
      </w:pPr>
      <w:r w:rsidRPr="007E4C66">
        <w:rPr>
          <w:sz w:val="26"/>
          <w:szCs w:val="26"/>
        </w:rPr>
        <w:t xml:space="preserve">Pros: </w:t>
      </w:r>
    </w:p>
    <w:p w14:paraId="2CFD36DE" w14:textId="77777777" w:rsidR="003742BA" w:rsidRPr="007E4C66" w:rsidRDefault="003742BA" w:rsidP="00C55420">
      <w:pPr>
        <w:pStyle w:val="ListParagraph"/>
        <w:numPr>
          <w:ilvl w:val="0"/>
          <w:numId w:val="7"/>
        </w:numPr>
        <w:rPr>
          <w:sz w:val="26"/>
          <w:szCs w:val="26"/>
        </w:rPr>
      </w:pPr>
      <w:r w:rsidRPr="007E4C66">
        <w:rPr>
          <w:sz w:val="26"/>
          <w:szCs w:val="26"/>
        </w:rPr>
        <w:t>Reduces concerns about unfairness.</w:t>
      </w:r>
    </w:p>
    <w:p w14:paraId="092EB24D" w14:textId="77777777" w:rsidR="003742BA" w:rsidRPr="007E4C66" w:rsidRDefault="003742BA" w:rsidP="00C55420">
      <w:pPr>
        <w:pStyle w:val="ListParagraph"/>
        <w:numPr>
          <w:ilvl w:val="0"/>
          <w:numId w:val="7"/>
        </w:numPr>
        <w:rPr>
          <w:sz w:val="26"/>
          <w:szCs w:val="26"/>
        </w:rPr>
      </w:pPr>
      <w:r w:rsidRPr="007E4C66">
        <w:rPr>
          <w:sz w:val="26"/>
          <w:szCs w:val="26"/>
        </w:rPr>
        <w:t>Promotes sustainability of a state’s overall bundling regime by avoiding results that might perceived as overly harsh.</w:t>
      </w:r>
    </w:p>
    <w:p w14:paraId="5F7AEAAB" w14:textId="77777777" w:rsidR="003742BA" w:rsidRPr="007E4C66" w:rsidRDefault="003742BA" w:rsidP="003742BA">
      <w:pPr>
        <w:rPr>
          <w:sz w:val="26"/>
          <w:szCs w:val="26"/>
        </w:rPr>
      </w:pPr>
      <w:r w:rsidRPr="007E4C66">
        <w:rPr>
          <w:sz w:val="26"/>
          <w:szCs w:val="26"/>
        </w:rPr>
        <w:lastRenderedPageBreak/>
        <w:t xml:space="preserve">Cons: </w:t>
      </w:r>
    </w:p>
    <w:p w14:paraId="098992E4" w14:textId="77777777" w:rsidR="003742BA" w:rsidRPr="007E4C66" w:rsidRDefault="003742BA" w:rsidP="00C55420">
      <w:pPr>
        <w:pStyle w:val="ListParagraph"/>
        <w:numPr>
          <w:ilvl w:val="0"/>
          <w:numId w:val="8"/>
        </w:numPr>
        <w:rPr>
          <w:sz w:val="26"/>
          <w:szCs w:val="26"/>
        </w:rPr>
      </w:pPr>
      <w:r w:rsidRPr="007E4C66">
        <w:rPr>
          <w:sz w:val="26"/>
          <w:szCs w:val="26"/>
        </w:rPr>
        <w:t>Adds complexity to tax administration.</w:t>
      </w:r>
    </w:p>
    <w:p w14:paraId="7DD4F676" w14:textId="77777777" w:rsidR="003742BA" w:rsidRPr="007E4C66" w:rsidRDefault="003742BA" w:rsidP="00C55420">
      <w:pPr>
        <w:pStyle w:val="ListParagraph"/>
        <w:numPr>
          <w:ilvl w:val="0"/>
          <w:numId w:val="8"/>
        </w:numPr>
        <w:rPr>
          <w:sz w:val="26"/>
          <w:szCs w:val="26"/>
        </w:rPr>
      </w:pPr>
      <w:r w:rsidRPr="007E4C66">
        <w:rPr>
          <w:sz w:val="26"/>
          <w:szCs w:val="26"/>
        </w:rPr>
        <w:t>Determining the value of digital products may be challenging in some cases.</w:t>
      </w:r>
    </w:p>
    <w:p w14:paraId="2A215855" w14:textId="77777777" w:rsidR="003742BA" w:rsidRPr="007E4C66" w:rsidRDefault="003742BA" w:rsidP="003742BA">
      <w:pPr>
        <w:pStyle w:val="ListParagraph"/>
        <w:ind w:left="0"/>
        <w:rPr>
          <w:sz w:val="26"/>
          <w:szCs w:val="26"/>
        </w:rPr>
      </w:pPr>
    </w:p>
    <w:p w14:paraId="2DA01504" w14:textId="5C4675B1" w:rsidR="003742BA" w:rsidRPr="007E4C66" w:rsidRDefault="003742BA" w:rsidP="003742BA">
      <w:pPr>
        <w:pStyle w:val="ListParagraph"/>
        <w:ind w:left="0"/>
        <w:rPr>
          <w:sz w:val="26"/>
          <w:szCs w:val="26"/>
        </w:rPr>
      </w:pPr>
      <w:r w:rsidRPr="007E4C66">
        <w:rPr>
          <w:sz w:val="26"/>
          <w:szCs w:val="26"/>
        </w:rPr>
        <w:t>Stakeholder comments: Some like it and others don’t. It seems to depend on the nature of a taxpayer’s business model and industry.</w:t>
      </w:r>
    </w:p>
    <w:p w14:paraId="6B23968C" w14:textId="5939FC7C" w:rsidR="003742BA" w:rsidRDefault="003742BA" w:rsidP="003742BA">
      <w:pPr>
        <w:pStyle w:val="Heading3"/>
      </w:pPr>
      <w:r w:rsidRPr="003742BA">
        <w:t>iii.</w:t>
      </w:r>
      <w:r>
        <w:t xml:space="preserve"> </w:t>
      </w:r>
      <w:r>
        <w:tab/>
        <w:t>Streamlined Agreement and Related Rules</w:t>
      </w:r>
    </w:p>
    <w:p w14:paraId="23025C91" w14:textId="30F7E31E" w:rsidR="00A26D06" w:rsidRPr="007E4C66" w:rsidRDefault="006C390A" w:rsidP="003742BA">
      <w:pPr>
        <w:rPr>
          <w:sz w:val="26"/>
          <w:szCs w:val="26"/>
        </w:rPr>
      </w:pPr>
      <w:r w:rsidRPr="007E4C66">
        <w:rPr>
          <w:sz w:val="26"/>
          <w:szCs w:val="26"/>
        </w:rPr>
        <w:t xml:space="preserve">The Streamlined Sales and Use Tax Governing Board has developed a comprehensive set of bundling rules. </w:t>
      </w:r>
      <w:r w:rsidR="00594DAF" w:rsidRPr="007E4C66">
        <w:rPr>
          <w:sz w:val="26"/>
          <w:szCs w:val="26"/>
        </w:rPr>
        <w:t>For detail on those rules, s</w:t>
      </w:r>
      <w:r w:rsidR="00A26D06" w:rsidRPr="007E4C66">
        <w:rPr>
          <w:sz w:val="26"/>
          <w:szCs w:val="26"/>
        </w:rPr>
        <w:t xml:space="preserve">ee </w:t>
      </w:r>
      <w:r w:rsidR="00096464" w:rsidRPr="007E4C66">
        <w:rPr>
          <w:sz w:val="26"/>
          <w:szCs w:val="26"/>
        </w:rPr>
        <w:t>section 3</w:t>
      </w:r>
      <w:r w:rsidR="00A26D06" w:rsidRPr="007E4C66">
        <w:rPr>
          <w:sz w:val="26"/>
          <w:szCs w:val="26"/>
        </w:rPr>
        <w:t>.</w:t>
      </w:r>
    </w:p>
    <w:p w14:paraId="155D9242" w14:textId="399EFAA5" w:rsidR="003742BA" w:rsidRPr="007E4C66" w:rsidRDefault="003742BA" w:rsidP="003742BA">
      <w:pPr>
        <w:rPr>
          <w:sz w:val="26"/>
          <w:szCs w:val="26"/>
        </w:rPr>
      </w:pPr>
      <w:r w:rsidRPr="007E4C66">
        <w:rPr>
          <w:sz w:val="26"/>
          <w:szCs w:val="26"/>
        </w:rPr>
        <w:t>Pros:</w:t>
      </w:r>
    </w:p>
    <w:p w14:paraId="41C0B4DC" w14:textId="77777777" w:rsidR="003742BA" w:rsidRPr="007E4C66" w:rsidRDefault="003742BA" w:rsidP="00C55420">
      <w:pPr>
        <w:pStyle w:val="ListParagraph"/>
        <w:numPr>
          <w:ilvl w:val="0"/>
          <w:numId w:val="8"/>
        </w:numPr>
        <w:rPr>
          <w:sz w:val="26"/>
          <w:szCs w:val="26"/>
        </w:rPr>
      </w:pPr>
      <w:r w:rsidRPr="007E4C66">
        <w:rPr>
          <w:sz w:val="26"/>
          <w:szCs w:val="26"/>
        </w:rPr>
        <w:t>Provides a consistent and comprehensive framework for addressing bundling issues that supports efficient tax administration.</w:t>
      </w:r>
    </w:p>
    <w:p w14:paraId="18E72F52" w14:textId="77777777" w:rsidR="003742BA" w:rsidRPr="007E4C66" w:rsidRDefault="003742BA" w:rsidP="00C55420">
      <w:pPr>
        <w:pStyle w:val="ListParagraph"/>
        <w:numPr>
          <w:ilvl w:val="0"/>
          <w:numId w:val="8"/>
        </w:numPr>
        <w:rPr>
          <w:sz w:val="26"/>
          <w:szCs w:val="26"/>
        </w:rPr>
      </w:pPr>
      <w:r w:rsidRPr="007E4C66">
        <w:rPr>
          <w:sz w:val="26"/>
          <w:szCs w:val="26"/>
        </w:rPr>
        <w:t>Used in 24 states.</w:t>
      </w:r>
    </w:p>
    <w:p w14:paraId="780F16A1" w14:textId="77777777" w:rsidR="003742BA" w:rsidRPr="007E4C66" w:rsidRDefault="003742BA" w:rsidP="00C55420">
      <w:pPr>
        <w:pStyle w:val="ListParagraph"/>
        <w:numPr>
          <w:ilvl w:val="0"/>
          <w:numId w:val="8"/>
        </w:numPr>
        <w:rPr>
          <w:sz w:val="26"/>
          <w:szCs w:val="26"/>
        </w:rPr>
      </w:pPr>
      <w:r w:rsidRPr="007E4C66">
        <w:rPr>
          <w:sz w:val="26"/>
          <w:szCs w:val="26"/>
        </w:rPr>
        <w:t>Incorporates, partially, objective criteria.</w:t>
      </w:r>
    </w:p>
    <w:p w14:paraId="75E42761" w14:textId="77777777" w:rsidR="003742BA" w:rsidRPr="007E4C66" w:rsidRDefault="003742BA" w:rsidP="00C55420">
      <w:pPr>
        <w:pStyle w:val="ListParagraph"/>
        <w:numPr>
          <w:ilvl w:val="0"/>
          <w:numId w:val="8"/>
        </w:numPr>
        <w:rPr>
          <w:sz w:val="26"/>
          <w:szCs w:val="26"/>
        </w:rPr>
      </w:pPr>
      <w:r w:rsidRPr="007E4C66">
        <w:rPr>
          <w:sz w:val="26"/>
          <w:szCs w:val="26"/>
        </w:rPr>
        <w:t>Gives sellers the flexibility to bundle or unbundle if there are concerns about tax consequences.</w:t>
      </w:r>
    </w:p>
    <w:p w14:paraId="4CC7AF0C" w14:textId="77777777" w:rsidR="003742BA" w:rsidRPr="007E4C66" w:rsidRDefault="003742BA" w:rsidP="003742BA">
      <w:pPr>
        <w:rPr>
          <w:sz w:val="26"/>
          <w:szCs w:val="26"/>
        </w:rPr>
      </w:pPr>
      <w:r w:rsidRPr="007E4C66">
        <w:rPr>
          <w:sz w:val="26"/>
          <w:szCs w:val="26"/>
        </w:rPr>
        <w:t>ii: Cons:</w:t>
      </w:r>
    </w:p>
    <w:p w14:paraId="23932E1C" w14:textId="77777777" w:rsidR="003742BA" w:rsidRPr="007E4C66" w:rsidRDefault="003742BA" w:rsidP="00C55420">
      <w:pPr>
        <w:pStyle w:val="ListParagraph"/>
        <w:numPr>
          <w:ilvl w:val="0"/>
          <w:numId w:val="9"/>
        </w:numPr>
        <w:rPr>
          <w:sz w:val="26"/>
          <w:szCs w:val="26"/>
        </w:rPr>
      </w:pPr>
      <w:r w:rsidRPr="007E4C66">
        <w:rPr>
          <w:sz w:val="26"/>
          <w:szCs w:val="26"/>
        </w:rPr>
        <w:t>Can be complex to administer in certain situations.</w:t>
      </w:r>
    </w:p>
    <w:p w14:paraId="605CBE56" w14:textId="0927F2F4" w:rsidR="003742BA" w:rsidRPr="007E4C66" w:rsidRDefault="003742BA" w:rsidP="00C55420">
      <w:pPr>
        <w:pStyle w:val="ListParagraph"/>
        <w:numPr>
          <w:ilvl w:val="0"/>
          <w:numId w:val="9"/>
        </w:numPr>
        <w:rPr>
          <w:sz w:val="26"/>
          <w:szCs w:val="26"/>
        </w:rPr>
      </w:pPr>
      <w:r w:rsidRPr="007E4C66">
        <w:rPr>
          <w:sz w:val="26"/>
          <w:szCs w:val="26"/>
        </w:rPr>
        <w:t>Incorporate partially subjective criteria.</w:t>
      </w:r>
    </w:p>
    <w:p w14:paraId="1AEE0E15" w14:textId="77777777" w:rsidR="00A26D06" w:rsidRPr="007E4C66" w:rsidRDefault="00A26D06" w:rsidP="00A26D06">
      <w:pPr>
        <w:pStyle w:val="ListParagraph"/>
        <w:rPr>
          <w:sz w:val="26"/>
          <w:szCs w:val="26"/>
        </w:rPr>
      </w:pPr>
    </w:p>
    <w:p w14:paraId="14024BDD" w14:textId="33F45F74" w:rsidR="003742BA" w:rsidRPr="007E4C66" w:rsidRDefault="003742BA" w:rsidP="003742BA">
      <w:pPr>
        <w:pStyle w:val="ListParagraph"/>
        <w:ind w:left="0"/>
        <w:rPr>
          <w:sz w:val="26"/>
          <w:szCs w:val="26"/>
        </w:rPr>
      </w:pPr>
      <w:r w:rsidRPr="007E4C66">
        <w:rPr>
          <w:sz w:val="26"/>
          <w:szCs w:val="26"/>
        </w:rPr>
        <w:t>Stakeholder comments: Some sa</w:t>
      </w:r>
      <w:r w:rsidR="006C390A" w:rsidRPr="007E4C66">
        <w:rPr>
          <w:sz w:val="26"/>
          <w:szCs w:val="26"/>
        </w:rPr>
        <w:t>id</w:t>
      </w:r>
      <w:r w:rsidRPr="007E4C66">
        <w:rPr>
          <w:sz w:val="26"/>
          <w:szCs w:val="26"/>
        </w:rPr>
        <w:t xml:space="preserve"> Streamlined has the best approach to bundling and covers digital products</w:t>
      </w:r>
      <w:r w:rsidR="006C390A" w:rsidRPr="007E4C66">
        <w:rPr>
          <w:sz w:val="26"/>
          <w:szCs w:val="26"/>
        </w:rPr>
        <w:t xml:space="preserve"> well</w:t>
      </w:r>
      <w:r w:rsidRPr="007E4C66">
        <w:rPr>
          <w:sz w:val="26"/>
          <w:szCs w:val="26"/>
        </w:rPr>
        <w:t xml:space="preserve">, so states should look no further and not create </w:t>
      </w:r>
      <w:r w:rsidR="006C390A" w:rsidRPr="007E4C66">
        <w:rPr>
          <w:sz w:val="26"/>
          <w:szCs w:val="26"/>
        </w:rPr>
        <w:t>alternative</w:t>
      </w:r>
      <w:r w:rsidRPr="007E4C66">
        <w:rPr>
          <w:sz w:val="26"/>
          <w:szCs w:val="26"/>
        </w:rPr>
        <w:t xml:space="preserve"> bundling rules. Others sa</w:t>
      </w:r>
      <w:r w:rsidR="006C390A" w:rsidRPr="007E4C66">
        <w:rPr>
          <w:sz w:val="26"/>
          <w:szCs w:val="26"/>
        </w:rPr>
        <w:t>id</w:t>
      </w:r>
      <w:r w:rsidRPr="007E4C66">
        <w:rPr>
          <w:sz w:val="26"/>
          <w:szCs w:val="26"/>
        </w:rPr>
        <w:t xml:space="preserve"> the Streamlined approach is good but could use an update for digital products since they were not considered when the rules were developed. Still others sa</w:t>
      </w:r>
      <w:r w:rsidR="006C390A" w:rsidRPr="007E4C66">
        <w:rPr>
          <w:sz w:val="26"/>
          <w:szCs w:val="26"/>
        </w:rPr>
        <w:t>id</w:t>
      </w:r>
      <w:r w:rsidRPr="007E4C66">
        <w:rPr>
          <w:sz w:val="26"/>
          <w:szCs w:val="26"/>
        </w:rPr>
        <w:t xml:space="preserve"> Streamlined does not cover digital products </w:t>
      </w:r>
      <w:r w:rsidR="006C390A" w:rsidRPr="007E4C66">
        <w:rPr>
          <w:sz w:val="26"/>
          <w:szCs w:val="26"/>
        </w:rPr>
        <w:t xml:space="preserve">well </w:t>
      </w:r>
      <w:r w:rsidRPr="007E4C66">
        <w:rPr>
          <w:sz w:val="26"/>
          <w:szCs w:val="26"/>
        </w:rPr>
        <w:t xml:space="preserve">because digital components are </w:t>
      </w:r>
      <w:r w:rsidR="006C390A" w:rsidRPr="007E4C66">
        <w:rPr>
          <w:sz w:val="26"/>
          <w:szCs w:val="26"/>
        </w:rPr>
        <w:t xml:space="preserve">often </w:t>
      </w:r>
      <w:r w:rsidRPr="007E4C66">
        <w:rPr>
          <w:sz w:val="26"/>
          <w:szCs w:val="26"/>
        </w:rPr>
        <w:t xml:space="preserve">not distinct and identifiable (a condition under </w:t>
      </w:r>
      <w:r w:rsidR="006C390A" w:rsidRPr="007E4C66">
        <w:rPr>
          <w:sz w:val="26"/>
          <w:szCs w:val="26"/>
        </w:rPr>
        <w:t>Streamlined</w:t>
      </w:r>
      <w:r w:rsidRPr="007E4C66">
        <w:rPr>
          <w:sz w:val="26"/>
          <w:szCs w:val="26"/>
        </w:rPr>
        <w:t xml:space="preserve"> to be a bundle). Some sa</w:t>
      </w:r>
      <w:r w:rsidR="006C390A" w:rsidRPr="007E4C66">
        <w:rPr>
          <w:sz w:val="26"/>
          <w:szCs w:val="26"/>
        </w:rPr>
        <w:t>id</w:t>
      </w:r>
      <w:r w:rsidRPr="007E4C66">
        <w:rPr>
          <w:sz w:val="26"/>
          <w:szCs w:val="26"/>
        </w:rPr>
        <w:t xml:space="preserve"> the “distinct </w:t>
      </w:r>
      <w:r w:rsidR="006C390A" w:rsidRPr="007E4C66">
        <w:rPr>
          <w:sz w:val="26"/>
          <w:szCs w:val="26"/>
        </w:rPr>
        <w:t>and identifiable</w:t>
      </w:r>
      <w:r w:rsidRPr="007E4C66">
        <w:rPr>
          <w:sz w:val="26"/>
          <w:szCs w:val="26"/>
        </w:rPr>
        <w:t>” concept from Streamlined is hard to distill with digital products; therefore, the Streamlined approach is unhelpful. Finally, even with any shortcomings, stakeholders indicated that Streamlined states are easier to navigate on bundling issues than non-Streamlined states.</w:t>
      </w:r>
    </w:p>
    <w:p w14:paraId="17893E62" w14:textId="285B694E" w:rsidR="003742BA" w:rsidRDefault="003742BA" w:rsidP="003742BA">
      <w:pPr>
        <w:pStyle w:val="Heading3"/>
      </w:pPr>
      <w:r w:rsidRPr="003742BA">
        <w:lastRenderedPageBreak/>
        <w:t>iv.</w:t>
      </w:r>
      <w:r>
        <w:t xml:space="preserve"> </w:t>
      </w:r>
      <w:r>
        <w:tab/>
        <w:t>Accounting Rule (aka the unbundling rule)</w:t>
      </w:r>
    </w:p>
    <w:p w14:paraId="5ACD1522" w14:textId="7FCC9A1F" w:rsidR="003742BA" w:rsidRPr="007E4C66" w:rsidRDefault="003742BA" w:rsidP="003742BA">
      <w:pPr>
        <w:rPr>
          <w:sz w:val="26"/>
          <w:szCs w:val="26"/>
        </w:rPr>
      </w:pPr>
      <w:r w:rsidRPr="007E4C66">
        <w:rPr>
          <w:sz w:val="26"/>
          <w:szCs w:val="26"/>
        </w:rPr>
        <w:t xml:space="preserve">Sellers can charge a single price for a bundled product </w:t>
      </w:r>
      <w:r w:rsidR="006C390A" w:rsidRPr="007E4C66">
        <w:rPr>
          <w:sz w:val="26"/>
          <w:szCs w:val="26"/>
        </w:rPr>
        <w:t xml:space="preserve">but </w:t>
      </w:r>
      <w:r w:rsidRPr="007E4C66">
        <w:rPr>
          <w:sz w:val="26"/>
          <w:szCs w:val="26"/>
        </w:rPr>
        <w:t xml:space="preserve">collect </w:t>
      </w:r>
      <w:r w:rsidR="006C390A" w:rsidRPr="007E4C66">
        <w:rPr>
          <w:sz w:val="26"/>
          <w:szCs w:val="26"/>
        </w:rPr>
        <w:t xml:space="preserve">and pay </w:t>
      </w:r>
      <w:r w:rsidRPr="007E4C66">
        <w:rPr>
          <w:sz w:val="26"/>
          <w:szCs w:val="26"/>
        </w:rPr>
        <w:t xml:space="preserve">tax </w:t>
      </w:r>
      <w:r w:rsidR="006C390A" w:rsidRPr="007E4C66">
        <w:rPr>
          <w:sz w:val="26"/>
          <w:szCs w:val="26"/>
        </w:rPr>
        <w:t xml:space="preserve">only </w:t>
      </w:r>
      <w:r w:rsidRPr="007E4C66">
        <w:rPr>
          <w:sz w:val="26"/>
          <w:szCs w:val="26"/>
        </w:rPr>
        <w:t xml:space="preserve">on the taxable </w:t>
      </w:r>
      <w:r w:rsidR="006C390A" w:rsidRPr="007E4C66">
        <w:rPr>
          <w:sz w:val="26"/>
          <w:szCs w:val="26"/>
        </w:rPr>
        <w:t>portions</w:t>
      </w:r>
      <w:r w:rsidRPr="007E4C66">
        <w:rPr>
          <w:sz w:val="26"/>
          <w:szCs w:val="26"/>
        </w:rPr>
        <w:t xml:space="preserve"> based on a reasonable </w:t>
      </w:r>
      <w:r w:rsidR="006C390A" w:rsidRPr="007E4C66">
        <w:rPr>
          <w:sz w:val="26"/>
          <w:szCs w:val="26"/>
        </w:rPr>
        <w:t>unbundling of the transaction based on their</w:t>
      </w:r>
      <w:r w:rsidRPr="007E4C66">
        <w:rPr>
          <w:sz w:val="26"/>
          <w:szCs w:val="26"/>
        </w:rPr>
        <w:t xml:space="preserve"> books and records.</w:t>
      </w:r>
    </w:p>
    <w:p w14:paraId="08B097D7" w14:textId="77777777" w:rsidR="003742BA" w:rsidRPr="007E4C66" w:rsidRDefault="003742BA" w:rsidP="003742BA">
      <w:pPr>
        <w:rPr>
          <w:sz w:val="26"/>
          <w:szCs w:val="26"/>
        </w:rPr>
      </w:pPr>
      <w:r w:rsidRPr="007E4C66">
        <w:rPr>
          <w:sz w:val="26"/>
          <w:szCs w:val="26"/>
        </w:rPr>
        <w:t xml:space="preserve">Pros: </w:t>
      </w:r>
    </w:p>
    <w:p w14:paraId="79BDC874" w14:textId="77777777" w:rsidR="003742BA" w:rsidRPr="007E4C66" w:rsidRDefault="003742BA" w:rsidP="00C55420">
      <w:pPr>
        <w:pStyle w:val="ListParagraph"/>
        <w:numPr>
          <w:ilvl w:val="0"/>
          <w:numId w:val="9"/>
        </w:numPr>
        <w:rPr>
          <w:sz w:val="26"/>
          <w:szCs w:val="26"/>
        </w:rPr>
      </w:pPr>
      <w:r w:rsidRPr="007E4C66">
        <w:rPr>
          <w:sz w:val="26"/>
          <w:szCs w:val="26"/>
        </w:rPr>
        <w:t>Provides flexibility to sellers and recognizes the unique needs of different sellers in different industries.</w:t>
      </w:r>
    </w:p>
    <w:p w14:paraId="00BFF092" w14:textId="77777777" w:rsidR="003742BA" w:rsidRPr="007E4C66" w:rsidRDefault="003742BA" w:rsidP="00C55420">
      <w:pPr>
        <w:pStyle w:val="ListParagraph"/>
        <w:numPr>
          <w:ilvl w:val="0"/>
          <w:numId w:val="9"/>
        </w:numPr>
        <w:rPr>
          <w:sz w:val="26"/>
          <w:szCs w:val="26"/>
        </w:rPr>
      </w:pPr>
      <w:r w:rsidRPr="007E4C66">
        <w:rPr>
          <w:sz w:val="26"/>
          <w:szCs w:val="26"/>
        </w:rPr>
        <w:t>Allows businesses to market a transaction for a single price without tax consequences.</w:t>
      </w:r>
    </w:p>
    <w:p w14:paraId="5E7CD034" w14:textId="77777777" w:rsidR="003742BA" w:rsidRPr="007E4C66" w:rsidRDefault="003742BA" w:rsidP="00C55420">
      <w:pPr>
        <w:pStyle w:val="ListParagraph"/>
        <w:numPr>
          <w:ilvl w:val="0"/>
          <w:numId w:val="9"/>
        </w:numPr>
        <w:rPr>
          <w:sz w:val="26"/>
          <w:szCs w:val="26"/>
        </w:rPr>
      </w:pPr>
      <w:r w:rsidRPr="007E4C66">
        <w:rPr>
          <w:sz w:val="26"/>
          <w:szCs w:val="26"/>
        </w:rPr>
        <w:t xml:space="preserve">Preferred approach of the telecom industry; also memorialized in ITFA and MTSA. </w:t>
      </w:r>
    </w:p>
    <w:p w14:paraId="754C3973" w14:textId="77777777" w:rsidR="003742BA" w:rsidRPr="007E4C66" w:rsidRDefault="003742BA" w:rsidP="003742BA">
      <w:pPr>
        <w:rPr>
          <w:sz w:val="26"/>
          <w:szCs w:val="26"/>
        </w:rPr>
      </w:pPr>
      <w:r w:rsidRPr="007E4C66">
        <w:rPr>
          <w:sz w:val="26"/>
          <w:szCs w:val="26"/>
        </w:rPr>
        <w:t xml:space="preserve">Cons: </w:t>
      </w:r>
    </w:p>
    <w:p w14:paraId="0844DEED" w14:textId="77777777" w:rsidR="003742BA" w:rsidRPr="007E4C66" w:rsidRDefault="003742BA" w:rsidP="00C55420">
      <w:pPr>
        <w:pStyle w:val="ListParagraph"/>
        <w:numPr>
          <w:ilvl w:val="0"/>
          <w:numId w:val="10"/>
        </w:numPr>
        <w:rPr>
          <w:sz w:val="26"/>
          <w:szCs w:val="26"/>
        </w:rPr>
      </w:pPr>
      <w:r w:rsidRPr="007E4C66">
        <w:rPr>
          <w:sz w:val="26"/>
          <w:szCs w:val="26"/>
        </w:rPr>
        <w:t>Adds complexity and reduces transparency as the public price will suggest nothing of the tax treatment.</w:t>
      </w:r>
    </w:p>
    <w:p w14:paraId="5528DE2C" w14:textId="77777777" w:rsidR="003742BA" w:rsidRPr="007E4C66" w:rsidRDefault="003742BA" w:rsidP="00C55420">
      <w:pPr>
        <w:pStyle w:val="ListParagraph"/>
        <w:numPr>
          <w:ilvl w:val="0"/>
          <w:numId w:val="10"/>
        </w:numPr>
        <w:rPr>
          <w:sz w:val="26"/>
          <w:szCs w:val="26"/>
        </w:rPr>
      </w:pPr>
      <w:r w:rsidRPr="007E4C66">
        <w:rPr>
          <w:sz w:val="26"/>
          <w:szCs w:val="26"/>
        </w:rPr>
        <w:t>If allowed only for certain industries, those not included may feel they are being treated unfairly.</w:t>
      </w:r>
    </w:p>
    <w:p w14:paraId="5A3723BB" w14:textId="77777777" w:rsidR="006C390A" w:rsidRPr="007E4C66" w:rsidRDefault="003742BA" w:rsidP="00C55420">
      <w:pPr>
        <w:pStyle w:val="ListParagraph"/>
        <w:numPr>
          <w:ilvl w:val="0"/>
          <w:numId w:val="10"/>
        </w:numPr>
        <w:rPr>
          <w:sz w:val="26"/>
          <w:szCs w:val="26"/>
        </w:rPr>
      </w:pPr>
      <w:r w:rsidRPr="007E4C66">
        <w:rPr>
          <w:sz w:val="26"/>
          <w:szCs w:val="26"/>
        </w:rPr>
        <w:t xml:space="preserve">May have more audit risk. </w:t>
      </w:r>
    </w:p>
    <w:p w14:paraId="1BE0210B" w14:textId="079A4DB5" w:rsidR="003742BA" w:rsidRPr="007E4C66" w:rsidRDefault="006C390A" w:rsidP="00C55420">
      <w:pPr>
        <w:pStyle w:val="ListParagraph"/>
        <w:numPr>
          <w:ilvl w:val="0"/>
          <w:numId w:val="10"/>
        </w:numPr>
        <w:rPr>
          <w:sz w:val="26"/>
          <w:szCs w:val="26"/>
        </w:rPr>
      </w:pPr>
      <w:r w:rsidRPr="007E4C66">
        <w:rPr>
          <w:sz w:val="26"/>
          <w:szCs w:val="26"/>
        </w:rPr>
        <w:t>Difficult</w:t>
      </w:r>
      <w:r w:rsidR="003742BA" w:rsidRPr="007E4C66">
        <w:rPr>
          <w:sz w:val="26"/>
          <w:szCs w:val="26"/>
        </w:rPr>
        <w:t xml:space="preserve"> for third party compliance vendors to program in their systems.</w:t>
      </w:r>
    </w:p>
    <w:p w14:paraId="00605B6C" w14:textId="334462BB" w:rsidR="003742BA" w:rsidRPr="007E4C66" w:rsidRDefault="003742BA" w:rsidP="003742BA">
      <w:pPr>
        <w:rPr>
          <w:sz w:val="26"/>
          <w:szCs w:val="26"/>
        </w:rPr>
      </w:pPr>
      <w:r w:rsidRPr="007E4C66">
        <w:rPr>
          <w:sz w:val="26"/>
          <w:szCs w:val="26"/>
        </w:rPr>
        <w:t xml:space="preserve">Stakeholder comments: </w:t>
      </w:r>
      <w:r w:rsidR="006C390A" w:rsidRPr="007E4C66">
        <w:rPr>
          <w:sz w:val="26"/>
          <w:szCs w:val="26"/>
        </w:rPr>
        <w:t>Some stakeholders</w:t>
      </w:r>
      <w:r w:rsidRPr="007E4C66">
        <w:rPr>
          <w:sz w:val="26"/>
          <w:szCs w:val="26"/>
        </w:rPr>
        <w:t xml:space="preserve"> </w:t>
      </w:r>
      <w:r w:rsidR="006C390A" w:rsidRPr="007E4C66">
        <w:rPr>
          <w:sz w:val="26"/>
          <w:szCs w:val="26"/>
        </w:rPr>
        <w:t>voiced a preference for</w:t>
      </w:r>
      <w:r w:rsidRPr="007E4C66">
        <w:rPr>
          <w:sz w:val="26"/>
          <w:szCs w:val="26"/>
        </w:rPr>
        <w:t xml:space="preserve"> the accounting rule</w:t>
      </w:r>
      <w:r w:rsidR="006C390A" w:rsidRPr="007E4C66">
        <w:rPr>
          <w:sz w:val="26"/>
          <w:szCs w:val="26"/>
        </w:rPr>
        <w:t xml:space="preserve"> due to their business preference of selling complicate bundles for one price</w:t>
      </w:r>
      <w:r w:rsidRPr="007E4C66">
        <w:rPr>
          <w:sz w:val="26"/>
          <w:szCs w:val="26"/>
        </w:rPr>
        <w:t xml:space="preserve">. The rule is part of the Internet Tax Freedom Act and Mobile Telecommunications Sourcing Act. </w:t>
      </w:r>
      <w:r w:rsidR="00594DAF" w:rsidRPr="007E4C66">
        <w:rPr>
          <w:sz w:val="26"/>
          <w:szCs w:val="26"/>
        </w:rPr>
        <w:t>For more detailed information, see</w:t>
      </w:r>
      <w:r w:rsidRPr="007E4C66">
        <w:rPr>
          <w:sz w:val="26"/>
          <w:szCs w:val="26"/>
        </w:rPr>
        <w:t xml:space="preserve"> section </w:t>
      </w:r>
      <w:r w:rsidR="00096464" w:rsidRPr="007E4C66">
        <w:rPr>
          <w:sz w:val="26"/>
          <w:szCs w:val="26"/>
        </w:rPr>
        <w:t>5</w:t>
      </w:r>
      <w:r w:rsidRPr="007E4C66">
        <w:rPr>
          <w:sz w:val="26"/>
          <w:szCs w:val="26"/>
        </w:rPr>
        <w:t>. It is also part of many states’ laws.</w:t>
      </w:r>
      <w:r w:rsidRPr="007E4C66">
        <w:rPr>
          <w:rStyle w:val="FootnoteReference"/>
          <w:sz w:val="26"/>
          <w:szCs w:val="26"/>
        </w:rPr>
        <w:footnoteReference w:id="74"/>
      </w:r>
      <w:r w:rsidRPr="007E4C66">
        <w:rPr>
          <w:sz w:val="26"/>
          <w:szCs w:val="26"/>
        </w:rPr>
        <w:t xml:space="preserve"> Stakeholders reported that with respect to the telecommunications industry </w:t>
      </w:r>
      <w:r w:rsidR="00386112" w:rsidRPr="007E4C66">
        <w:rPr>
          <w:sz w:val="26"/>
          <w:szCs w:val="26"/>
        </w:rPr>
        <w:t>the rule has created few</w:t>
      </w:r>
      <w:r w:rsidRPr="007E4C66">
        <w:rPr>
          <w:sz w:val="26"/>
          <w:szCs w:val="26"/>
        </w:rPr>
        <w:t xml:space="preserve"> disputes across the states. Stakeholders explained that the accounting rule can be helpful for staying in compliance with non-tax regulations.</w:t>
      </w:r>
    </w:p>
    <w:p w14:paraId="1C528DF3" w14:textId="1E9CE2EE" w:rsidR="003742BA" w:rsidRPr="007E4C66" w:rsidRDefault="003742BA" w:rsidP="003742BA">
      <w:pPr>
        <w:pStyle w:val="ListParagraph"/>
        <w:ind w:left="0"/>
        <w:rPr>
          <w:sz w:val="26"/>
          <w:szCs w:val="26"/>
        </w:rPr>
      </w:pPr>
      <w:r w:rsidRPr="007E4C66">
        <w:rPr>
          <w:sz w:val="26"/>
          <w:szCs w:val="26"/>
        </w:rPr>
        <w:t>However, stakeholders also mentioned that the accounting rule is less transparent for purchasers</w:t>
      </w:r>
      <w:r w:rsidR="00386112" w:rsidRPr="007E4C66">
        <w:rPr>
          <w:sz w:val="26"/>
          <w:szCs w:val="26"/>
        </w:rPr>
        <w:t>,</w:t>
      </w:r>
      <w:r w:rsidRPr="007E4C66">
        <w:rPr>
          <w:sz w:val="26"/>
          <w:szCs w:val="26"/>
        </w:rPr>
        <w:t xml:space="preserve"> who have a harder time understanding how tax is calculated</w:t>
      </w:r>
      <w:r w:rsidR="00386112" w:rsidRPr="007E4C66">
        <w:rPr>
          <w:sz w:val="26"/>
          <w:szCs w:val="26"/>
        </w:rPr>
        <w:t>,</w:t>
      </w:r>
      <w:r w:rsidRPr="007E4C66">
        <w:rPr>
          <w:sz w:val="26"/>
          <w:szCs w:val="26"/>
        </w:rPr>
        <w:t xml:space="preserve"> and creates more </w:t>
      </w:r>
      <w:r w:rsidRPr="007E4C66">
        <w:rPr>
          <w:sz w:val="26"/>
          <w:szCs w:val="26"/>
        </w:rPr>
        <w:lastRenderedPageBreak/>
        <w:t xml:space="preserve">audit risk for sellers if they do not get the accounting right. Some </w:t>
      </w:r>
      <w:r w:rsidR="00386112" w:rsidRPr="007E4C66">
        <w:rPr>
          <w:sz w:val="26"/>
          <w:szCs w:val="26"/>
        </w:rPr>
        <w:t>stakeholders said</w:t>
      </w:r>
      <w:r w:rsidRPr="007E4C66">
        <w:rPr>
          <w:sz w:val="26"/>
          <w:szCs w:val="26"/>
        </w:rPr>
        <w:t xml:space="preserve"> everyone should be able to use the accounting rule if it fits their business needs.</w:t>
      </w:r>
    </w:p>
    <w:p w14:paraId="3067D4DD" w14:textId="5608A7A8" w:rsidR="003742BA" w:rsidRDefault="003742BA" w:rsidP="003742BA">
      <w:pPr>
        <w:pStyle w:val="Heading3"/>
      </w:pPr>
      <w:r w:rsidRPr="003742BA">
        <w:t>v.</w:t>
      </w:r>
      <w:r>
        <w:t xml:space="preserve"> </w:t>
      </w:r>
      <w:r>
        <w:tab/>
        <w:t>Hierarchy/Decision Tree</w:t>
      </w:r>
    </w:p>
    <w:p w14:paraId="0A54584B" w14:textId="535C9414" w:rsidR="003742BA" w:rsidRPr="007E4C66" w:rsidRDefault="003742BA" w:rsidP="003742BA">
      <w:pPr>
        <w:pStyle w:val="ListParagraph"/>
        <w:ind w:left="0"/>
        <w:rPr>
          <w:sz w:val="26"/>
          <w:szCs w:val="26"/>
        </w:rPr>
      </w:pPr>
      <w:r w:rsidRPr="007E4C66">
        <w:rPr>
          <w:sz w:val="26"/>
          <w:szCs w:val="26"/>
        </w:rPr>
        <w:t xml:space="preserve">One stakeholder suggested creating a new approach based on a hierarchy that helps taxpayers and tax administrators think through various factors and fact patterns, with perhaps the ultimate default in the hierarchy/decision tree concluding the bundle is taxable. No specific example of what that might look like was provided. It could resemble a list of options, as presented in this </w:t>
      </w:r>
      <w:r w:rsidR="0033110C" w:rsidRPr="007E4C66">
        <w:rPr>
          <w:sz w:val="26"/>
          <w:szCs w:val="26"/>
        </w:rPr>
        <w:t>white paper</w:t>
      </w:r>
      <w:r w:rsidRPr="007E4C66">
        <w:rPr>
          <w:sz w:val="26"/>
          <w:szCs w:val="26"/>
        </w:rPr>
        <w:t>, to approach bundling issues given that different fact patterns might lend themselves to better approaches than others. Or, a state could identify what approaches to bundling they would consider or not.</w:t>
      </w:r>
    </w:p>
    <w:p w14:paraId="2D06E786" w14:textId="14B120F8" w:rsidR="003742BA" w:rsidRDefault="003742BA" w:rsidP="003742BA">
      <w:pPr>
        <w:pStyle w:val="Heading3"/>
      </w:pPr>
      <w:r>
        <w:t xml:space="preserve">vi. </w:t>
      </w:r>
      <w:r>
        <w:tab/>
        <w:t>True Object of the Transaction</w:t>
      </w:r>
    </w:p>
    <w:p w14:paraId="490EF0D5" w14:textId="611E3592" w:rsidR="003742BA" w:rsidRPr="007E4C66" w:rsidRDefault="003742BA" w:rsidP="003742BA">
      <w:pPr>
        <w:rPr>
          <w:sz w:val="26"/>
          <w:szCs w:val="26"/>
        </w:rPr>
      </w:pPr>
      <w:r w:rsidRPr="007E4C66">
        <w:rPr>
          <w:sz w:val="26"/>
          <w:szCs w:val="26"/>
        </w:rPr>
        <w:t xml:space="preserve">This is a common test that has been around for a long time. </w:t>
      </w:r>
      <w:r w:rsidR="00594DAF" w:rsidRPr="007E4C66">
        <w:rPr>
          <w:sz w:val="26"/>
          <w:szCs w:val="26"/>
        </w:rPr>
        <w:t>For more, s</w:t>
      </w:r>
      <w:r w:rsidRPr="007E4C66">
        <w:rPr>
          <w:sz w:val="26"/>
          <w:szCs w:val="26"/>
        </w:rPr>
        <w:t xml:space="preserve">ee section </w:t>
      </w:r>
      <w:r w:rsidR="00096464" w:rsidRPr="007E4C66">
        <w:rPr>
          <w:sz w:val="26"/>
          <w:szCs w:val="26"/>
        </w:rPr>
        <w:t>4.C</w:t>
      </w:r>
      <w:r w:rsidR="00594DAF" w:rsidRPr="007E4C66">
        <w:rPr>
          <w:sz w:val="26"/>
          <w:szCs w:val="26"/>
        </w:rPr>
        <w:t>.</w:t>
      </w:r>
      <w:r w:rsidRPr="007E4C66">
        <w:rPr>
          <w:sz w:val="26"/>
          <w:szCs w:val="26"/>
        </w:rPr>
        <w:t xml:space="preserve"> of this whitepaper. Still, questions arise such as: Whose perspective, the seller’s or the purchaser’s, controls the true object analysis? Some stakeholders suggested states consider using a “reasonably prudent buyer” perspective to ensure everyone starts the analysis from the same perspective. Also, what objective considerations play a role in the analysis, if any?</w:t>
      </w:r>
    </w:p>
    <w:p w14:paraId="6B746856" w14:textId="77777777" w:rsidR="000962A2" w:rsidRPr="007E4C66" w:rsidRDefault="000962A2" w:rsidP="000962A2">
      <w:pPr>
        <w:rPr>
          <w:sz w:val="26"/>
          <w:szCs w:val="26"/>
        </w:rPr>
      </w:pPr>
      <w:r w:rsidRPr="007E4C66">
        <w:rPr>
          <w:sz w:val="26"/>
          <w:szCs w:val="26"/>
        </w:rPr>
        <w:t>Pros:</w:t>
      </w:r>
    </w:p>
    <w:p w14:paraId="6BD38F0C" w14:textId="77777777" w:rsidR="000962A2" w:rsidRPr="007E4C66" w:rsidRDefault="000962A2" w:rsidP="00C55420">
      <w:pPr>
        <w:pStyle w:val="ListParagraph"/>
        <w:numPr>
          <w:ilvl w:val="0"/>
          <w:numId w:val="9"/>
        </w:numPr>
        <w:rPr>
          <w:sz w:val="26"/>
          <w:szCs w:val="26"/>
        </w:rPr>
      </w:pPr>
      <w:r w:rsidRPr="007E4C66">
        <w:rPr>
          <w:sz w:val="26"/>
          <w:szCs w:val="26"/>
        </w:rPr>
        <w:t>Seeks to base taxability on what the purchaser is buying, which can lead to tax results that correspond to the purchaser’s expectations.</w:t>
      </w:r>
    </w:p>
    <w:p w14:paraId="2E23A2A4" w14:textId="77777777" w:rsidR="000962A2" w:rsidRPr="007E4C66" w:rsidRDefault="000962A2" w:rsidP="00C55420">
      <w:pPr>
        <w:pStyle w:val="ListParagraph"/>
        <w:numPr>
          <w:ilvl w:val="0"/>
          <w:numId w:val="9"/>
        </w:numPr>
        <w:rPr>
          <w:sz w:val="26"/>
          <w:szCs w:val="26"/>
        </w:rPr>
      </w:pPr>
      <w:r w:rsidRPr="007E4C66">
        <w:rPr>
          <w:sz w:val="26"/>
          <w:szCs w:val="26"/>
        </w:rPr>
        <w:t>The test is common across many states.</w:t>
      </w:r>
    </w:p>
    <w:p w14:paraId="28233AFB" w14:textId="77777777" w:rsidR="000962A2" w:rsidRPr="007E4C66" w:rsidRDefault="000962A2" w:rsidP="000962A2">
      <w:pPr>
        <w:rPr>
          <w:sz w:val="26"/>
          <w:szCs w:val="26"/>
        </w:rPr>
      </w:pPr>
      <w:r w:rsidRPr="007E4C66">
        <w:rPr>
          <w:sz w:val="26"/>
          <w:szCs w:val="26"/>
        </w:rPr>
        <w:t>Cons:</w:t>
      </w:r>
    </w:p>
    <w:p w14:paraId="6A9A7B02" w14:textId="77777777" w:rsidR="000962A2" w:rsidRPr="007E4C66" w:rsidRDefault="000962A2" w:rsidP="00C55420">
      <w:pPr>
        <w:pStyle w:val="ListParagraph"/>
        <w:numPr>
          <w:ilvl w:val="0"/>
          <w:numId w:val="9"/>
        </w:numPr>
        <w:rPr>
          <w:sz w:val="26"/>
          <w:szCs w:val="26"/>
        </w:rPr>
      </w:pPr>
      <w:r w:rsidRPr="007E4C66">
        <w:rPr>
          <w:sz w:val="26"/>
          <w:szCs w:val="26"/>
        </w:rPr>
        <w:t>Subjective, leading to inconsistent application or unpredictable results.</w:t>
      </w:r>
    </w:p>
    <w:p w14:paraId="436DF509" w14:textId="77777777" w:rsidR="000962A2" w:rsidRPr="007E4C66" w:rsidRDefault="000962A2" w:rsidP="00C55420">
      <w:pPr>
        <w:pStyle w:val="ListParagraph"/>
        <w:numPr>
          <w:ilvl w:val="0"/>
          <w:numId w:val="9"/>
        </w:numPr>
        <w:rPr>
          <w:sz w:val="26"/>
          <w:szCs w:val="26"/>
        </w:rPr>
      </w:pPr>
      <w:r w:rsidRPr="007E4C66">
        <w:rPr>
          <w:sz w:val="26"/>
          <w:szCs w:val="26"/>
        </w:rPr>
        <w:t>Facts-specific.</w:t>
      </w:r>
    </w:p>
    <w:p w14:paraId="6C5E3707" w14:textId="77777777" w:rsidR="000962A2" w:rsidRPr="007E4C66" w:rsidRDefault="000962A2" w:rsidP="00C55420">
      <w:pPr>
        <w:pStyle w:val="ListParagraph"/>
        <w:numPr>
          <w:ilvl w:val="0"/>
          <w:numId w:val="9"/>
        </w:numPr>
        <w:rPr>
          <w:sz w:val="26"/>
          <w:szCs w:val="26"/>
        </w:rPr>
      </w:pPr>
      <w:r w:rsidRPr="007E4C66">
        <w:rPr>
          <w:sz w:val="26"/>
          <w:szCs w:val="26"/>
        </w:rPr>
        <w:t>Complex.</w:t>
      </w:r>
    </w:p>
    <w:p w14:paraId="757202CC" w14:textId="77777777" w:rsidR="000962A2" w:rsidRPr="007E4C66" w:rsidRDefault="000962A2" w:rsidP="00C55420">
      <w:pPr>
        <w:pStyle w:val="ListParagraph"/>
        <w:numPr>
          <w:ilvl w:val="0"/>
          <w:numId w:val="9"/>
        </w:numPr>
        <w:rPr>
          <w:sz w:val="26"/>
          <w:szCs w:val="26"/>
        </w:rPr>
      </w:pPr>
      <w:r w:rsidRPr="007E4C66">
        <w:rPr>
          <w:sz w:val="26"/>
          <w:szCs w:val="26"/>
        </w:rPr>
        <w:t>Unclear what factors should be used to determine the true object and what weight those factors should be given.</w:t>
      </w:r>
    </w:p>
    <w:p w14:paraId="227E36B6" w14:textId="23E31088" w:rsidR="000962A2" w:rsidRPr="007E4C66" w:rsidRDefault="000962A2" w:rsidP="00C55420">
      <w:pPr>
        <w:pStyle w:val="ListParagraph"/>
        <w:numPr>
          <w:ilvl w:val="0"/>
          <w:numId w:val="9"/>
        </w:numPr>
        <w:rPr>
          <w:sz w:val="26"/>
          <w:szCs w:val="26"/>
        </w:rPr>
      </w:pPr>
      <w:r w:rsidRPr="007E4C66">
        <w:rPr>
          <w:sz w:val="26"/>
          <w:szCs w:val="26"/>
        </w:rPr>
        <w:t>Invites disputes as to what the true object is.</w:t>
      </w:r>
    </w:p>
    <w:p w14:paraId="177FB83F" w14:textId="47199F80" w:rsidR="003742BA" w:rsidRPr="007E4C66" w:rsidRDefault="003742BA" w:rsidP="000962A2">
      <w:pPr>
        <w:rPr>
          <w:sz w:val="26"/>
          <w:szCs w:val="26"/>
        </w:rPr>
      </w:pPr>
      <w:r w:rsidRPr="007E4C66">
        <w:rPr>
          <w:sz w:val="26"/>
          <w:szCs w:val="26"/>
        </w:rPr>
        <w:t xml:space="preserve">Stakeholder comments: Some </w:t>
      </w:r>
      <w:r w:rsidR="000962A2" w:rsidRPr="007E4C66">
        <w:rPr>
          <w:sz w:val="26"/>
          <w:szCs w:val="26"/>
        </w:rPr>
        <w:t>said</w:t>
      </w:r>
      <w:r w:rsidRPr="007E4C66">
        <w:rPr>
          <w:sz w:val="26"/>
          <w:szCs w:val="26"/>
        </w:rPr>
        <w:t xml:space="preserve"> the true object </w:t>
      </w:r>
      <w:r w:rsidR="000962A2" w:rsidRPr="007E4C66">
        <w:rPr>
          <w:sz w:val="26"/>
          <w:szCs w:val="26"/>
        </w:rPr>
        <w:t xml:space="preserve">is superior to </w:t>
      </w:r>
      <w:r w:rsidRPr="007E4C66">
        <w:rPr>
          <w:sz w:val="26"/>
          <w:szCs w:val="26"/>
        </w:rPr>
        <w:t xml:space="preserve">a tainting rule because it is more accurate. Others </w:t>
      </w:r>
      <w:r w:rsidR="000962A2" w:rsidRPr="007E4C66">
        <w:rPr>
          <w:sz w:val="26"/>
          <w:szCs w:val="26"/>
        </w:rPr>
        <w:t>said</w:t>
      </w:r>
      <w:r w:rsidRPr="007E4C66">
        <w:rPr>
          <w:sz w:val="26"/>
          <w:szCs w:val="26"/>
        </w:rPr>
        <w:t xml:space="preserve"> the true object test is too subjective and a more objective test, based for example on comparable cost data across similar industries, is more accurate. Several </w:t>
      </w:r>
      <w:r w:rsidR="000962A2" w:rsidRPr="007E4C66">
        <w:rPr>
          <w:sz w:val="26"/>
          <w:szCs w:val="26"/>
        </w:rPr>
        <w:t xml:space="preserve">stakeholders </w:t>
      </w:r>
      <w:r w:rsidRPr="007E4C66">
        <w:rPr>
          <w:sz w:val="26"/>
          <w:szCs w:val="26"/>
        </w:rPr>
        <w:t xml:space="preserve">noted that when working with the true object test, disputes with tax agency staff can arise over whether the seller or purchaser perspective controls. Some </w:t>
      </w:r>
      <w:r w:rsidRPr="007E4C66">
        <w:rPr>
          <w:sz w:val="26"/>
          <w:szCs w:val="26"/>
        </w:rPr>
        <w:lastRenderedPageBreak/>
        <w:t>suggested greater clarity could be achieved by using a “reasonably prudent buyer” standard for determining the true object of a bundled transaction.</w:t>
      </w:r>
    </w:p>
    <w:p w14:paraId="3280440F" w14:textId="6A4A7447" w:rsidR="003742BA" w:rsidRDefault="003742BA" w:rsidP="003742BA">
      <w:pPr>
        <w:pStyle w:val="Heading3"/>
      </w:pPr>
      <w:r>
        <w:t xml:space="preserve">vii. </w:t>
      </w:r>
      <w:r>
        <w:tab/>
        <w:t>Apply a Taxability Percentage</w:t>
      </w:r>
    </w:p>
    <w:p w14:paraId="14883B89" w14:textId="2E5CFA64" w:rsidR="00A26D06" w:rsidRPr="007E4C66" w:rsidRDefault="00A26D06" w:rsidP="00A26D06">
      <w:pPr>
        <w:pStyle w:val="PlainText"/>
        <w:spacing w:line="276" w:lineRule="auto"/>
        <w:rPr>
          <w:szCs w:val="26"/>
        </w:rPr>
      </w:pPr>
      <w:r w:rsidRPr="007E4C66">
        <w:rPr>
          <w:szCs w:val="26"/>
        </w:rPr>
        <w:t xml:space="preserve">Streamlined section 330 concerns “Bundled Transactions.” Subsection 330.D.3. could be used as a model to develop an approach that would provide </w:t>
      </w:r>
      <w:r w:rsidR="00911D3D" w:rsidRPr="007E4C66">
        <w:rPr>
          <w:szCs w:val="26"/>
        </w:rPr>
        <w:t xml:space="preserve">that </w:t>
      </w:r>
      <w:r w:rsidRPr="007E4C66">
        <w:rPr>
          <w:szCs w:val="26"/>
        </w:rPr>
        <w:t xml:space="preserve">in certain circumstances </w:t>
      </w:r>
      <w:r w:rsidR="00911D3D" w:rsidRPr="007E4C66">
        <w:rPr>
          <w:szCs w:val="26"/>
        </w:rPr>
        <w:t>some percentage</w:t>
      </w:r>
      <w:r w:rsidRPr="007E4C66">
        <w:rPr>
          <w:szCs w:val="26"/>
        </w:rPr>
        <w:t xml:space="preserve"> of the transaction will be deemed taxable. This could be phrased as a rebuttable or an irrebuttable presumption. One stakeholder </w:t>
      </w:r>
      <w:r w:rsidR="00911D3D" w:rsidRPr="007E4C66">
        <w:rPr>
          <w:szCs w:val="26"/>
        </w:rPr>
        <w:t>shared the example</w:t>
      </w:r>
      <w:r w:rsidRPr="007E4C66">
        <w:rPr>
          <w:szCs w:val="26"/>
        </w:rPr>
        <w:t xml:space="preserve"> of a subscription service that allows the subscriber to select products from a menu that include</w:t>
      </w:r>
      <w:r w:rsidR="00911D3D" w:rsidRPr="007E4C66">
        <w:rPr>
          <w:szCs w:val="26"/>
        </w:rPr>
        <w:t>s</w:t>
      </w:r>
      <w:r w:rsidRPr="007E4C66">
        <w:rPr>
          <w:szCs w:val="26"/>
        </w:rPr>
        <w:t xml:space="preserve"> both digital and non-digital products. Payments would typically be made in advance and neither the customer nor the seller would know what allocation may be appropriate at the time of billing. Ease of administration might suggest a single taxable percentage for the monthly charge, regardless of the actual usage in any month.</w:t>
      </w:r>
    </w:p>
    <w:p w14:paraId="4960AD51" w14:textId="77777777" w:rsidR="00A26D06" w:rsidRPr="007E4C66" w:rsidRDefault="00A26D06" w:rsidP="00A26D06">
      <w:pPr>
        <w:pStyle w:val="PlainText"/>
        <w:spacing w:line="276" w:lineRule="auto"/>
        <w:rPr>
          <w:szCs w:val="26"/>
        </w:rPr>
      </w:pPr>
    </w:p>
    <w:p w14:paraId="1CE5DF42" w14:textId="77777777" w:rsidR="00A26D06" w:rsidRPr="007E4C66" w:rsidRDefault="00A26D06" w:rsidP="00A26D06">
      <w:pPr>
        <w:pStyle w:val="PlainText"/>
        <w:spacing w:line="276" w:lineRule="auto"/>
        <w:rPr>
          <w:szCs w:val="26"/>
        </w:rPr>
      </w:pPr>
      <w:r w:rsidRPr="007E4C66">
        <w:rPr>
          <w:szCs w:val="26"/>
        </w:rPr>
        <w:t>For background, while not addressing digital products, Streamlined section 330 provides in relevant part as follows:</w:t>
      </w:r>
    </w:p>
    <w:p w14:paraId="39B2B0DB" w14:textId="77777777" w:rsidR="00A26D06" w:rsidRPr="007E4C66" w:rsidRDefault="00A26D06" w:rsidP="00A26D06">
      <w:pPr>
        <w:pStyle w:val="PlainText"/>
        <w:spacing w:line="276" w:lineRule="auto"/>
        <w:rPr>
          <w:szCs w:val="26"/>
        </w:rPr>
      </w:pPr>
    </w:p>
    <w:p w14:paraId="17379F26" w14:textId="77777777" w:rsidR="00A26D06" w:rsidRPr="007E4C66" w:rsidRDefault="00A26D06" w:rsidP="00911D3D">
      <w:pPr>
        <w:pStyle w:val="PlainText"/>
        <w:spacing w:line="276" w:lineRule="auto"/>
        <w:ind w:left="720"/>
        <w:rPr>
          <w:szCs w:val="26"/>
        </w:rPr>
      </w:pPr>
      <w:r w:rsidRPr="007E4C66">
        <w:rPr>
          <w:szCs w:val="26"/>
        </w:rPr>
        <w:t xml:space="preserve">D. In the case of a transaction that includes an “optional computer software maintenance contract” for prewritten computer software and the state otherwise has not specifically imposed tax on the retail sale of computer software maintenance contracts, the following provisions apply: </w:t>
      </w:r>
    </w:p>
    <w:p w14:paraId="4BE12343" w14:textId="77777777" w:rsidR="00A26D06" w:rsidRPr="007E4C66" w:rsidRDefault="00A26D06" w:rsidP="00A26D06">
      <w:pPr>
        <w:pStyle w:val="PlainText"/>
        <w:rPr>
          <w:szCs w:val="26"/>
        </w:rPr>
      </w:pPr>
    </w:p>
    <w:p w14:paraId="17128C7F" w14:textId="77777777" w:rsidR="00A26D06" w:rsidRPr="007E4C66" w:rsidRDefault="00A26D06" w:rsidP="00A26D06">
      <w:pPr>
        <w:pStyle w:val="PlainText"/>
        <w:spacing w:line="276" w:lineRule="auto"/>
        <w:ind w:firstLine="720"/>
        <w:rPr>
          <w:szCs w:val="26"/>
        </w:rPr>
      </w:pPr>
      <w:r w:rsidRPr="007E4C66">
        <w:rPr>
          <w:szCs w:val="26"/>
        </w:rPr>
        <w:t>. . . .</w:t>
      </w:r>
    </w:p>
    <w:p w14:paraId="3DA49EBB" w14:textId="77777777" w:rsidR="00A26D06" w:rsidRPr="007E4C66" w:rsidRDefault="00A26D06" w:rsidP="00A26D06">
      <w:pPr>
        <w:pStyle w:val="PlainText"/>
        <w:spacing w:line="276" w:lineRule="auto"/>
        <w:ind w:firstLine="720"/>
        <w:rPr>
          <w:szCs w:val="26"/>
        </w:rPr>
      </w:pPr>
    </w:p>
    <w:p w14:paraId="6F6A476B" w14:textId="77777777" w:rsidR="00A26D06" w:rsidRPr="007E4C66" w:rsidRDefault="00A26D06" w:rsidP="00A26D06">
      <w:pPr>
        <w:pStyle w:val="PlainText"/>
        <w:spacing w:line="276" w:lineRule="auto"/>
        <w:ind w:firstLine="720"/>
        <w:rPr>
          <w:szCs w:val="26"/>
        </w:rPr>
      </w:pPr>
      <w:r w:rsidRPr="007E4C66">
        <w:rPr>
          <w:szCs w:val="26"/>
        </w:rPr>
        <w:t xml:space="preserve">2. If an optional computer software maintenance contract only obligates the vendor to provide support services, it will be characterized as a sale of services and a state may use any of the methods provided under subsection (D)(3) to determine the taxable and nontaxable or exempt portions. </w:t>
      </w:r>
    </w:p>
    <w:p w14:paraId="5B42CBC1" w14:textId="77777777" w:rsidR="00A26D06" w:rsidRPr="007E4C66" w:rsidRDefault="00A26D06" w:rsidP="00A26D06">
      <w:pPr>
        <w:pStyle w:val="PlainText"/>
        <w:spacing w:line="276" w:lineRule="auto"/>
        <w:ind w:firstLine="720"/>
        <w:rPr>
          <w:szCs w:val="26"/>
        </w:rPr>
      </w:pPr>
    </w:p>
    <w:p w14:paraId="2C8F9CEE" w14:textId="77777777" w:rsidR="00A26D06" w:rsidRPr="007E4C66" w:rsidRDefault="00A26D06" w:rsidP="00A26D06">
      <w:pPr>
        <w:pStyle w:val="PlainText"/>
        <w:spacing w:line="276" w:lineRule="auto"/>
        <w:ind w:firstLine="720"/>
        <w:rPr>
          <w:szCs w:val="26"/>
        </w:rPr>
      </w:pPr>
      <w:r w:rsidRPr="007E4C66">
        <w:rPr>
          <w:szCs w:val="26"/>
        </w:rPr>
        <w:t xml:space="preserve">3. If an optional computer software maintenance contract is a bundled transaction in which both taxable and nontaxable or exempt products that are not separately itemized on the invoice or similar billing document, then states shall elect one of the following tax treatments: </w:t>
      </w:r>
    </w:p>
    <w:p w14:paraId="1C842CEE" w14:textId="77777777" w:rsidR="00A26D06" w:rsidRPr="007E4C66" w:rsidRDefault="00A26D06" w:rsidP="00A26D06">
      <w:pPr>
        <w:pStyle w:val="PlainText"/>
        <w:spacing w:line="276" w:lineRule="auto"/>
        <w:ind w:firstLine="720"/>
        <w:rPr>
          <w:szCs w:val="26"/>
        </w:rPr>
      </w:pPr>
    </w:p>
    <w:p w14:paraId="15BC7178" w14:textId="77777777" w:rsidR="00A26D06" w:rsidRPr="007E4C66" w:rsidRDefault="00A26D06" w:rsidP="00A26D06">
      <w:pPr>
        <w:pStyle w:val="PlainText"/>
        <w:spacing w:line="276" w:lineRule="auto"/>
        <w:ind w:firstLine="720"/>
        <w:rPr>
          <w:szCs w:val="26"/>
        </w:rPr>
      </w:pPr>
      <w:r w:rsidRPr="007E4C66">
        <w:rPr>
          <w:szCs w:val="26"/>
        </w:rPr>
        <w:t>. . . .</w:t>
      </w:r>
    </w:p>
    <w:p w14:paraId="7959B53F" w14:textId="77777777" w:rsidR="00A26D06" w:rsidRPr="007E4C66" w:rsidRDefault="00A26D06" w:rsidP="00A26D06">
      <w:pPr>
        <w:pStyle w:val="PlainText"/>
        <w:spacing w:line="276" w:lineRule="auto"/>
        <w:ind w:firstLine="720"/>
        <w:rPr>
          <w:szCs w:val="26"/>
        </w:rPr>
      </w:pPr>
    </w:p>
    <w:p w14:paraId="018B3BFC" w14:textId="77777777" w:rsidR="00A26D06" w:rsidRPr="007E4C66" w:rsidRDefault="00A26D06" w:rsidP="00A26D06">
      <w:pPr>
        <w:pStyle w:val="PlainText"/>
        <w:spacing w:line="276" w:lineRule="auto"/>
        <w:ind w:firstLine="720"/>
        <w:rPr>
          <w:szCs w:val="26"/>
        </w:rPr>
      </w:pPr>
      <w:r w:rsidRPr="007E4C66">
        <w:rPr>
          <w:szCs w:val="26"/>
        </w:rPr>
        <w:lastRenderedPageBreak/>
        <w:t xml:space="preserve">d. The contract shall be characterized as twenty, thirty, forty or fifty percent taxable or eighty, seventy, sixty and fifty percent nontaxable or exempt respectively, as selected by each member state. </w:t>
      </w:r>
    </w:p>
    <w:p w14:paraId="5588DD08" w14:textId="77777777" w:rsidR="00A26D06" w:rsidRPr="007E4C66" w:rsidRDefault="00A26D06" w:rsidP="00A26D06">
      <w:pPr>
        <w:pStyle w:val="PlainText"/>
        <w:spacing w:line="276" w:lineRule="auto"/>
        <w:ind w:firstLine="720"/>
        <w:rPr>
          <w:szCs w:val="26"/>
        </w:rPr>
      </w:pPr>
    </w:p>
    <w:p w14:paraId="7E94555E" w14:textId="77777777" w:rsidR="00A26D06" w:rsidRPr="007E4C66" w:rsidRDefault="00A26D06" w:rsidP="00A26D06">
      <w:pPr>
        <w:pStyle w:val="PlainText"/>
        <w:spacing w:line="276" w:lineRule="auto"/>
        <w:ind w:firstLine="720"/>
        <w:rPr>
          <w:szCs w:val="26"/>
        </w:rPr>
      </w:pPr>
      <w:r w:rsidRPr="007E4C66">
        <w:rPr>
          <w:szCs w:val="26"/>
        </w:rPr>
        <w:t xml:space="preserve">4. With respect to states that elect the method described in subparagraph 3(b): </w:t>
      </w:r>
    </w:p>
    <w:p w14:paraId="1B9BFE2C" w14:textId="77777777" w:rsidR="00A26D06" w:rsidRPr="007E4C66" w:rsidRDefault="00A26D06" w:rsidP="00A26D06">
      <w:pPr>
        <w:pStyle w:val="PlainText"/>
        <w:spacing w:line="276" w:lineRule="auto"/>
        <w:ind w:firstLine="720"/>
        <w:rPr>
          <w:szCs w:val="26"/>
        </w:rPr>
      </w:pPr>
    </w:p>
    <w:p w14:paraId="4A729DBF" w14:textId="77777777" w:rsidR="00A26D06" w:rsidRPr="007E4C66" w:rsidRDefault="00A26D06" w:rsidP="00A26D06">
      <w:pPr>
        <w:pStyle w:val="PlainText"/>
        <w:spacing w:line="276" w:lineRule="auto"/>
        <w:ind w:firstLine="720"/>
        <w:rPr>
          <w:szCs w:val="26"/>
        </w:rPr>
      </w:pPr>
      <w:r w:rsidRPr="007E4C66">
        <w:rPr>
          <w:szCs w:val="26"/>
        </w:rPr>
        <w:t xml:space="preserve">a. Such states may prescribe the use of such reasonable methods as it deems appropriate, and </w:t>
      </w:r>
    </w:p>
    <w:p w14:paraId="2A1A9855" w14:textId="77777777" w:rsidR="00A26D06" w:rsidRPr="007E4C66" w:rsidRDefault="00A26D06" w:rsidP="00A26D06">
      <w:pPr>
        <w:pStyle w:val="PlainText"/>
        <w:spacing w:line="276" w:lineRule="auto"/>
        <w:ind w:firstLine="720"/>
        <w:rPr>
          <w:szCs w:val="26"/>
        </w:rPr>
      </w:pPr>
    </w:p>
    <w:p w14:paraId="5952B697" w14:textId="77777777" w:rsidR="00A26D06" w:rsidRPr="007E4C66" w:rsidRDefault="00A26D06" w:rsidP="00A26D06">
      <w:pPr>
        <w:pStyle w:val="PlainText"/>
        <w:spacing w:line="276" w:lineRule="auto"/>
        <w:ind w:firstLine="720"/>
        <w:rPr>
          <w:szCs w:val="26"/>
        </w:rPr>
      </w:pPr>
      <w:r w:rsidRPr="007E4C66">
        <w:rPr>
          <w:szCs w:val="26"/>
        </w:rPr>
        <w:t>b. The method selected by the seller shall be binding on the purchaser.</w:t>
      </w:r>
    </w:p>
    <w:p w14:paraId="5533A428" w14:textId="77777777" w:rsidR="00A26D06" w:rsidRPr="007E4C66" w:rsidRDefault="00A26D06" w:rsidP="00A26D06">
      <w:pPr>
        <w:pStyle w:val="PlainText"/>
        <w:spacing w:line="276" w:lineRule="auto"/>
        <w:rPr>
          <w:szCs w:val="26"/>
        </w:rPr>
      </w:pPr>
    </w:p>
    <w:p w14:paraId="392D828D" w14:textId="77777777" w:rsidR="00A26D06" w:rsidRPr="007E4C66" w:rsidRDefault="00A26D06" w:rsidP="00A26D06">
      <w:pPr>
        <w:pStyle w:val="PlainText"/>
        <w:spacing w:line="276" w:lineRule="auto"/>
        <w:rPr>
          <w:szCs w:val="26"/>
        </w:rPr>
      </w:pPr>
      <w:r w:rsidRPr="007E4C66">
        <w:rPr>
          <w:szCs w:val="26"/>
        </w:rPr>
        <w:t>The accompanying rule to Streamlined Agreement section 330.3 (Allocations with respect to Prewritten Computer Software Maintenance Contracts) provides: “Each state may elect one uniform percentage within the range allowed under Section 330 (D)(3)(d) for allocating between taxable and nontaxable or exempt products.”</w:t>
      </w:r>
    </w:p>
    <w:p w14:paraId="21F623E8" w14:textId="77777777" w:rsidR="00A26D06" w:rsidRPr="007E4C66" w:rsidRDefault="00A26D06" w:rsidP="00A26D06">
      <w:pPr>
        <w:pStyle w:val="PlainText"/>
        <w:spacing w:line="276" w:lineRule="auto"/>
        <w:rPr>
          <w:szCs w:val="26"/>
        </w:rPr>
      </w:pPr>
    </w:p>
    <w:p w14:paraId="7ACC3619" w14:textId="77777777" w:rsidR="00A26D06" w:rsidRPr="007E4C66" w:rsidRDefault="00A26D06" w:rsidP="00A26D06">
      <w:pPr>
        <w:rPr>
          <w:sz w:val="26"/>
          <w:szCs w:val="26"/>
        </w:rPr>
      </w:pPr>
      <w:r w:rsidRPr="007E4C66">
        <w:rPr>
          <w:sz w:val="26"/>
          <w:szCs w:val="26"/>
        </w:rPr>
        <w:t xml:space="preserve">Pros: </w:t>
      </w:r>
    </w:p>
    <w:p w14:paraId="07444D7A" w14:textId="77777777" w:rsidR="00A26D06" w:rsidRPr="007E4C66" w:rsidRDefault="00A26D06" w:rsidP="00C55420">
      <w:pPr>
        <w:pStyle w:val="ListParagraph"/>
        <w:numPr>
          <w:ilvl w:val="0"/>
          <w:numId w:val="7"/>
        </w:numPr>
        <w:rPr>
          <w:sz w:val="26"/>
          <w:szCs w:val="26"/>
        </w:rPr>
      </w:pPr>
      <w:r w:rsidRPr="007E4C66">
        <w:rPr>
          <w:sz w:val="26"/>
          <w:szCs w:val="26"/>
        </w:rPr>
        <w:t>May promote consistent results.</w:t>
      </w:r>
    </w:p>
    <w:p w14:paraId="511E4590" w14:textId="446281A7" w:rsidR="00911D3D" w:rsidRPr="007E4C66" w:rsidRDefault="00A26D06" w:rsidP="00C55420">
      <w:pPr>
        <w:pStyle w:val="ListParagraph"/>
        <w:numPr>
          <w:ilvl w:val="0"/>
          <w:numId w:val="7"/>
        </w:numPr>
        <w:rPr>
          <w:sz w:val="26"/>
          <w:szCs w:val="26"/>
        </w:rPr>
      </w:pPr>
      <w:r w:rsidRPr="007E4C66">
        <w:rPr>
          <w:sz w:val="26"/>
          <w:szCs w:val="26"/>
        </w:rPr>
        <w:t>Eliminates the all-or-nothing approach to bundling</w:t>
      </w:r>
      <w:r w:rsidR="00911D3D" w:rsidRPr="007E4C66">
        <w:rPr>
          <w:sz w:val="26"/>
          <w:szCs w:val="26"/>
        </w:rPr>
        <w:t>.</w:t>
      </w:r>
    </w:p>
    <w:p w14:paraId="625D067A" w14:textId="7212E98C" w:rsidR="00A26D06" w:rsidRPr="007E4C66" w:rsidRDefault="00911D3D" w:rsidP="00C55420">
      <w:pPr>
        <w:pStyle w:val="ListParagraph"/>
        <w:numPr>
          <w:ilvl w:val="0"/>
          <w:numId w:val="7"/>
        </w:numPr>
        <w:rPr>
          <w:sz w:val="26"/>
          <w:szCs w:val="26"/>
        </w:rPr>
      </w:pPr>
      <w:r w:rsidRPr="007E4C66">
        <w:rPr>
          <w:sz w:val="26"/>
          <w:szCs w:val="26"/>
        </w:rPr>
        <w:t>M</w:t>
      </w:r>
      <w:r w:rsidR="00A26D06" w:rsidRPr="007E4C66">
        <w:rPr>
          <w:sz w:val="26"/>
          <w:szCs w:val="26"/>
        </w:rPr>
        <w:t>ay be perceived as more fair</w:t>
      </w:r>
      <w:r w:rsidRPr="007E4C66">
        <w:rPr>
          <w:sz w:val="26"/>
          <w:szCs w:val="26"/>
        </w:rPr>
        <w:t>.</w:t>
      </w:r>
    </w:p>
    <w:p w14:paraId="25CE6943" w14:textId="77777777" w:rsidR="00A26D06" w:rsidRPr="007E4C66" w:rsidRDefault="00A26D06" w:rsidP="00A26D06">
      <w:pPr>
        <w:rPr>
          <w:sz w:val="26"/>
          <w:szCs w:val="26"/>
        </w:rPr>
      </w:pPr>
      <w:r w:rsidRPr="007E4C66">
        <w:rPr>
          <w:sz w:val="26"/>
          <w:szCs w:val="26"/>
        </w:rPr>
        <w:t xml:space="preserve">Cons: </w:t>
      </w:r>
    </w:p>
    <w:p w14:paraId="7AA8FB3D" w14:textId="77777777" w:rsidR="00A26D06" w:rsidRPr="007E4C66" w:rsidRDefault="00A26D06" w:rsidP="00C55420">
      <w:pPr>
        <w:pStyle w:val="ListParagraph"/>
        <w:numPr>
          <w:ilvl w:val="0"/>
          <w:numId w:val="8"/>
        </w:numPr>
        <w:rPr>
          <w:sz w:val="26"/>
          <w:szCs w:val="26"/>
        </w:rPr>
      </w:pPr>
      <w:r w:rsidRPr="007E4C66">
        <w:rPr>
          <w:sz w:val="26"/>
          <w:szCs w:val="26"/>
        </w:rPr>
        <w:t>Likely cannot apply broadly to all bundling situations.</w:t>
      </w:r>
    </w:p>
    <w:p w14:paraId="3CFCFEA7" w14:textId="09DEDBAC" w:rsidR="00A26D06" w:rsidRPr="007E4C66" w:rsidRDefault="00A26D06" w:rsidP="00C55420">
      <w:pPr>
        <w:pStyle w:val="ListParagraph"/>
        <w:numPr>
          <w:ilvl w:val="0"/>
          <w:numId w:val="8"/>
        </w:numPr>
        <w:rPr>
          <w:sz w:val="26"/>
          <w:szCs w:val="26"/>
        </w:rPr>
      </w:pPr>
      <w:r w:rsidRPr="007E4C66">
        <w:rPr>
          <w:sz w:val="26"/>
          <w:szCs w:val="26"/>
        </w:rPr>
        <w:t>The percentage applied could be viewed as arbitrary.</w:t>
      </w:r>
    </w:p>
    <w:p w14:paraId="5BAA258D" w14:textId="17116D1B" w:rsidR="00213573" w:rsidRDefault="00A26D06" w:rsidP="000D3D05">
      <w:pPr>
        <w:pStyle w:val="Heading2"/>
      </w:pPr>
      <w:r>
        <w:t>D. Cases and other guidance on the ITFA and MTSA Accounting Rules</w:t>
      </w:r>
    </w:p>
    <w:p w14:paraId="36AD2A71" w14:textId="77777777" w:rsidR="00213573" w:rsidRPr="007E4C66" w:rsidRDefault="00213573" w:rsidP="00213573">
      <w:pPr>
        <w:rPr>
          <w:rFonts w:cs="Times New Roman"/>
          <w:sz w:val="26"/>
          <w:szCs w:val="26"/>
        </w:rPr>
      </w:pPr>
      <w:r w:rsidRPr="00053F70">
        <w:rPr>
          <w:sz w:val="26"/>
          <w:szCs w:val="26"/>
        </w:rPr>
        <w:t>In the Matter of the Petition of Helio,</w:t>
      </w:r>
      <w:r w:rsidRPr="007E4C66">
        <w:rPr>
          <w:i/>
          <w:iCs/>
          <w:sz w:val="26"/>
          <w:szCs w:val="26"/>
        </w:rPr>
        <w:t xml:space="preserve"> LLC,</w:t>
      </w:r>
      <w:r w:rsidRPr="007E4C66">
        <w:rPr>
          <w:sz w:val="26"/>
          <w:szCs w:val="26"/>
        </w:rPr>
        <w:t xml:space="preserve"> </w:t>
      </w:r>
      <w:bookmarkStart w:id="3" w:name="_Hlk218766157"/>
      <w:r w:rsidRPr="007E4C66">
        <w:rPr>
          <w:sz w:val="26"/>
          <w:szCs w:val="26"/>
        </w:rPr>
        <w:t xml:space="preserve">DTA No. 825010 </w:t>
      </w:r>
      <w:r w:rsidRPr="007E4C66">
        <w:rPr>
          <w:rFonts w:cs="Times New Roman"/>
          <w:sz w:val="26"/>
          <w:szCs w:val="26"/>
        </w:rPr>
        <w:t>(N.Y. Tax Appeals 2015)</w:t>
      </w:r>
      <w:bookmarkEnd w:id="3"/>
      <w:r w:rsidRPr="007E4C66">
        <w:rPr>
          <w:rFonts w:cs="Times New Roman"/>
          <w:sz w:val="26"/>
          <w:szCs w:val="26"/>
        </w:rPr>
        <w:t xml:space="preserve">. In </w:t>
      </w:r>
      <w:r w:rsidRPr="007E4C66">
        <w:rPr>
          <w:rFonts w:cs="Times New Roman"/>
          <w:i/>
          <w:iCs/>
          <w:sz w:val="26"/>
          <w:szCs w:val="26"/>
        </w:rPr>
        <w:t>Helio</w:t>
      </w:r>
      <w:r w:rsidRPr="007E4C66">
        <w:rPr>
          <w:rFonts w:cs="Times New Roman"/>
          <w:sz w:val="26"/>
          <w:szCs w:val="26"/>
        </w:rPr>
        <w:t>, the Tax Appeals Tribunal briefly considered the MTSA accounting rule. The Tribunal ruled the accounting rule was not applicable to the situation. Relevant to this document, the applicability of the accounting rule turned on its first phrase: “If a taxing jurisdiction does not otherwise subject charges for mobile telecommunications services to taxation.” The tribunal found that New York did subject the services to taxation therefore the accounting rule was inapplicable. This phrase does not appear in the ITFA accounting rule.</w:t>
      </w:r>
    </w:p>
    <w:p w14:paraId="567A8E2D" w14:textId="2C41FF94" w:rsidR="00213573" w:rsidRPr="007E4C66" w:rsidRDefault="00213573" w:rsidP="00213573">
      <w:pPr>
        <w:rPr>
          <w:sz w:val="26"/>
          <w:szCs w:val="26"/>
        </w:rPr>
      </w:pPr>
      <w:r w:rsidRPr="00053F70">
        <w:rPr>
          <w:rFonts w:cs="Times New Roman"/>
          <w:sz w:val="26"/>
          <w:szCs w:val="26"/>
        </w:rPr>
        <w:t>J2 Cloud Servs., Inc. (f/k/a J2 Glob., Inc. &amp; J2 Glob. Commc’ns, Inc.) v. Comm’r of Revenue,</w:t>
      </w:r>
      <w:r w:rsidRPr="007E4C66">
        <w:rPr>
          <w:rFonts w:cs="Times New Roman"/>
          <w:sz w:val="26"/>
          <w:szCs w:val="26"/>
        </w:rPr>
        <w:t xml:space="preserve"> Docket No. C325426, 2019 WL 1102964, at *17 (Mass. App. Tax. Bd. Feb. 27, 2019). In </w:t>
      </w:r>
      <w:r w:rsidRPr="007E4C66">
        <w:rPr>
          <w:rFonts w:cs="Times New Roman"/>
          <w:i/>
          <w:iCs/>
          <w:sz w:val="26"/>
          <w:szCs w:val="26"/>
        </w:rPr>
        <w:t>J2 Cloud Services</w:t>
      </w:r>
      <w:r w:rsidRPr="007E4C66">
        <w:rPr>
          <w:rFonts w:cs="Times New Roman"/>
          <w:sz w:val="26"/>
          <w:szCs w:val="26"/>
        </w:rPr>
        <w:t xml:space="preserve">, the Massachusetts Appellate Tax Board determined the taxpayer’s offerings were not Internet access. Therefore, the ITFA accounting rule was not implicated </w:t>
      </w:r>
      <w:r w:rsidRPr="007E4C66">
        <w:rPr>
          <w:rFonts w:cs="Times New Roman"/>
          <w:sz w:val="26"/>
          <w:szCs w:val="26"/>
        </w:rPr>
        <w:lastRenderedPageBreak/>
        <w:t>directly. The court did mention the ITFA accounting rule, describing it as a “requisite” to the protections for Internet access, akin to the requirements for screening software required under ITFA.</w:t>
      </w:r>
    </w:p>
    <w:p w14:paraId="280C6D92" w14:textId="10EC5B63" w:rsidR="00213573" w:rsidRPr="007E4C66" w:rsidRDefault="00213573" w:rsidP="00A26D06">
      <w:pPr>
        <w:rPr>
          <w:sz w:val="26"/>
          <w:szCs w:val="26"/>
        </w:rPr>
      </w:pPr>
      <w:r w:rsidRPr="007E4C66">
        <w:rPr>
          <w:sz w:val="26"/>
          <w:szCs w:val="26"/>
        </w:rPr>
        <w:t>New York State Department of Taxation and Finance, TSB-A-08(47)S (October 16, 2008). New York determined that an Internet cafe’s charges for Internet access and taxable software were separately determinable for purposes of the accounting rule. The Department cited to the end screen shown at the close of each session that displayed the time spent and charges for accessing the Internet and the time spent and charges for using the software.</w:t>
      </w:r>
    </w:p>
    <w:p w14:paraId="44958521" w14:textId="25C53A35" w:rsidR="00213573" w:rsidRPr="007E4C66" w:rsidRDefault="00213573" w:rsidP="00A26D06">
      <w:pPr>
        <w:rPr>
          <w:sz w:val="26"/>
          <w:szCs w:val="26"/>
        </w:rPr>
      </w:pPr>
      <w:r w:rsidRPr="007E4C66">
        <w:rPr>
          <w:sz w:val="26"/>
          <w:szCs w:val="26"/>
        </w:rPr>
        <w:t>New York State Department of Taxation and Finance, TSB-A-17(2)S (February 27, 2017); see also, TSB-A-09(17)C/TSB-A-09(60)S (December 15, 2009. New York provided that to satisfy the accounting rule the charges for Internet access must be “readily identifiable,” determined using an “objective and verifiable” standard, and reasonable in relation to the total charge.</w:t>
      </w:r>
    </w:p>
    <w:p w14:paraId="1BCBD763" w14:textId="6CEEA197" w:rsidR="00A26D06" w:rsidRPr="007E4C66" w:rsidRDefault="00A26D06" w:rsidP="00A26D06">
      <w:pPr>
        <w:rPr>
          <w:sz w:val="26"/>
          <w:szCs w:val="26"/>
        </w:rPr>
      </w:pPr>
      <w:r w:rsidRPr="007E4C66">
        <w:rPr>
          <w:sz w:val="26"/>
          <w:szCs w:val="26"/>
        </w:rPr>
        <w:t>Minn. DOR, Rev. Not</w:t>
      </w:r>
      <w:r w:rsidR="00213573" w:rsidRPr="007E4C66">
        <w:rPr>
          <w:sz w:val="26"/>
          <w:szCs w:val="26"/>
        </w:rPr>
        <w:t>ice</w:t>
      </w:r>
      <w:r w:rsidRPr="007E4C66">
        <w:rPr>
          <w:sz w:val="26"/>
          <w:szCs w:val="26"/>
        </w:rPr>
        <w:t xml:space="preserve"> #03-10 June 8, 2009).</w:t>
      </w:r>
    </w:p>
    <w:p w14:paraId="34DC2B0F" w14:textId="578D04AA" w:rsidR="00A26D06" w:rsidRPr="007E4C66" w:rsidRDefault="00213573" w:rsidP="00A26D06">
      <w:pPr>
        <w:rPr>
          <w:i/>
          <w:iCs/>
          <w:sz w:val="26"/>
          <w:szCs w:val="26"/>
        </w:rPr>
      </w:pPr>
      <w:r w:rsidRPr="007E4C66">
        <w:rPr>
          <w:sz w:val="26"/>
          <w:szCs w:val="26"/>
        </w:rPr>
        <w:t xml:space="preserve">Kansas Priv. </w:t>
      </w:r>
      <w:proofErr w:type="spellStart"/>
      <w:r w:rsidRPr="007E4C66">
        <w:rPr>
          <w:sz w:val="26"/>
          <w:szCs w:val="26"/>
        </w:rPr>
        <w:t>Ltr</w:t>
      </w:r>
      <w:proofErr w:type="spellEnd"/>
      <w:r w:rsidRPr="007E4C66">
        <w:rPr>
          <w:sz w:val="26"/>
          <w:szCs w:val="26"/>
        </w:rPr>
        <w:t xml:space="preserve">. Rul. 2011-003. </w:t>
      </w:r>
      <w:r w:rsidR="00A26D06" w:rsidRPr="007E4C66">
        <w:rPr>
          <w:sz w:val="26"/>
          <w:szCs w:val="26"/>
        </w:rPr>
        <w:t xml:space="preserve">Kansas </w:t>
      </w:r>
      <w:r w:rsidR="00911D3D" w:rsidRPr="007E4C66">
        <w:rPr>
          <w:sz w:val="26"/>
          <w:szCs w:val="26"/>
        </w:rPr>
        <w:t>ad</w:t>
      </w:r>
      <w:r w:rsidRPr="007E4C66">
        <w:rPr>
          <w:sz w:val="26"/>
          <w:szCs w:val="26"/>
        </w:rPr>
        <w:t>vised taxpayers to both separately state their charges for Internet access and keep books and records to substantiate the amounts.</w:t>
      </w:r>
    </w:p>
    <w:p w14:paraId="1D17FB0D" w14:textId="55509EE3" w:rsidR="00A26D06" w:rsidRPr="00A26D06" w:rsidRDefault="00A26D06" w:rsidP="00A26D06"/>
    <w:sectPr w:rsidR="00A26D06" w:rsidRPr="00A26D0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D47D" w14:textId="77777777" w:rsidR="00032397" w:rsidRDefault="00032397">
      <w:pPr>
        <w:spacing w:after="0" w:line="240" w:lineRule="auto"/>
      </w:pPr>
      <w:r>
        <w:separator/>
      </w:r>
    </w:p>
  </w:endnote>
  <w:endnote w:type="continuationSeparator" w:id="0">
    <w:p w14:paraId="6AB0E611" w14:textId="77777777" w:rsidR="00032397" w:rsidRDefault="0003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315189"/>
      <w:docPartObj>
        <w:docPartGallery w:val="Page Numbers (Bottom of Page)"/>
        <w:docPartUnique/>
      </w:docPartObj>
    </w:sdtPr>
    <w:sdtEndPr>
      <w:rPr>
        <w:noProof/>
      </w:rPr>
    </w:sdtEndPr>
    <w:sdtContent>
      <w:p w14:paraId="4B3E3BEE" w14:textId="77777777" w:rsidR="007D37ED" w:rsidRDefault="00317E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E3BEF" w14:textId="77777777" w:rsidR="007D37ED" w:rsidRDefault="007D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059F" w14:textId="77777777" w:rsidR="00032397" w:rsidRDefault="00032397" w:rsidP="007D37ED">
      <w:pPr>
        <w:spacing w:after="0" w:line="240" w:lineRule="auto"/>
      </w:pPr>
      <w:r>
        <w:separator/>
      </w:r>
    </w:p>
  </w:footnote>
  <w:footnote w:type="continuationSeparator" w:id="0">
    <w:p w14:paraId="13C62F21" w14:textId="77777777" w:rsidR="00032397" w:rsidRDefault="00032397" w:rsidP="007D37ED">
      <w:pPr>
        <w:spacing w:after="0" w:line="240" w:lineRule="auto"/>
      </w:pPr>
      <w:r>
        <w:continuationSeparator/>
      </w:r>
    </w:p>
  </w:footnote>
  <w:footnote w:type="continuationNotice" w:id="1">
    <w:p w14:paraId="77AF7AC3" w14:textId="77777777" w:rsidR="00032397" w:rsidRDefault="00032397">
      <w:pPr>
        <w:spacing w:after="0" w:line="240" w:lineRule="auto"/>
      </w:pPr>
    </w:p>
  </w:footnote>
  <w:footnote w:id="2">
    <w:p w14:paraId="4B3E3BF1" w14:textId="77777777" w:rsidR="006D2E5C" w:rsidRPr="006D2E5C" w:rsidRDefault="00317E10">
      <w:pPr>
        <w:pStyle w:val="FootnoteText"/>
        <w:rPr>
          <w:rFonts w:ascii="Garamond" w:hAnsi="Garamond"/>
          <w:sz w:val="22"/>
          <w:szCs w:val="22"/>
        </w:rPr>
      </w:pPr>
      <w:r>
        <w:rPr>
          <w:rStyle w:val="FootnoteReference"/>
        </w:rPr>
        <w:footnoteRef/>
      </w:r>
      <w:r>
        <w:t xml:space="preserve"> </w:t>
      </w:r>
      <w:r>
        <w:rPr>
          <w:rFonts w:ascii="Garamond" w:hAnsi="Garamond"/>
          <w:sz w:val="22"/>
          <w:szCs w:val="22"/>
        </w:rPr>
        <w:t xml:space="preserve">For purposes of this MTC uniformity project, the term “digital product” means both goods and services. </w:t>
      </w:r>
    </w:p>
  </w:footnote>
  <w:footnote w:id="3">
    <w:p w14:paraId="4B3E3BF2" w14:textId="77777777" w:rsidR="006223AC" w:rsidRPr="005846DE" w:rsidRDefault="00317E10">
      <w:pPr>
        <w:pStyle w:val="FootnoteText"/>
        <w:rPr>
          <w:rFonts w:ascii="Garamond" w:hAnsi="Garamond"/>
          <w:sz w:val="22"/>
          <w:szCs w:val="22"/>
        </w:rPr>
      </w:pPr>
      <w:r>
        <w:rPr>
          <w:rStyle w:val="FootnoteReference"/>
        </w:rPr>
        <w:footnoteRef/>
      </w:r>
      <w:r>
        <w:t xml:space="preserve"> </w:t>
      </w:r>
      <w:r>
        <w:rPr>
          <w:rFonts w:ascii="Garamond" w:hAnsi="Garamond"/>
          <w:sz w:val="22"/>
          <w:szCs w:val="22"/>
        </w:rPr>
        <w:t xml:space="preserve">Visit the </w:t>
      </w:r>
      <w:r w:rsidR="00750761">
        <w:rPr>
          <w:rFonts w:ascii="Garamond" w:hAnsi="Garamond"/>
          <w:sz w:val="22"/>
          <w:szCs w:val="22"/>
        </w:rPr>
        <w:t xml:space="preserve">MTC </w:t>
      </w:r>
      <w:r>
        <w:rPr>
          <w:rFonts w:ascii="Garamond" w:hAnsi="Garamond"/>
          <w:sz w:val="22"/>
          <w:szCs w:val="22"/>
        </w:rPr>
        <w:t xml:space="preserve">project page at </w:t>
      </w:r>
      <w:hyperlink r:id="rId1" w:history="1">
        <w:r w:rsidRPr="00226A8B">
          <w:rPr>
            <w:rStyle w:val="Hyperlink"/>
            <w:rFonts w:ascii="Garamond" w:hAnsi="Garamond"/>
            <w:sz w:val="22"/>
            <w:szCs w:val="22"/>
          </w:rPr>
          <w:t>https://www.mtc.gov/uniformity/sales-tax-on-digital-products/</w:t>
        </w:r>
      </w:hyperlink>
      <w:r>
        <w:rPr>
          <w:rFonts w:ascii="Garamond" w:hAnsi="Garamond"/>
          <w:sz w:val="22"/>
          <w:szCs w:val="22"/>
        </w:rPr>
        <w:t>.</w:t>
      </w:r>
    </w:p>
  </w:footnote>
  <w:footnote w:id="4">
    <w:p w14:paraId="4B3E3BF3" w14:textId="229871D5" w:rsidR="006223AC" w:rsidRDefault="00317E10">
      <w:pPr>
        <w:pStyle w:val="FootnoteText"/>
        <w:rPr>
          <w:rFonts w:ascii="Garamond" w:hAnsi="Garamond"/>
          <w:sz w:val="22"/>
          <w:szCs w:val="22"/>
        </w:rPr>
      </w:pPr>
      <w:r w:rsidRPr="005846DE">
        <w:rPr>
          <w:rStyle w:val="FootnoteReference"/>
          <w:rFonts w:ascii="Garamond" w:hAnsi="Garamond"/>
          <w:sz w:val="22"/>
          <w:szCs w:val="22"/>
        </w:rPr>
        <w:footnoteRef/>
      </w:r>
      <w:r w:rsidRPr="005846DE">
        <w:rPr>
          <w:rFonts w:ascii="Garamond" w:hAnsi="Garamond"/>
          <w:sz w:val="22"/>
          <w:szCs w:val="22"/>
        </w:rPr>
        <w:t xml:space="preserve"> </w:t>
      </w:r>
      <w:r>
        <w:rPr>
          <w:rFonts w:ascii="Garamond" w:hAnsi="Garamond"/>
          <w:sz w:val="22"/>
          <w:szCs w:val="22"/>
        </w:rPr>
        <w:t xml:space="preserve">Notes from that work group meeting are available here: </w:t>
      </w:r>
      <w:hyperlink r:id="rId2" w:history="1">
        <w:r w:rsidR="002E3DF2" w:rsidRPr="00CA1B41">
          <w:rPr>
            <w:rStyle w:val="Hyperlink"/>
            <w:rFonts w:ascii="Garamond" w:hAnsi="Garamond"/>
            <w:sz w:val="22"/>
            <w:szCs w:val="22"/>
          </w:rPr>
          <w:t>https://www.mtc.gov/wp-content/uploads/2024/04/Digital-Work-Group-Notes-03-7-24.pdf</w:t>
        </w:r>
      </w:hyperlink>
    </w:p>
    <w:p w14:paraId="698DFA5B" w14:textId="77777777" w:rsidR="002E3DF2" w:rsidRPr="005846DE" w:rsidRDefault="002E3DF2">
      <w:pPr>
        <w:pStyle w:val="FootnoteText"/>
        <w:rPr>
          <w:rFonts w:ascii="Garamond" w:hAnsi="Garamond"/>
          <w:sz w:val="22"/>
          <w:szCs w:val="22"/>
        </w:rPr>
      </w:pPr>
    </w:p>
  </w:footnote>
  <w:footnote w:id="5">
    <w:p w14:paraId="59981876" w14:textId="7DB3DBF2" w:rsidR="00AB7B67" w:rsidRDefault="00AB7B67">
      <w:pPr>
        <w:pStyle w:val="FootnoteText"/>
      </w:pPr>
      <w:r>
        <w:rPr>
          <w:rStyle w:val="FootnoteReference"/>
        </w:rPr>
        <w:footnoteRef/>
      </w:r>
      <w:r>
        <w:t xml:space="preserve"> </w:t>
      </w:r>
      <w:r w:rsidRPr="00617670">
        <w:rPr>
          <w:rFonts w:ascii="Garamond" w:hAnsi="Garamond"/>
          <w:sz w:val="22"/>
          <w:szCs w:val="22"/>
        </w:rPr>
        <w:t xml:space="preserve">For </w:t>
      </w:r>
      <w:r w:rsidR="00617670" w:rsidRPr="00617670">
        <w:rPr>
          <w:rFonts w:ascii="Garamond" w:hAnsi="Garamond"/>
          <w:sz w:val="22"/>
          <w:szCs w:val="22"/>
        </w:rPr>
        <w:t xml:space="preserve">treatment of </w:t>
      </w:r>
      <w:r w:rsidRPr="00617670">
        <w:rPr>
          <w:rFonts w:ascii="Garamond" w:hAnsi="Garamond"/>
          <w:sz w:val="22"/>
          <w:szCs w:val="22"/>
        </w:rPr>
        <w:t xml:space="preserve">inseparably mixed </w:t>
      </w:r>
      <w:r w:rsidR="00617670" w:rsidRPr="00617670">
        <w:rPr>
          <w:rFonts w:ascii="Garamond" w:hAnsi="Garamond"/>
          <w:sz w:val="22"/>
          <w:szCs w:val="22"/>
        </w:rPr>
        <w:t xml:space="preserve">transactions, see section </w:t>
      </w:r>
      <w:r w:rsidR="00250068">
        <w:rPr>
          <w:rFonts w:ascii="Garamond" w:hAnsi="Garamond"/>
          <w:sz w:val="22"/>
          <w:szCs w:val="22"/>
        </w:rPr>
        <w:t>4.C. of this white paper</w:t>
      </w:r>
      <w:r w:rsidR="00617670" w:rsidRPr="00617670">
        <w:rPr>
          <w:rFonts w:ascii="Garamond" w:hAnsi="Garamond"/>
          <w:sz w:val="22"/>
          <w:szCs w:val="22"/>
        </w:rPr>
        <w:t>.</w:t>
      </w:r>
    </w:p>
  </w:footnote>
  <w:footnote w:id="6">
    <w:p w14:paraId="1CA41653" w14:textId="77777777" w:rsidR="00A36367" w:rsidRDefault="00A36367" w:rsidP="00A36367">
      <w:pPr>
        <w:pStyle w:val="FootnoteText"/>
      </w:pPr>
      <w:r>
        <w:rPr>
          <w:rStyle w:val="FootnoteReference"/>
        </w:rPr>
        <w:footnoteRef/>
      </w:r>
      <w:r>
        <w:t xml:space="preserve"> </w:t>
      </w:r>
      <w:r w:rsidRPr="000E0A90">
        <w:rPr>
          <w:rFonts w:ascii="Garamond" w:hAnsi="Garamond"/>
          <w:sz w:val="22"/>
          <w:szCs w:val="22"/>
        </w:rPr>
        <w:t xml:space="preserve">See </w:t>
      </w:r>
      <w:hyperlink r:id="rId3" w:history="1">
        <w:r w:rsidRPr="000E0A90">
          <w:rPr>
            <w:rStyle w:val="Hyperlink"/>
            <w:rFonts w:ascii="Garamond" w:hAnsi="Garamond"/>
            <w:sz w:val="22"/>
            <w:szCs w:val="22"/>
          </w:rPr>
          <w:t>Streamlined Agreement section 330</w:t>
        </w:r>
      </w:hyperlink>
      <w:r w:rsidRPr="000E0A90">
        <w:rPr>
          <w:rFonts w:ascii="Garamond" w:hAnsi="Garamond"/>
          <w:sz w:val="22"/>
          <w:szCs w:val="22"/>
        </w:rPr>
        <w:t xml:space="preserve"> and accompanying definitions i</w:t>
      </w:r>
      <w:r>
        <w:rPr>
          <w:rFonts w:ascii="Garamond" w:hAnsi="Garamond"/>
          <w:sz w:val="22"/>
          <w:szCs w:val="22"/>
        </w:rPr>
        <w:t>n</w:t>
      </w:r>
      <w:r w:rsidRPr="000E0A90">
        <w:rPr>
          <w:rFonts w:ascii="Garamond" w:hAnsi="Garamond"/>
          <w:sz w:val="22"/>
          <w:szCs w:val="22"/>
        </w:rPr>
        <w:t xml:space="preserve"> </w:t>
      </w:r>
      <w:hyperlink r:id="rId4" w:history="1">
        <w:r w:rsidRPr="000E0A90">
          <w:rPr>
            <w:rStyle w:val="Hyperlink"/>
            <w:rFonts w:ascii="Garamond" w:hAnsi="Garamond"/>
            <w:sz w:val="22"/>
            <w:szCs w:val="22"/>
          </w:rPr>
          <w:t>Appendix C, Part 1</w:t>
        </w:r>
      </w:hyperlink>
      <w:r w:rsidRPr="000E0A90">
        <w:rPr>
          <w:rFonts w:ascii="Garamond" w:hAnsi="Garamond"/>
          <w:sz w:val="22"/>
          <w:szCs w:val="22"/>
        </w:rPr>
        <w:t xml:space="preserve"> of the Streamlined Agreement</w:t>
      </w:r>
      <w:r>
        <w:rPr>
          <w:rFonts w:ascii="Garamond" w:hAnsi="Garamond"/>
          <w:sz w:val="22"/>
          <w:szCs w:val="22"/>
        </w:rPr>
        <w:t xml:space="preserve">, and the </w:t>
      </w:r>
      <w:hyperlink r:id="rId5" w:history="1">
        <w:r w:rsidRPr="004260D3">
          <w:rPr>
            <w:rStyle w:val="Hyperlink"/>
            <w:rFonts w:ascii="Garamond" w:hAnsi="Garamond"/>
            <w:sz w:val="22"/>
            <w:szCs w:val="22"/>
          </w:rPr>
          <w:t>Streamlined Rules section 330</w:t>
        </w:r>
      </w:hyperlink>
      <w:r w:rsidRPr="000E0A90">
        <w:rPr>
          <w:rFonts w:ascii="Garamond" w:hAnsi="Garamond"/>
          <w:sz w:val="22"/>
          <w:szCs w:val="22"/>
        </w:rPr>
        <w:t>.</w:t>
      </w:r>
    </w:p>
  </w:footnote>
  <w:footnote w:id="7">
    <w:p w14:paraId="4B3E3BFB" w14:textId="5D3BF010" w:rsidR="007B7491" w:rsidRPr="000E0A90" w:rsidRDefault="00317E10" w:rsidP="007B7491">
      <w:pPr>
        <w:pStyle w:val="FootnoteText"/>
        <w:rPr>
          <w:rFonts w:ascii="Garamond" w:hAnsi="Garamond"/>
          <w:sz w:val="22"/>
          <w:szCs w:val="22"/>
        </w:rPr>
      </w:pPr>
      <w:r w:rsidRPr="000E0A90">
        <w:rPr>
          <w:rStyle w:val="FootnoteReference"/>
          <w:rFonts w:ascii="Garamond" w:hAnsi="Garamond"/>
          <w:sz w:val="22"/>
          <w:szCs w:val="22"/>
        </w:rPr>
        <w:footnoteRef/>
      </w:r>
      <w:r w:rsidRPr="000E0A90">
        <w:rPr>
          <w:rFonts w:ascii="Garamond" w:hAnsi="Garamond"/>
          <w:sz w:val="22"/>
          <w:szCs w:val="22"/>
        </w:rPr>
        <w:t xml:space="preserve"> See </w:t>
      </w:r>
      <w:hyperlink r:id="rId6" w:history="1">
        <w:r w:rsidRPr="000E0A90">
          <w:rPr>
            <w:rStyle w:val="Hyperlink"/>
            <w:rFonts w:ascii="Garamond" w:hAnsi="Garamond"/>
            <w:sz w:val="22"/>
            <w:szCs w:val="22"/>
          </w:rPr>
          <w:t>Streamlined Agreement section 330</w:t>
        </w:r>
      </w:hyperlink>
      <w:r w:rsidRPr="000E0A90">
        <w:rPr>
          <w:rFonts w:ascii="Garamond" w:hAnsi="Garamond"/>
          <w:sz w:val="22"/>
          <w:szCs w:val="22"/>
        </w:rPr>
        <w:t xml:space="preserve"> and accompanying definitions i</w:t>
      </w:r>
      <w:r w:rsidR="005A2603">
        <w:rPr>
          <w:rFonts w:ascii="Garamond" w:hAnsi="Garamond"/>
          <w:sz w:val="22"/>
          <w:szCs w:val="22"/>
        </w:rPr>
        <w:t>n</w:t>
      </w:r>
      <w:r w:rsidRPr="000E0A90">
        <w:rPr>
          <w:rFonts w:ascii="Garamond" w:hAnsi="Garamond"/>
          <w:sz w:val="22"/>
          <w:szCs w:val="22"/>
        </w:rPr>
        <w:t xml:space="preserve"> </w:t>
      </w:r>
      <w:hyperlink r:id="rId7" w:history="1">
        <w:r w:rsidRPr="000E0A90">
          <w:rPr>
            <w:rStyle w:val="Hyperlink"/>
            <w:rFonts w:ascii="Garamond" w:hAnsi="Garamond"/>
            <w:sz w:val="22"/>
            <w:szCs w:val="22"/>
          </w:rPr>
          <w:t>Appendix C, Part 1</w:t>
        </w:r>
      </w:hyperlink>
      <w:r w:rsidRPr="000E0A90">
        <w:rPr>
          <w:rFonts w:ascii="Garamond" w:hAnsi="Garamond"/>
          <w:sz w:val="22"/>
          <w:szCs w:val="22"/>
        </w:rPr>
        <w:t xml:space="preserve"> of the Streamlined Agreement</w:t>
      </w:r>
      <w:r w:rsidR="005A2603">
        <w:rPr>
          <w:rFonts w:ascii="Garamond" w:hAnsi="Garamond"/>
          <w:sz w:val="22"/>
          <w:szCs w:val="22"/>
        </w:rPr>
        <w:t xml:space="preserve">, and the </w:t>
      </w:r>
      <w:hyperlink r:id="rId8" w:history="1">
        <w:r w:rsidR="005A2603" w:rsidRPr="004260D3">
          <w:rPr>
            <w:rStyle w:val="Hyperlink"/>
            <w:rFonts w:ascii="Garamond" w:hAnsi="Garamond"/>
            <w:sz w:val="22"/>
            <w:szCs w:val="22"/>
          </w:rPr>
          <w:t>Streamlined Rules</w:t>
        </w:r>
        <w:r w:rsidR="004260D3" w:rsidRPr="004260D3">
          <w:rPr>
            <w:rStyle w:val="Hyperlink"/>
            <w:rFonts w:ascii="Garamond" w:hAnsi="Garamond"/>
            <w:sz w:val="22"/>
            <w:szCs w:val="22"/>
          </w:rPr>
          <w:t xml:space="preserve"> section 330</w:t>
        </w:r>
      </w:hyperlink>
      <w:r w:rsidRPr="000E0A90">
        <w:rPr>
          <w:rFonts w:ascii="Garamond" w:hAnsi="Garamond"/>
          <w:sz w:val="22"/>
          <w:szCs w:val="22"/>
        </w:rPr>
        <w:t>.</w:t>
      </w:r>
    </w:p>
  </w:footnote>
  <w:footnote w:id="8">
    <w:p w14:paraId="4B3E3BFD" w14:textId="60B63ECD" w:rsidR="007B7491" w:rsidRPr="000E0A90" w:rsidRDefault="00317E10" w:rsidP="007B7491">
      <w:pPr>
        <w:pStyle w:val="FootnoteText"/>
        <w:rPr>
          <w:rFonts w:ascii="Garamond" w:hAnsi="Garamond"/>
          <w:sz w:val="22"/>
          <w:szCs w:val="22"/>
        </w:rPr>
      </w:pPr>
      <w:r w:rsidRPr="000E0A90">
        <w:rPr>
          <w:rStyle w:val="FootnoteReference"/>
          <w:rFonts w:ascii="Garamond" w:hAnsi="Garamond"/>
          <w:sz w:val="22"/>
          <w:szCs w:val="22"/>
        </w:rPr>
        <w:footnoteRef/>
      </w:r>
      <w:r w:rsidRPr="000E0A90">
        <w:rPr>
          <w:rFonts w:ascii="Garamond" w:hAnsi="Garamond"/>
          <w:sz w:val="22"/>
          <w:szCs w:val="22"/>
        </w:rPr>
        <w:t xml:space="preserve"> </w:t>
      </w:r>
      <w:r w:rsidR="000A21A9" w:rsidRPr="000E0A90">
        <w:rPr>
          <w:rFonts w:ascii="Garamond" w:hAnsi="Garamond"/>
          <w:sz w:val="22"/>
          <w:szCs w:val="22"/>
        </w:rPr>
        <w:t>Streamlined Agreement</w:t>
      </w:r>
      <w:r w:rsidR="000A21A9">
        <w:rPr>
          <w:rFonts w:ascii="Garamond" w:hAnsi="Garamond"/>
          <w:sz w:val="22"/>
          <w:szCs w:val="22"/>
        </w:rPr>
        <w:t>, Appendix C, Part 1, Administrative Definitions.</w:t>
      </w:r>
    </w:p>
  </w:footnote>
  <w:footnote w:id="9">
    <w:p w14:paraId="4B3E3BFE" w14:textId="2632F94F" w:rsidR="007B7491" w:rsidRPr="000E0A90" w:rsidRDefault="00317E10" w:rsidP="007B7491">
      <w:pPr>
        <w:pStyle w:val="FootnoteText"/>
        <w:rPr>
          <w:rFonts w:ascii="Garamond" w:hAnsi="Garamond"/>
          <w:sz w:val="22"/>
          <w:szCs w:val="22"/>
        </w:rPr>
      </w:pPr>
      <w:r w:rsidRPr="000E0A90">
        <w:rPr>
          <w:rStyle w:val="FootnoteReference"/>
          <w:rFonts w:ascii="Garamond" w:hAnsi="Garamond"/>
          <w:sz w:val="22"/>
          <w:szCs w:val="22"/>
        </w:rPr>
        <w:footnoteRef/>
      </w:r>
      <w:r w:rsidRPr="000E0A90">
        <w:rPr>
          <w:rFonts w:ascii="Garamond" w:hAnsi="Garamond"/>
          <w:sz w:val="22"/>
          <w:szCs w:val="22"/>
        </w:rPr>
        <w:t xml:space="preserve"> </w:t>
      </w:r>
      <w:r w:rsidR="00025195" w:rsidRPr="000E0A90">
        <w:rPr>
          <w:rFonts w:ascii="Garamond" w:hAnsi="Garamond"/>
          <w:sz w:val="22"/>
          <w:szCs w:val="22"/>
        </w:rPr>
        <w:t>Streamlined Agreement</w:t>
      </w:r>
      <w:r w:rsidR="00025195">
        <w:rPr>
          <w:rFonts w:ascii="Garamond" w:hAnsi="Garamond"/>
          <w:sz w:val="22"/>
          <w:szCs w:val="22"/>
        </w:rPr>
        <w:t>, Appendix C, Part 1, Administrative Definitions.</w:t>
      </w:r>
    </w:p>
  </w:footnote>
  <w:footnote w:id="10">
    <w:p w14:paraId="76B9C039" w14:textId="07727444" w:rsidR="00AF7C87" w:rsidRPr="00AF7C87" w:rsidRDefault="00AF7C87">
      <w:pPr>
        <w:pStyle w:val="FootnoteText"/>
        <w:rPr>
          <w:rFonts w:ascii="Garamond" w:hAnsi="Garamond"/>
          <w:sz w:val="22"/>
          <w:szCs w:val="22"/>
        </w:rPr>
      </w:pPr>
      <w:r w:rsidRPr="005A0995">
        <w:rPr>
          <w:rStyle w:val="FootnoteReference"/>
          <w:rFonts w:ascii="Garamond" w:hAnsi="Garamond"/>
          <w:sz w:val="22"/>
          <w:szCs w:val="22"/>
        </w:rPr>
        <w:footnoteRef/>
      </w:r>
      <w:r>
        <w:t xml:space="preserve"> </w:t>
      </w:r>
      <w:r w:rsidRPr="00AF7C87">
        <w:rPr>
          <w:rFonts w:ascii="Garamond" w:hAnsi="Garamond"/>
          <w:sz w:val="22"/>
          <w:szCs w:val="22"/>
        </w:rPr>
        <w:t>Utah State</w:t>
      </w:r>
      <w:r>
        <w:rPr>
          <w:rFonts w:ascii="Garamond" w:hAnsi="Garamond"/>
          <w:sz w:val="22"/>
          <w:szCs w:val="22"/>
        </w:rPr>
        <w:t xml:space="preserve"> Tax Comm. Dec., App. No. 22-1274 (May 1, 2025).</w:t>
      </w:r>
    </w:p>
  </w:footnote>
  <w:footnote w:id="11">
    <w:p w14:paraId="7A766FA0" w14:textId="37929A01" w:rsidR="005A0995" w:rsidRDefault="005A0995">
      <w:pPr>
        <w:pStyle w:val="FootnoteText"/>
      </w:pPr>
      <w:r w:rsidRPr="005A0995">
        <w:rPr>
          <w:rStyle w:val="FootnoteReference"/>
          <w:rFonts w:ascii="Garamond" w:hAnsi="Garamond"/>
          <w:sz w:val="22"/>
          <w:szCs w:val="22"/>
        </w:rPr>
        <w:footnoteRef/>
      </w:r>
      <w:r>
        <w:t xml:space="preserve"> </w:t>
      </w:r>
      <w:r w:rsidRPr="000D3D05">
        <w:rPr>
          <w:rFonts w:ascii="Garamond" w:hAnsi="Garamond"/>
          <w:sz w:val="22"/>
          <w:szCs w:val="22"/>
        </w:rPr>
        <w:t xml:space="preserve">The stakeholders interviewed shared similar sentiments, </w:t>
      </w:r>
      <w:r w:rsidRPr="002905C2">
        <w:rPr>
          <w:rFonts w:ascii="Garamond" w:hAnsi="Garamond"/>
          <w:sz w:val="22"/>
          <w:szCs w:val="22"/>
        </w:rPr>
        <w:t xml:space="preserve">see section </w:t>
      </w:r>
      <w:r w:rsidR="002905C2" w:rsidRPr="002905C2">
        <w:rPr>
          <w:rFonts w:ascii="Garamond" w:hAnsi="Garamond"/>
          <w:sz w:val="22"/>
          <w:szCs w:val="22"/>
        </w:rPr>
        <w:t xml:space="preserve">7.A </w:t>
      </w:r>
      <w:r w:rsidRPr="002905C2">
        <w:rPr>
          <w:rFonts w:ascii="Garamond" w:hAnsi="Garamond"/>
          <w:sz w:val="22"/>
          <w:szCs w:val="22"/>
        </w:rPr>
        <w:t>summarizing stakeholder interviews.</w:t>
      </w:r>
    </w:p>
  </w:footnote>
  <w:footnote w:id="12">
    <w:p w14:paraId="4B3E3BFF" w14:textId="145C4FEC" w:rsidR="007B7491" w:rsidRPr="00EA403C" w:rsidRDefault="00317E10" w:rsidP="007B7491">
      <w:pPr>
        <w:pStyle w:val="FootnoteText"/>
        <w:rPr>
          <w:rFonts w:ascii="Garamond" w:hAnsi="Garamond"/>
          <w:sz w:val="22"/>
          <w:szCs w:val="22"/>
        </w:rPr>
      </w:pPr>
      <w:r w:rsidRPr="00EA403C">
        <w:rPr>
          <w:rStyle w:val="FootnoteReference"/>
          <w:rFonts w:ascii="Garamond" w:hAnsi="Garamond"/>
          <w:sz w:val="22"/>
          <w:szCs w:val="22"/>
        </w:rPr>
        <w:footnoteRef/>
      </w:r>
      <w:r w:rsidRPr="00EA403C">
        <w:rPr>
          <w:rFonts w:ascii="Garamond" w:hAnsi="Garamond"/>
          <w:sz w:val="22"/>
          <w:szCs w:val="22"/>
        </w:rPr>
        <w:t xml:space="preserve"> </w:t>
      </w:r>
      <w:r w:rsidR="00DE64CE" w:rsidRPr="000E0A90">
        <w:rPr>
          <w:rFonts w:ascii="Garamond" w:hAnsi="Garamond"/>
          <w:sz w:val="22"/>
          <w:szCs w:val="22"/>
        </w:rPr>
        <w:t>Streamlined Agreement</w:t>
      </w:r>
      <w:r w:rsidR="00DE64CE">
        <w:rPr>
          <w:rFonts w:ascii="Garamond" w:hAnsi="Garamond"/>
          <w:sz w:val="22"/>
          <w:szCs w:val="22"/>
        </w:rPr>
        <w:t>, Appendix C, Part 1, Administrative Definitions.</w:t>
      </w:r>
    </w:p>
  </w:footnote>
  <w:footnote w:id="13">
    <w:p w14:paraId="497B7ABC" w14:textId="77777777" w:rsidR="00B92EF5" w:rsidRPr="00133BE8" w:rsidRDefault="00B92EF5" w:rsidP="00B92EF5">
      <w:pPr>
        <w:pStyle w:val="FootnoteText"/>
        <w:rPr>
          <w:rFonts w:ascii="Garamond" w:hAnsi="Garamond"/>
          <w:sz w:val="22"/>
          <w:szCs w:val="22"/>
        </w:rPr>
      </w:pPr>
      <w:r>
        <w:rPr>
          <w:rStyle w:val="FootnoteReference"/>
        </w:rPr>
        <w:footnoteRef/>
      </w:r>
      <w:r>
        <w:t xml:space="preserve"> </w:t>
      </w:r>
      <w:r w:rsidRPr="00133BE8">
        <w:rPr>
          <w:rFonts w:ascii="Garamond" w:hAnsi="Garamond"/>
          <w:sz w:val="22"/>
          <w:szCs w:val="22"/>
        </w:rPr>
        <w:t>Rhode Island Dec. Rul. Req. No. 23017-01 (March 31, 2017).</w:t>
      </w:r>
    </w:p>
  </w:footnote>
  <w:footnote w:id="14">
    <w:p w14:paraId="7ED5734F" w14:textId="48D03CFF" w:rsidR="00515A9D" w:rsidRDefault="00515A9D">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Appendix C, Part 1, Administrative Definitions.</w:t>
      </w:r>
    </w:p>
  </w:footnote>
  <w:footnote w:id="15">
    <w:p w14:paraId="32ABFB05" w14:textId="687A2A1E" w:rsidR="0039664A" w:rsidRDefault="0039664A">
      <w:pPr>
        <w:pStyle w:val="FootnoteText"/>
      </w:pPr>
      <w:r>
        <w:rPr>
          <w:rStyle w:val="FootnoteReference"/>
        </w:rPr>
        <w:footnoteRef/>
      </w:r>
      <w:r>
        <w:t xml:space="preserve"> </w:t>
      </w:r>
      <w:r w:rsidR="00515A9D" w:rsidRPr="00E5141C">
        <w:rPr>
          <w:rFonts w:ascii="Garamond" w:hAnsi="Garamond"/>
          <w:sz w:val="22"/>
          <w:szCs w:val="22"/>
        </w:rPr>
        <w:t xml:space="preserve">Streamlined </w:t>
      </w:r>
      <w:r w:rsidR="004536E1" w:rsidRPr="00E5141C">
        <w:rPr>
          <w:rFonts w:ascii="Garamond" w:hAnsi="Garamond"/>
          <w:sz w:val="22"/>
          <w:szCs w:val="22"/>
        </w:rPr>
        <w:t>Rules and Procedures</w:t>
      </w:r>
      <w:r w:rsidR="00515A9D" w:rsidRPr="00E5141C">
        <w:rPr>
          <w:rFonts w:ascii="Garamond" w:hAnsi="Garamond"/>
          <w:sz w:val="22"/>
          <w:szCs w:val="22"/>
        </w:rPr>
        <w:t xml:space="preserve">, </w:t>
      </w:r>
      <w:r w:rsidR="005B2BE3" w:rsidRPr="00E5141C">
        <w:rPr>
          <w:rFonts w:ascii="Garamond" w:hAnsi="Garamond"/>
          <w:sz w:val="22"/>
          <w:szCs w:val="22"/>
        </w:rPr>
        <w:t>Rule 330.1</w:t>
      </w:r>
      <w:r w:rsidR="00E5141C" w:rsidRPr="00E5141C">
        <w:rPr>
          <w:rFonts w:ascii="Garamond" w:hAnsi="Garamond"/>
          <w:sz w:val="22"/>
          <w:szCs w:val="22"/>
        </w:rPr>
        <w:t>.B.2</w:t>
      </w:r>
      <w:r w:rsidR="007771B0" w:rsidRPr="00E5141C">
        <w:rPr>
          <w:rFonts w:ascii="Garamond" w:hAnsi="Garamond"/>
          <w:sz w:val="22"/>
          <w:szCs w:val="22"/>
        </w:rPr>
        <w:t>.</w:t>
      </w:r>
    </w:p>
  </w:footnote>
  <w:footnote w:id="16">
    <w:p w14:paraId="59733819" w14:textId="5FFAA9FB" w:rsidR="00AB6897" w:rsidRPr="00510638" w:rsidRDefault="00AB6897" w:rsidP="004F349C">
      <w:pPr>
        <w:pStyle w:val="FootnoteText"/>
        <w:rPr>
          <w:rFonts w:ascii="Garamond" w:hAnsi="Garamond"/>
          <w:sz w:val="22"/>
          <w:szCs w:val="22"/>
        </w:rPr>
      </w:pPr>
      <w:r>
        <w:rPr>
          <w:rStyle w:val="FootnoteReference"/>
        </w:rPr>
        <w:footnoteRef/>
      </w:r>
      <w:r>
        <w:t xml:space="preserve"> </w:t>
      </w:r>
      <w:r w:rsidRPr="00510638">
        <w:rPr>
          <w:rFonts w:ascii="Garamond" w:hAnsi="Garamond"/>
          <w:sz w:val="22"/>
          <w:szCs w:val="22"/>
        </w:rPr>
        <w:t>Georgia Letter Ruling 2019-10 (Nov. 2019)</w:t>
      </w:r>
      <w:r w:rsidR="004F349C">
        <w:rPr>
          <w:rFonts w:ascii="Garamond" w:hAnsi="Garamond"/>
          <w:sz w:val="22"/>
          <w:szCs w:val="22"/>
        </w:rPr>
        <w:t xml:space="preserve"> (T</w:t>
      </w:r>
      <w:r w:rsidR="004F349C" w:rsidRPr="004F349C">
        <w:rPr>
          <w:rFonts w:ascii="Garamond" w:hAnsi="Garamond"/>
          <w:sz w:val="22"/>
          <w:szCs w:val="22"/>
        </w:rPr>
        <w:t>axpayer develop</w:t>
      </w:r>
      <w:r w:rsidR="004F349C">
        <w:rPr>
          <w:rFonts w:ascii="Garamond" w:hAnsi="Garamond"/>
          <w:sz w:val="22"/>
          <w:szCs w:val="22"/>
        </w:rPr>
        <w:t>ed</w:t>
      </w:r>
      <w:r w:rsidR="004F349C" w:rsidRPr="004F349C">
        <w:rPr>
          <w:rFonts w:ascii="Garamond" w:hAnsi="Garamond"/>
          <w:sz w:val="22"/>
          <w:szCs w:val="22"/>
        </w:rPr>
        <w:t xml:space="preserve"> and </w:t>
      </w:r>
      <w:r w:rsidR="004F349C">
        <w:rPr>
          <w:rFonts w:ascii="Garamond" w:hAnsi="Garamond"/>
          <w:sz w:val="22"/>
          <w:szCs w:val="22"/>
        </w:rPr>
        <w:t>sold</w:t>
      </w:r>
      <w:r w:rsidR="004F349C" w:rsidRPr="004F349C">
        <w:rPr>
          <w:rFonts w:ascii="Garamond" w:hAnsi="Garamond"/>
          <w:sz w:val="22"/>
          <w:szCs w:val="22"/>
        </w:rPr>
        <w:t xml:space="preserve"> consumer electronics, computer software, online services, and related support</w:t>
      </w:r>
      <w:r w:rsidR="004F349C">
        <w:rPr>
          <w:rFonts w:ascii="Garamond" w:hAnsi="Garamond"/>
          <w:sz w:val="22"/>
          <w:szCs w:val="22"/>
        </w:rPr>
        <w:t>,</w:t>
      </w:r>
      <w:r w:rsidR="004F349C" w:rsidRPr="004F349C">
        <w:rPr>
          <w:rFonts w:ascii="Garamond" w:hAnsi="Garamond"/>
          <w:sz w:val="22"/>
          <w:szCs w:val="22"/>
        </w:rPr>
        <w:t xml:space="preserve"> and some third-party digital content and applications</w:t>
      </w:r>
      <w:r w:rsidR="004F349C">
        <w:rPr>
          <w:rFonts w:ascii="Garamond" w:hAnsi="Garamond"/>
          <w:sz w:val="22"/>
          <w:szCs w:val="22"/>
        </w:rPr>
        <w:t>.</w:t>
      </w:r>
      <w:r w:rsidR="004F349C" w:rsidRPr="004F349C">
        <w:rPr>
          <w:rFonts w:ascii="Garamond" w:hAnsi="Garamond"/>
          <w:sz w:val="22"/>
          <w:szCs w:val="22"/>
        </w:rPr>
        <w:t xml:space="preserve"> </w:t>
      </w:r>
      <w:r w:rsidR="004F349C">
        <w:rPr>
          <w:rFonts w:ascii="Garamond" w:hAnsi="Garamond"/>
          <w:sz w:val="22"/>
          <w:szCs w:val="22"/>
        </w:rPr>
        <w:t>T</w:t>
      </w:r>
      <w:r w:rsidR="004F349C" w:rsidRPr="004F349C">
        <w:rPr>
          <w:rFonts w:ascii="Garamond" w:hAnsi="Garamond"/>
          <w:sz w:val="22"/>
          <w:szCs w:val="22"/>
        </w:rPr>
        <w:t xml:space="preserve">axpayer offered preselected packages as well as custom packages. Custom packages allowed purchasers to choose what was included in the package and taxpayer offered discounts to encourage custom packages. </w:t>
      </w:r>
      <w:r w:rsidR="004F349C">
        <w:rPr>
          <w:rFonts w:ascii="Garamond" w:hAnsi="Garamond"/>
          <w:sz w:val="22"/>
          <w:szCs w:val="22"/>
        </w:rPr>
        <w:t>T</w:t>
      </w:r>
      <w:r w:rsidR="004F349C" w:rsidRPr="004F349C">
        <w:rPr>
          <w:rFonts w:ascii="Garamond" w:hAnsi="Garamond"/>
          <w:sz w:val="22"/>
          <w:szCs w:val="22"/>
        </w:rPr>
        <w:t xml:space="preserve">here </w:t>
      </w:r>
      <w:r w:rsidR="004F349C">
        <w:rPr>
          <w:rFonts w:ascii="Garamond" w:hAnsi="Garamond"/>
          <w:sz w:val="22"/>
          <w:szCs w:val="22"/>
        </w:rPr>
        <w:t>were</w:t>
      </w:r>
      <w:r w:rsidR="004F349C" w:rsidRPr="004F349C">
        <w:rPr>
          <w:rFonts w:ascii="Garamond" w:hAnsi="Garamond"/>
          <w:sz w:val="22"/>
          <w:szCs w:val="22"/>
        </w:rPr>
        <w:t xml:space="preserve"> no individual prices shown to the customer.</w:t>
      </w:r>
      <w:r w:rsidR="004F349C">
        <w:rPr>
          <w:rFonts w:ascii="Garamond" w:hAnsi="Garamond"/>
          <w:sz w:val="22"/>
          <w:szCs w:val="22"/>
        </w:rPr>
        <w:t xml:space="preserve"> </w:t>
      </w:r>
      <w:r w:rsidR="004F349C" w:rsidRPr="004F349C">
        <w:rPr>
          <w:rFonts w:ascii="Garamond" w:hAnsi="Garamond"/>
          <w:sz w:val="22"/>
          <w:szCs w:val="22"/>
        </w:rPr>
        <w:t>The Department ruled the preselected packages were bundles, while the custom packages were not. The custom packages were not bundles because the sales price varied based on the purchaser’s choices</w:t>
      </w:r>
      <w:r w:rsidR="004F349C">
        <w:rPr>
          <w:rFonts w:ascii="Garamond" w:hAnsi="Garamond"/>
          <w:sz w:val="22"/>
          <w:szCs w:val="22"/>
        </w:rPr>
        <w:t>.)</w:t>
      </w:r>
    </w:p>
  </w:footnote>
  <w:footnote w:id="17">
    <w:p w14:paraId="4B3E3C00" w14:textId="7B31171A" w:rsidR="0033465C" w:rsidRPr="00EA403C" w:rsidRDefault="00317E10" w:rsidP="0033465C">
      <w:pPr>
        <w:pStyle w:val="FootnoteText"/>
        <w:rPr>
          <w:rFonts w:ascii="Garamond" w:hAnsi="Garamond"/>
          <w:sz w:val="22"/>
          <w:szCs w:val="22"/>
        </w:rPr>
      </w:pPr>
      <w:r w:rsidRPr="00EA403C">
        <w:rPr>
          <w:rStyle w:val="FootnoteReference"/>
          <w:rFonts w:ascii="Garamond" w:hAnsi="Garamond"/>
          <w:sz w:val="22"/>
          <w:szCs w:val="22"/>
        </w:rPr>
        <w:footnoteRef/>
      </w:r>
      <w:r w:rsidRPr="00EA403C">
        <w:rPr>
          <w:rFonts w:ascii="Garamond" w:hAnsi="Garamond"/>
          <w:sz w:val="22"/>
          <w:szCs w:val="22"/>
        </w:rPr>
        <w:t xml:space="preserve"> </w:t>
      </w:r>
      <w:r w:rsidR="00DC7D55" w:rsidRPr="000E0A90">
        <w:rPr>
          <w:rFonts w:ascii="Garamond" w:hAnsi="Garamond"/>
          <w:sz w:val="22"/>
          <w:szCs w:val="22"/>
        </w:rPr>
        <w:t>Streamlined Agreement</w:t>
      </w:r>
      <w:r w:rsidR="00DC7D55">
        <w:rPr>
          <w:rFonts w:ascii="Garamond" w:hAnsi="Garamond"/>
          <w:sz w:val="22"/>
          <w:szCs w:val="22"/>
        </w:rPr>
        <w:t>, Appendix C, Part 1, Administrative Definitions, para. (C)(</w:t>
      </w:r>
      <w:r w:rsidR="00740FF0">
        <w:rPr>
          <w:rFonts w:ascii="Garamond" w:hAnsi="Garamond"/>
          <w:sz w:val="22"/>
          <w:szCs w:val="22"/>
        </w:rPr>
        <w:t>1</w:t>
      </w:r>
      <w:r w:rsidR="00DC7D55">
        <w:rPr>
          <w:rFonts w:ascii="Garamond" w:hAnsi="Garamond"/>
          <w:sz w:val="22"/>
          <w:szCs w:val="22"/>
        </w:rPr>
        <w:t>).</w:t>
      </w:r>
    </w:p>
  </w:footnote>
  <w:footnote w:id="18">
    <w:p w14:paraId="111525EB" w14:textId="12DE28B7" w:rsidR="00740FF0" w:rsidRDefault="00740FF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Appendix C, Part 1, Administrative Definitions, para. (C)(2).</w:t>
      </w:r>
    </w:p>
  </w:footnote>
  <w:footnote w:id="19">
    <w:p w14:paraId="5A23061E" w14:textId="7E82FF00" w:rsidR="009315AF" w:rsidRDefault="009315AF">
      <w:pPr>
        <w:pStyle w:val="FootnoteText"/>
      </w:pPr>
      <w:r>
        <w:rPr>
          <w:rStyle w:val="FootnoteReference"/>
        </w:rPr>
        <w:footnoteRef/>
      </w:r>
      <w:r w:rsidRPr="009315AF">
        <w:rPr>
          <w:rFonts w:ascii="Garamond" w:hAnsi="Garamond"/>
          <w:sz w:val="22"/>
          <w:szCs w:val="22"/>
        </w:rPr>
        <w:t xml:space="preserve"> Or the first service, in the case of a transaction involving two services.</w:t>
      </w:r>
    </w:p>
  </w:footnote>
  <w:footnote w:id="20">
    <w:p w14:paraId="4B3E3C01" w14:textId="3891DFBC" w:rsidR="000D1AAD" w:rsidRPr="00EA403C" w:rsidRDefault="00317E10">
      <w:pPr>
        <w:pStyle w:val="FootnoteText"/>
        <w:rPr>
          <w:rFonts w:ascii="Garamond" w:hAnsi="Garamond"/>
          <w:sz w:val="22"/>
          <w:szCs w:val="22"/>
        </w:rPr>
      </w:pPr>
      <w:r w:rsidRPr="00EA403C">
        <w:rPr>
          <w:rStyle w:val="FootnoteReference"/>
          <w:rFonts w:ascii="Garamond" w:hAnsi="Garamond"/>
          <w:sz w:val="22"/>
          <w:szCs w:val="22"/>
        </w:rPr>
        <w:footnoteRef/>
      </w:r>
      <w:r w:rsidRPr="00EA403C">
        <w:rPr>
          <w:rFonts w:ascii="Garamond" w:hAnsi="Garamond"/>
          <w:sz w:val="22"/>
          <w:szCs w:val="22"/>
        </w:rPr>
        <w:t xml:space="preserve"> </w:t>
      </w:r>
      <w:r w:rsidR="00EF72DF" w:rsidRPr="000E0A90">
        <w:rPr>
          <w:rFonts w:ascii="Garamond" w:hAnsi="Garamond"/>
          <w:sz w:val="22"/>
          <w:szCs w:val="22"/>
        </w:rPr>
        <w:t>Streamlined Agreement</w:t>
      </w:r>
      <w:r w:rsidR="00EF72DF">
        <w:rPr>
          <w:rFonts w:ascii="Garamond" w:hAnsi="Garamond"/>
          <w:sz w:val="22"/>
          <w:szCs w:val="22"/>
        </w:rPr>
        <w:t>, Appendix C, Part 1, Administrative Definitions, para. (C)(3).</w:t>
      </w:r>
    </w:p>
  </w:footnote>
  <w:footnote w:id="21">
    <w:p w14:paraId="4B3E3C03" w14:textId="0E7844D6" w:rsidR="005511AE" w:rsidRPr="00510638" w:rsidRDefault="00317E10">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w:t>
      </w:r>
      <w:r w:rsidR="00EF72DF" w:rsidRPr="000E0A90">
        <w:rPr>
          <w:rFonts w:ascii="Garamond" w:hAnsi="Garamond"/>
          <w:sz w:val="22"/>
          <w:szCs w:val="22"/>
        </w:rPr>
        <w:t>Streamlined Agreement</w:t>
      </w:r>
      <w:r w:rsidR="00EF72DF">
        <w:rPr>
          <w:rFonts w:ascii="Garamond" w:hAnsi="Garamond"/>
          <w:sz w:val="22"/>
          <w:szCs w:val="22"/>
        </w:rPr>
        <w:t>, Appendix C, Part 1, Administrative Definitions, para. (C)(</w:t>
      </w:r>
      <w:r w:rsidR="00CD59B1">
        <w:rPr>
          <w:rFonts w:ascii="Garamond" w:hAnsi="Garamond"/>
          <w:sz w:val="22"/>
          <w:szCs w:val="22"/>
        </w:rPr>
        <w:t>4</w:t>
      </w:r>
      <w:r w:rsidR="00EF72DF">
        <w:rPr>
          <w:rFonts w:ascii="Garamond" w:hAnsi="Garamond"/>
          <w:sz w:val="22"/>
          <w:szCs w:val="22"/>
        </w:rPr>
        <w:t>).</w:t>
      </w:r>
    </w:p>
  </w:footnote>
  <w:footnote w:id="22">
    <w:p w14:paraId="57ECF96E" w14:textId="77777777" w:rsidR="00A93D5A" w:rsidRPr="00510638" w:rsidRDefault="00A93D5A" w:rsidP="00A93D5A">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Colo. Prv. </w:t>
      </w:r>
      <w:proofErr w:type="spellStart"/>
      <w:r w:rsidRPr="00510638">
        <w:rPr>
          <w:rFonts w:ascii="Garamond" w:hAnsi="Garamond"/>
          <w:sz w:val="22"/>
          <w:szCs w:val="22"/>
        </w:rPr>
        <w:t>Ltr</w:t>
      </w:r>
      <w:proofErr w:type="spellEnd"/>
      <w:r w:rsidRPr="00510638">
        <w:rPr>
          <w:rFonts w:ascii="Garamond" w:hAnsi="Garamond"/>
          <w:sz w:val="22"/>
          <w:szCs w:val="22"/>
        </w:rPr>
        <w:t xml:space="preserve">. Rul. No. 10-001; see also, Colo. Prv. </w:t>
      </w:r>
      <w:proofErr w:type="spellStart"/>
      <w:r w:rsidRPr="00510638">
        <w:rPr>
          <w:rFonts w:ascii="Garamond" w:hAnsi="Garamond"/>
          <w:sz w:val="22"/>
          <w:szCs w:val="22"/>
        </w:rPr>
        <w:t>Ltr</w:t>
      </w:r>
      <w:proofErr w:type="spellEnd"/>
      <w:r w:rsidRPr="00510638">
        <w:rPr>
          <w:rFonts w:ascii="Garamond" w:hAnsi="Garamond"/>
          <w:sz w:val="22"/>
          <w:szCs w:val="22"/>
        </w:rPr>
        <w:t>. Rul. No. 12-006 (rescinded).</w:t>
      </w:r>
    </w:p>
  </w:footnote>
  <w:footnote w:id="23">
    <w:p w14:paraId="3929DEE2" w14:textId="77777777" w:rsidR="00A93D5A" w:rsidRPr="00510638" w:rsidRDefault="00A93D5A" w:rsidP="00A93D5A">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Colo. Prv. </w:t>
      </w:r>
      <w:proofErr w:type="spellStart"/>
      <w:r w:rsidRPr="00510638">
        <w:rPr>
          <w:rFonts w:ascii="Garamond" w:hAnsi="Garamond"/>
          <w:sz w:val="22"/>
          <w:szCs w:val="22"/>
        </w:rPr>
        <w:t>Ltr</w:t>
      </w:r>
      <w:proofErr w:type="spellEnd"/>
      <w:r w:rsidRPr="00510638">
        <w:rPr>
          <w:rFonts w:ascii="Garamond" w:hAnsi="Garamond"/>
          <w:sz w:val="22"/>
          <w:szCs w:val="22"/>
        </w:rPr>
        <w:t xml:space="preserve">. Rul. No. 23-004; see also, 1-CCR 201-4 </w:t>
      </w:r>
      <w:r w:rsidRPr="00510638">
        <w:rPr>
          <w:rFonts w:ascii="Garamond" w:hAnsi="Garamond" w:cs="Calibri"/>
          <w:sz w:val="22"/>
          <w:szCs w:val="22"/>
        </w:rPr>
        <w:t>§</w:t>
      </w:r>
      <w:r w:rsidRPr="00510638">
        <w:rPr>
          <w:rFonts w:ascii="Garamond" w:hAnsi="Garamond"/>
          <w:sz w:val="22"/>
          <w:szCs w:val="22"/>
        </w:rPr>
        <w:t xml:space="preserve"> 39-26-102(12); -102(7)(a); </w:t>
      </w:r>
      <w:r w:rsidRPr="00510638">
        <w:rPr>
          <w:rFonts w:ascii="Garamond" w:hAnsi="Garamond" w:cs="Calibri"/>
          <w:i/>
          <w:iCs/>
          <w:sz w:val="22"/>
          <w:szCs w:val="22"/>
        </w:rPr>
        <w:t>A.D. Store Co., Inc. v. Exec. Dir</w:t>
      </w:r>
      <w:r w:rsidRPr="00510638">
        <w:rPr>
          <w:rFonts w:ascii="Garamond" w:hAnsi="Garamond" w:cs="Calibri"/>
          <w:sz w:val="22"/>
          <w:szCs w:val="22"/>
        </w:rPr>
        <w:t>, 19 P.3d 680, 683-684 (Colo. 2001).</w:t>
      </w:r>
    </w:p>
  </w:footnote>
  <w:footnote w:id="24">
    <w:p w14:paraId="1658497D" w14:textId="77777777" w:rsidR="00A93D5A" w:rsidRPr="00510638" w:rsidRDefault="00A93D5A" w:rsidP="00A93D5A">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w:t>
      </w:r>
      <w:r w:rsidRPr="00053F70">
        <w:rPr>
          <w:rFonts w:ascii="Garamond" w:hAnsi="Garamond" w:cs="Calibri"/>
          <w:sz w:val="22"/>
          <w:szCs w:val="22"/>
        </w:rPr>
        <w:t>A.D. Store Co., Inc. v. Exec. Dir,</w:t>
      </w:r>
      <w:r w:rsidRPr="00510638">
        <w:rPr>
          <w:rFonts w:ascii="Garamond" w:hAnsi="Garamond" w:cs="Calibri"/>
          <w:sz w:val="22"/>
          <w:szCs w:val="22"/>
        </w:rPr>
        <w:t xml:space="preserve"> 19 P.3d 680 (Colo. 2001) (In </w:t>
      </w:r>
      <w:r w:rsidRPr="00510638">
        <w:rPr>
          <w:rFonts w:ascii="Garamond" w:hAnsi="Garamond" w:cs="Calibri"/>
          <w:i/>
          <w:iCs/>
          <w:sz w:val="22"/>
          <w:szCs w:val="22"/>
        </w:rPr>
        <w:t>A.D. Store</w:t>
      </w:r>
      <w:r w:rsidRPr="00510638">
        <w:rPr>
          <w:rFonts w:ascii="Garamond" w:hAnsi="Garamond" w:cs="Calibri"/>
          <w:sz w:val="22"/>
          <w:szCs w:val="22"/>
        </w:rPr>
        <w:t>, the Colorado Supreme Court held that if the price of the taxable TPP can be meaningfully separated from the price of the nontaxable service, then the service was not taxable. The court then determined that alteration services performed on clothing were separable from the clothing sold and altered.)</w:t>
      </w:r>
    </w:p>
  </w:footnote>
  <w:footnote w:id="25">
    <w:p w14:paraId="5407FB87" w14:textId="77777777" w:rsidR="00A93D5A" w:rsidRPr="00510638" w:rsidRDefault="00A93D5A" w:rsidP="00A93D5A">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1-CCR 201-5, Special Rule 18.</w:t>
      </w:r>
    </w:p>
  </w:footnote>
  <w:footnote w:id="26">
    <w:p w14:paraId="5228AEA9" w14:textId="0F37A846" w:rsidR="00332ABE" w:rsidRDefault="00332ABE">
      <w:pPr>
        <w:pStyle w:val="FootnoteText"/>
      </w:pPr>
      <w:r>
        <w:rPr>
          <w:rStyle w:val="FootnoteReference"/>
        </w:rPr>
        <w:footnoteRef/>
      </w:r>
      <w:r>
        <w:t xml:space="preserve"> </w:t>
      </w:r>
      <w:r w:rsidRPr="00510638">
        <w:rPr>
          <w:rFonts w:ascii="Garamond" w:hAnsi="Garamond"/>
          <w:sz w:val="22"/>
          <w:szCs w:val="22"/>
        </w:rPr>
        <w:t xml:space="preserve">Colo. Prv. </w:t>
      </w:r>
      <w:proofErr w:type="spellStart"/>
      <w:r w:rsidRPr="00510638">
        <w:rPr>
          <w:rFonts w:ascii="Garamond" w:hAnsi="Garamond"/>
          <w:sz w:val="22"/>
          <w:szCs w:val="22"/>
        </w:rPr>
        <w:t>Ltr</w:t>
      </w:r>
      <w:proofErr w:type="spellEnd"/>
      <w:r w:rsidRPr="00510638">
        <w:rPr>
          <w:rFonts w:ascii="Garamond" w:hAnsi="Garamond"/>
          <w:sz w:val="22"/>
          <w:szCs w:val="22"/>
        </w:rPr>
        <w:t>. Rul. No. 23-004</w:t>
      </w:r>
      <w:r>
        <w:rPr>
          <w:rFonts w:ascii="Garamond" w:hAnsi="Garamond"/>
          <w:sz w:val="22"/>
          <w:szCs w:val="22"/>
        </w:rPr>
        <w:t>.</w:t>
      </w:r>
    </w:p>
  </w:footnote>
  <w:footnote w:id="27">
    <w:p w14:paraId="51494FF2" w14:textId="77777777" w:rsidR="00A93D5A" w:rsidRPr="00510638" w:rsidRDefault="00A93D5A" w:rsidP="00A93D5A">
      <w:pPr>
        <w:pStyle w:val="FootnoteText"/>
        <w:rPr>
          <w:rFonts w:ascii="Garamond" w:hAnsi="Garamond"/>
          <w:sz w:val="22"/>
          <w:szCs w:val="22"/>
        </w:rPr>
      </w:pPr>
      <w:r>
        <w:rPr>
          <w:rStyle w:val="FootnoteReference"/>
        </w:rPr>
        <w:footnoteRef/>
      </w:r>
      <w:r>
        <w:t xml:space="preserve"> </w:t>
      </w:r>
      <w:r w:rsidRPr="00510638">
        <w:rPr>
          <w:rFonts w:ascii="Garamond" w:hAnsi="Garamond"/>
          <w:sz w:val="22"/>
          <w:szCs w:val="22"/>
        </w:rPr>
        <w:t xml:space="preserve">Citing to </w:t>
      </w:r>
      <w:r w:rsidRPr="00510638">
        <w:rPr>
          <w:rFonts w:ascii="Garamond" w:hAnsi="Garamond"/>
          <w:i/>
          <w:iCs/>
          <w:sz w:val="22"/>
          <w:szCs w:val="22"/>
        </w:rPr>
        <w:t>A.D. Store</w:t>
      </w:r>
      <w:r w:rsidRPr="00510638">
        <w:rPr>
          <w:rFonts w:ascii="Garamond" w:hAnsi="Garamond"/>
          <w:sz w:val="22"/>
          <w:szCs w:val="22"/>
        </w:rPr>
        <w:t>, 19 P.3d at 684.</w:t>
      </w:r>
    </w:p>
  </w:footnote>
  <w:footnote w:id="28">
    <w:p w14:paraId="2383CAB1" w14:textId="291C805D" w:rsidR="00A440D1" w:rsidRDefault="00A440D1">
      <w:pPr>
        <w:pStyle w:val="FootnoteText"/>
      </w:pPr>
      <w:r>
        <w:rPr>
          <w:rStyle w:val="FootnoteReference"/>
        </w:rPr>
        <w:footnoteRef/>
      </w:r>
      <w:r w:rsidRPr="00A440D1">
        <w:rPr>
          <w:rFonts w:ascii="Garamond" w:hAnsi="Garamond"/>
        </w:rPr>
        <w:t xml:space="preserve"> </w:t>
      </w:r>
      <w:r w:rsidRPr="00A440D1">
        <w:rPr>
          <w:rFonts w:ascii="Garamond" w:hAnsi="Garamond"/>
          <w:sz w:val="22"/>
          <w:szCs w:val="22"/>
        </w:rPr>
        <w:t>Acknowledging the risk of conflating transactions that have separable or distinct and identifiable components (and are thus treated under bundling rules) with those that do not, we state here that if a state is silent on the question of separable and distinct and identifiable components, then the non-bundling rules below might apply even though the transaction has separable or distinct and identifiable components as defined by the law of a state that actually addresses the question.</w:t>
      </w:r>
    </w:p>
  </w:footnote>
  <w:footnote w:id="29">
    <w:p w14:paraId="4B3E3C04" w14:textId="77777777" w:rsidR="00607030" w:rsidRDefault="00317E10" w:rsidP="00A440D1">
      <w:pPr>
        <w:pStyle w:val="FootnoteText"/>
      </w:pPr>
      <w:r>
        <w:rPr>
          <w:rStyle w:val="FootnoteReference"/>
        </w:rPr>
        <w:footnoteRef/>
      </w:r>
      <w:r>
        <w:t xml:space="preserve"> </w:t>
      </w:r>
      <w:r w:rsidR="00DE1CBD" w:rsidRPr="00DE1CBD">
        <w:rPr>
          <w:rFonts w:ascii="Garamond" w:hAnsi="Garamond"/>
          <w:sz w:val="22"/>
          <w:szCs w:val="22"/>
        </w:rPr>
        <w:t>Fla. Stat. § 212.02(16).</w:t>
      </w:r>
    </w:p>
  </w:footnote>
  <w:footnote w:id="30">
    <w:p w14:paraId="6B44309A" w14:textId="4B857E9A" w:rsidR="00821E6C" w:rsidRDefault="00821E6C">
      <w:pPr>
        <w:pStyle w:val="FootnoteText"/>
      </w:pPr>
      <w:r>
        <w:rPr>
          <w:rStyle w:val="FootnoteReference"/>
        </w:rPr>
        <w:footnoteRef/>
      </w:r>
      <w:r>
        <w:t xml:space="preserve"> </w:t>
      </w:r>
      <w:r w:rsidRPr="00821E6C">
        <w:rPr>
          <w:rFonts w:ascii="Garamond" w:hAnsi="Garamond"/>
          <w:sz w:val="22"/>
          <w:szCs w:val="22"/>
        </w:rPr>
        <w:t>Fla. Stat. § 212.08(7)(v)(1) (exemption statute).</w:t>
      </w:r>
    </w:p>
  </w:footnote>
  <w:footnote w:id="31">
    <w:p w14:paraId="5A73358B" w14:textId="65B1E580" w:rsidR="000F6510" w:rsidRPr="000F6510" w:rsidRDefault="000F6510" w:rsidP="000F6510">
      <w:pPr>
        <w:pStyle w:val="FootnoteText"/>
        <w:rPr>
          <w:rFonts w:ascii="Garamond" w:hAnsi="Garamond"/>
        </w:rPr>
      </w:pPr>
      <w:r>
        <w:rPr>
          <w:rStyle w:val="FootnoteReference"/>
        </w:rPr>
        <w:footnoteRef/>
      </w:r>
      <w:r>
        <w:t xml:space="preserve"> </w:t>
      </w:r>
      <w:r w:rsidR="002476C1" w:rsidRPr="002476C1">
        <w:rPr>
          <w:rFonts w:ascii="Garamond" w:hAnsi="Garamond"/>
          <w:sz w:val="22"/>
          <w:szCs w:val="22"/>
        </w:rPr>
        <w:t>Conn. Gen. Stat. § 12-412(11) (exemption statute); Ga. Code</w:t>
      </w:r>
      <w:r w:rsidR="002476C1">
        <w:rPr>
          <w:rFonts w:ascii="Garamond" w:hAnsi="Garamond"/>
          <w:sz w:val="22"/>
          <w:szCs w:val="22"/>
        </w:rPr>
        <w:t xml:space="preserve"> Ann. </w:t>
      </w:r>
      <w:r w:rsidR="002476C1" w:rsidRPr="000F6510">
        <w:rPr>
          <w:rFonts w:ascii="Garamond" w:hAnsi="Garamond"/>
          <w:sz w:val="22"/>
          <w:szCs w:val="22"/>
        </w:rPr>
        <w:t>§</w:t>
      </w:r>
      <w:r w:rsidR="002476C1">
        <w:rPr>
          <w:rFonts w:ascii="Garamond" w:hAnsi="Garamond"/>
          <w:sz w:val="22"/>
          <w:szCs w:val="22"/>
        </w:rPr>
        <w:t xml:space="preserve"> 48-8-3(22) (exemption statute); </w:t>
      </w:r>
      <w:r w:rsidR="00C63716" w:rsidRPr="00C63716">
        <w:rPr>
          <w:rFonts w:ascii="Garamond" w:hAnsi="Garamond"/>
          <w:sz w:val="22"/>
          <w:szCs w:val="22"/>
        </w:rPr>
        <w:t>Md. Code Ann. Tax-Gen. § 11-219(a)</w:t>
      </w:r>
      <w:r w:rsidR="00C63716">
        <w:rPr>
          <w:rFonts w:ascii="Garamond" w:hAnsi="Garamond"/>
          <w:sz w:val="22"/>
          <w:szCs w:val="22"/>
        </w:rPr>
        <w:t xml:space="preserve"> (exemption statute); </w:t>
      </w:r>
      <w:r w:rsidRPr="000F6510">
        <w:rPr>
          <w:rFonts w:ascii="Garamond" w:hAnsi="Garamond"/>
          <w:sz w:val="22"/>
          <w:szCs w:val="22"/>
        </w:rPr>
        <w:t xml:space="preserve">Mass. Gen. Laws </w:t>
      </w:r>
      <w:proofErr w:type="spellStart"/>
      <w:r w:rsidRPr="000F6510">
        <w:rPr>
          <w:rFonts w:ascii="Garamond" w:hAnsi="Garamond"/>
          <w:sz w:val="22"/>
          <w:szCs w:val="22"/>
        </w:rPr>
        <w:t>ch.</w:t>
      </w:r>
      <w:proofErr w:type="spellEnd"/>
      <w:r w:rsidRPr="000F6510">
        <w:rPr>
          <w:rFonts w:ascii="Garamond" w:hAnsi="Garamond"/>
          <w:sz w:val="22"/>
          <w:szCs w:val="22"/>
        </w:rPr>
        <w:t xml:space="preserve"> 64H</w:t>
      </w:r>
      <w:r>
        <w:rPr>
          <w:rFonts w:ascii="Garamond" w:hAnsi="Garamond"/>
          <w:sz w:val="22"/>
          <w:szCs w:val="22"/>
        </w:rPr>
        <w:t>,</w:t>
      </w:r>
      <w:r w:rsidRPr="000F6510">
        <w:rPr>
          <w:rFonts w:ascii="Garamond" w:hAnsi="Garamond"/>
          <w:sz w:val="22"/>
          <w:szCs w:val="22"/>
        </w:rPr>
        <w:t xml:space="preserve"> § 1 (definition of “</w:t>
      </w:r>
      <w:r w:rsidR="003F7754">
        <w:rPr>
          <w:rFonts w:ascii="Garamond" w:hAnsi="Garamond"/>
          <w:sz w:val="22"/>
          <w:szCs w:val="22"/>
        </w:rPr>
        <w:t xml:space="preserve">sale at </w:t>
      </w:r>
      <w:r w:rsidRPr="000F6510">
        <w:rPr>
          <w:rFonts w:ascii="Garamond" w:hAnsi="Garamond"/>
          <w:sz w:val="22"/>
          <w:szCs w:val="22"/>
        </w:rPr>
        <w:t>retail</w:t>
      </w:r>
      <w:r w:rsidR="003F7754">
        <w:rPr>
          <w:rFonts w:ascii="Garamond" w:hAnsi="Garamond"/>
          <w:sz w:val="22"/>
          <w:szCs w:val="22"/>
        </w:rPr>
        <w:t>” or “retail</w:t>
      </w:r>
      <w:r w:rsidRPr="000F6510">
        <w:rPr>
          <w:rFonts w:ascii="Garamond" w:hAnsi="Garamond"/>
          <w:sz w:val="22"/>
          <w:szCs w:val="22"/>
        </w:rPr>
        <w:t xml:space="preserve"> sale”)</w:t>
      </w:r>
      <w:r>
        <w:rPr>
          <w:rFonts w:ascii="Garamond" w:hAnsi="Garamond"/>
          <w:sz w:val="22"/>
          <w:szCs w:val="22"/>
        </w:rPr>
        <w:t xml:space="preserve">; </w:t>
      </w:r>
      <w:r w:rsidR="002476C1">
        <w:rPr>
          <w:rFonts w:ascii="Garamond" w:hAnsi="Garamond"/>
          <w:sz w:val="22"/>
          <w:szCs w:val="22"/>
        </w:rPr>
        <w:t xml:space="preserve">Ohio Rev. Code Ann. </w:t>
      </w:r>
      <w:r w:rsidR="002476C1" w:rsidRPr="000F6510">
        <w:rPr>
          <w:rFonts w:ascii="Garamond" w:hAnsi="Garamond"/>
          <w:sz w:val="22"/>
          <w:szCs w:val="22"/>
        </w:rPr>
        <w:t>§</w:t>
      </w:r>
      <w:r w:rsidR="002476C1">
        <w:rPr>
          <w:rFonts w:ascii="Garamond" w:hAnsi="Garamond"/>
          <w:sz w:val="22"/>
          <w:szCs w:val="22"/>
        </w:rPr>
        <w:t xml:space="preserve"> 5739.01(B)(12) &amp; (13) (definition of “sale” and “selling”); Va. Code Ann. </w:t>
      </w:r>
      <w:r w:rsidR="002476C1" w:rsidRPr="000F6510">
        <w:rPr>
          <w:rFonts w:ascii="Garamond" w:hAnsi="Garamond"/>
          <w:sz w:val="22"/>
          <w:szCs w:val="22"/>
        </w:rPr>
        <w:t>§</w:t>
      </w:r>
      <w:r w:rsidR="002476C1">
        <w:rPr>
          <w:rFonts w:ascii="Garamond" w:hAnsi="Garamond"/>
          <w:sz w:val="22"/>
          <w:szCs w:val="22"/>
        </w:rPr>
        <w:t xml:space="preserve"> 58.1-609.5(1) (exemption statute)</w:t>
      </w:r>
      <w:r w:rsidR="00C63716">
        <w:rPr>
          <w:rFonts w:ascii="Garamond" w:hAnsi="Garamond"/>
          <w:sz w:val="22"/>
          <w:szCs w:val="22"/>
        </w:rPr>
        <w:t>.</w:t>
      </w:r>
    </w:p>
  </w:footnote>
  <w:footnote w:id="32">
    <w:p w14:paraId="4B3E3C05" w14:textId="77777777" w:rsidR="006C7A9C" w:rsidRDefault="00317E10">
      <w:pPr>
        <w:pStyle w:val="FootnoteText"/>
      </w:pPr>
      <w:r>
        <w:rPr>
          <w:rStyle w:val="FootnoteReference"/>
        </w:rPr>
        <w:footnoteRef/>
      </w:r>
      <w:r>
        <w:t xml:space="preserve"> </w:t>
      </w:r>
      <w:r w:rsidR="00D15708" w:rsidRPr="00D15708">
        <w:rPr>
          <w:rFonts w:ascii="Garamond" w:hAnsi="Garamond"/>
          <w:sz w:val="22"/>
          <w:szCs w:val="22"/>
        </w:rPr>
        <w:t>Id. Regs. § 35.01.02.011.01.</w:t>
      </w:r>
    </w:p>
  </w:footnote>
  <w:footnote w:id="33">
    <w:p w14:paraId="4B3E3C0B" w14:textId="77777777" w:rsidR="00AF71B1" w:rsidRPr="00510638" w:rsidRDefault="00317E10">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w:t>
      </w:r>
      <w:r w:rsidR="00435649" w:rsidRPr="00510638">
        <w:rPr>
          <w:rFonts w:ascii="Garamond" w:hAnsi="Garamond"/>
          <w:sz w:val="22"/>
          <w:szCs w:val="22"/>
        </w:rPr>
        <w:t>A.R.S. § 42-5061(F); Ariz. Admin. Code § 15-5-105.</w:t>
      </w:r>
    </w:p>
  </w:footnote>
  <w:footnote w:id="34">
    <w:p w14:paraId="4B3E3C0C" w14:textId="77777777" w:rsidR="00EB37AC" w:rsidRPr="00510638" w:rsidRDefault="00317E10">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w:t>
      </w:r>
      <w:r w:rsidR="0080247E" w:rsidRPr="00510638">
        <w:rPr>
          <w:rFonts w:ascii="Garamond" w:hAnsi="Garamond"/>
          <w:sz w:val="22"/>
          <w:szCs w:val="22"/>
        </w:rPr>
        <w:t>A.R.S. § 42-5061(A)(1); Ariz. Admin. Code § 15-5-104(B).</w:t>
      </w:r>
    </w:p>
  </w:footnote>
  <w:footnote w:id="35">
    <w:p w14:paraId="4B3E3C0D" w14:textId="65E4776A" w:rsidR="009870EC" w:rsidRPr="00510638" w:rsidRDefault="00317E10">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w:t>
      </w:r>
      <w:r w:rsidR="00154984" w:rsidRPr="00510638">
        <w:rPr>
          <w:rFonts w:ascii="Garamond" w:hAnsi="Garamond"/>
          <w:sz w:val="22"/>
          <w:szCs w:val="22"/>
        </w:rPr>
        <w:t>Ariz. Admin. Code § 15-5-104(C)</w:t>
      </w:r>
      <w:r w:rsidR="00E5020A">
        <w:rPr>
          <w:rFonts w:ascii="Garamond" w:hAnsi="Garamond"/>
          <w:sz w:val="22"/>
          <w:szCs w:val="22"/>
        </w:rPr>
        <w:t xml:space="preserve">; </w:t>
      </w:r>
      <w:r w:rsidR="00E5020A" w:rsidRPr="000107E1">
        <w:rPr>
          <w:rFonts w:ascii="Garamond" w:hAnsi="Garamond"/>
          <w:i/>
          <w:iCs/>
          <w:sz w:val="22"/>
          <w:szCs w:val="22"/>
        </w:rPr>
        <w:t>but see</w:t>
      </w:r>
      <w:r w:rsidR="00E5020A">
        <w:rPr>
          <w:rFonts w:ascii="Garamond" w:hAnsi="Garamond"/>
          <w:sz w:val="22"/>
          <w:szCs w:val="22"/>
        </w:rPr>
        <w:t xml:space="preserve"> </w:t>
      </w:r>
      <w:r w:rsidR="00E5020A" w:rsidRPr="00053F70">
        <w:rPr>
          <w:rFonts w:ascii="Garamond" w:hAnsi="Garamond"/>
          <w:iCs/>
          <w:sz w:val="22"/>
          <w:szCs w:val="22"/>
        </w:rPr>
        <w:t xml:space="preserve">Val-Pak East Valley, Inc. v. Ariz. </w:t>
      </w:r>
      <w:proofErr w:type="spellStart"/>
      <w:r w:rsidR="00E5020A" w:rsidRPr="00053F70">
        <w:rPr>
          <w:rFonts w:ascii="Garamond" w:hAnsi="Garamond"/>
          <w:iCs/>
          <w:sz w:val="22"/>
          <w:szCs w:val="22"/>
        </w:rPr>
        <w:t>Dep’t</w:t>
      </w:r>
      <w:proofErr w:type="spellEnd"/>
      <w:r w:rsidR="00E5020A" w:rsidRPr="00053F70">
        <w:rPr>
          <w:rFonts w:ascii="Garamond" w:hAnsi="Garamond"/>
          <w:iCs/>
          <w:sz w:val="22"/>
          <w:szCs w:val="22"/>
        </w:rPr>
        <w:t xml:space="preserve"> of Rev.,</w:t>
      </w:r>
      <w:r w:rsidR="00E5020A" w:rsidRPr="00510638">
        <w:rPr>
          <w:rFonts w:ascii="Garamond" w:hAnsi="Garamond"/>
          <w:iCs/>
          <w:sz w:val="22"/>
          <w:szCs w:val="22"/>
        </w:rPr>
        <w:t xml:space="preserve"> 272 P.3d 1055 (Ariz. Ct. App. 2012)</w:t>
      </w:r>
      <w:r w:rsidR="00E5020A">
        <w:rPr>
          <w:rFonts w:ascii="Garamond" w:hAnsi="Garamond"/>
          <w:iCs/>
          <w:sz w:val="22"/>
          <w:szCs w:val="22"/>
        </w:rPr>
        <w:t xml:space="preserve"> (applying the true object test to direct mail advertising rather than the </w:t>
      </w:r>
      <w:r w:rsidR="00247192">
        <w:rPr>
          <w:rFonts w:ascii="Garamond" w:hAnsi="Garamond"/>
          <w:iCs/>
          <w:sz w:val="22"/>
          <w:szCs w:val="22"/>
        </w:rPr>
        <w:t>bundling rule).</w:t>
      </w:r>
    </w:p>
  </w:footnote>
  <w:footnote w:id="36">
    <w:p w14:paraId="7935219D" w14:textId="7430B139" w:rsidR="00BD7374" w:rsidRPr="003E32DC" w:rsidRDefault="00BD7374">
      <w:pPr>
        <w:pStyle w:val="FootnoteText"/>
      </w:pPr>
      <w:r>
        <w:rPr>
          <w:rStyle w:val="FootnoteReference"/>
        </w:rPr>
        <w:footnoteRef/>
      </w:r>
      <w:r>
        <w:t xml:space="preserve"> </w:t>
      </w:r>
      <w:r w:rsidRPr="003E32DC">
        <w:rPr>
          <w:rFonts w:ascii="Garamond" w:hAnsi="Garamond"/>
          <w:sz w:val="22"/>
          <w:szCs w:val="22"/>
        </w:rPr>
        <w:t xml:space="preserve">Cal. </w:t>
      </w:r>
      <w:r w:rsidR="00A61A00">
        <w:rPr>
          <w:rFonts w:ascii="Garamond" w:hAnsi="Garamond"/>
          <w:sz w:val="22"/>
          <w:szCs w:val="22"/>
        </w:rPr>
        <w:t>Code R</w:t>
      </w:r>
      <w:r w:rsidRPr="003E32DC">
        <w:rPr>
          <w:rFonts w:ascii="Garamond" w:hAnsi="Garamond"/>
          <w:sz w:val="22"/>
          <w:szCs w:val="22"/>
        </w:rPr>
        <w:t xml:space="preserve">egs. </w:t>
      </w:r>
      <w:r w:rsidR="00A61A00">
        <w:rPr>
          <w:rFonts w:ascii="Garamond" w:hAnsi="Garamond"/>
          <w:sz w:val="22"/>
          <w:szCs w:val="22"/>
        </w:rPr>
        <w:t xml:space="preserve">tit. </w:t>
      </w:r>
      <w:r w:rsidR="00573DA9">
        <w:rPr>
          <w:rFonts w:ascii="Garamond" w:hAnsi="Garamond"/>
          <w:sz w:val="22"/>
          <w:szCs w:val="22"/>
        </w:rPr>
        <w:t xml:space="preserve">18, </w:t>
      </w:r>
      <w:r w:rsidR="00CE1671" w:rsidRPr="003E32DC">
        <w:rPr>
          <w:rFonts w:ascii="Garamond" w:hAnsi="Garamond" w:cs="Calibri"/>
          <w:sz w:val="22"/>
          <w:szCs w:val="22"/>
        </w:rPr>
        <w:t>§</w:t>
      </w:r>
      <w:r w:rsidR="00CE1671" w:rsidRPr="003E32DC">
        <w:rPr>
          <w:rFonts w:ascii="Garamond" w:hAnsi="Garamond"/>
          <w:sz w:val="22"/>
          <w:szCs w:val="22"/>
        </w:rPr>
        <w:t>1590(a)(5).</w:t>
      </w:r>
    </w:p>
  </w:footnote>
  <w:footnote w:id="37">
    <w:p w14:paraId="63B856D4" w14:textId="486096D6" w:rsidR="00332ABE" w:rsidRDefault="00332ABE">
      <w:pPr>
        <w:pStyle w:val="FootnoteText"/>
      </w:pPr>
      <w:r>
        <w:rPr>
          <w:rStyle w:val="FootnoteReference"/>
        </w:rPr>
        <w:footnoteRef/>
      </w:r>
      <w:r>
        <w:t xml:space="preserve"> </w:t>
      </w:r>
      <w:r w:rsidRPr="003E32DC">
        <w:rPr>
          <w:rFonts w:ascii="Garamond" w:hAnsi="Garamond"/>
          <w:sz w:val="22"/>
          <w:szCs w:val="22"/>
        </w:rPr>
        <w:t xml:space="preserve">Cal. </w:t>
      </w:r>
      <w:r>
        <w:rPr>
          <w:rFonts w:ascii="Garamond" w:hAnsi="Garamond"/>
          <w:sz w:val="22"/>
          <w:szCs w:val="22"/>
        </w:rPr>
        <w:t>Code R</w:t>
      </w:r>
      <w:r w:rsidRPr="003E32DC">
        <w:rPr>
          <w:rFonts w:ascii="Garamond" w:hAnsi="Garamond"/>
          <w:sz w:val="22"/>
          <w:szCs w:val="22"/>
        </w:rPr>
        <w:t xml:space="preserve">egs. </w:t>
      </w:r>
      <w:r>
        <w:rPr>
          <w:rFonts w:ascii="Garamond" w:hAnsi="Garamond"/>
          <w:sz w:val="22"/>
          <w:szCs w:val="22"/>
        </w:rPr>
        <w:t>tit.</w:t>
      </w:r>
      <w:r w:rsidRPr="003E32DC">
        <w:rPr>
          <w:rFonts w:ascii="Garamond" w:hAnsi="Garamond"/>
          <w:sz w:val="22"/>
          <w:szCs w:val="22"/>
        </w:rPr>
        <w:t xml:space="preserve"> </w:t>
      </w:r>
      <w:r>
        <w:rPr>
          <w:rFonts w:ascii="Garamond" w:hAnsi="Garamond"/>
          <w:sz w:val="22"/>
          <w:szCs w:val="22"/>
        </w:rPr>
        <w:t xml:space="preserve">18, </w:t>
      </w:r>
      <w:r w:rsidRPr="003E32DC">
        <w:rPr>
          <w:rFonts w:ascii="Garamond" w:hAnsi="Garamond" w:cs="Calibri"/>
          <w:sz w:val="22"/>
          <w:szCs w:val="22"/>
        </w:rPr>
        <w:t>§</w:t>
      </w:r>
      <w:r w:rsidRPr="003E32DC">
        <w:rPr>
          <w:rFonts w:ascii="Garamond" w:hAnsi="Garamond"/>
          <w:sz w:val="22"/>
          <w:szCs w:val="22"/>
        </w:rPr>
        <w:t>1590(b)(3)(B).</w:t>
      </w:r>
    </w:p>
  </w:footnote>
  <w:footnote w:id="38">
    <w:p w14:paraId="2CAD3A4C" w14:textId="08993C36" w:rsidR="00680084" w:rsidRPr="003E32DC" w:rsidRDefault="00680084">
      <w:pPr>
        <w:pStyle w:val="FootnoteText"/>
      </w:pPr>
      <w:r w:rsidRPr="003E32DC">
        <w:rPr>
          <w:rStyle w:val="FootnoteReference"/>
        </w:rPr>
        <w:footnoteRef/>
      </w:r>
      <w:r w:rsidRPr="003E32DC">
        <w:t xml:space="preserve"> </w:t>
      </w:r>
      <w:r w:rsidR="00CF7279" w:rsidRPr="003E32DC">
        <w:rPr>
          <w:rFonts w:ascii="Garamond" w:hAnsi="Garamond"/>
          <w:sz w:val="22"/>
          <w:szCs w:val="22"/>
        </w:rPr>
        <w:t xml:space="preserve">Cal. </w:t>
      </w:r>
      <w:r w:rsidR="00CF7279">
        <w:rPr>
          <w:rFonts w:ascii="Garamond" w:hAnsi="Garamond"/>
          <w:sz w:val="22"/>
          <w:szCs w:val="22"/>
        </w:rPr>
        <w:t>Code R</w:t>
      </w:r>
      <w:r w:rsidR="00CF7279" w:rsidRPr="003E32DC">
        <w:rPr>
          <w:rFonts w:ascii="Garamond" w:hAnsi="Garamond"/>
          <w:sz w:val="22"/>
          <w:szCs w:val="22"/>
        </w:rPr>
        <w:t xml:space="preserve">egs. </w:t>
      </w:r>
      <w:r w:rsidR="00CF7279">
        <w:rPr>
          <w:rFonts w:ascii="Garamond" w:hAnsi="Garamond"/>
          <w:sz w:val="22"/>
          <w:szCs w:val="22"/>
        </w:rPr>
        <w:t>tit.</w:t>
      </w:r>
      <w:r w:rsidR="00CF7279" w:rsidRPr="003E32DC">
        <w:rPr>
          <w:rFonts w:ascii="Garamond" w:hAnsi="Garamond"/>
          <w:sz w:val="22"/>
          <w:szCs w:val="22"/>
        </w:rPr>
        <w:t xml:space="preserve"> </w:t>
      </w:r>
      <w:r w:rsidR="00CF7279">
        <w:rPr>
          <w:rFonts w:ascii="Garamond" w:hAnsi="Garamond"/>
          <w:sz w:val="22"/>
          <w:szCs w:val="22"/>
        </w:rPr>
        <w:t>18,</w:t>
      </w:r>
      <w:r w:rsidR="007809BF" w:rsidRPr="003E32DC">
        <w:rPr>
          <w:rFonts w:ascii="Garamond" w:hAnsi="Garamond"/>
          <w:sz w:val="22"/>
          <w:szCs w:val="22"/>
        </w:rPr>
        <w:t xml:space="preserve"> </w:t>
      </w:r>
      <w:r w:rsidRPr="003E32DC">
        <w:rPr>
          <w:rFonts w:ascii="Garamond" w:hAnsi="Garamond" w:cs="Calibri"/>
          <w:sz w:val="22"/>
          <w:szCs w:val="22"/>
        </w:rPr>
        <w:t>§</w:t>
      </w:r>
      <w:r w:rsidRPr="003E32DC">
        <w:rPr>
          <w:rFonts w:ascii="Garamond" w:hAnsi="Garamond"/>
          <w:sz w:val="22"/>
          <w:szCs w:val="22"/>
        </w:rPr>
        <w:t>1590(b)(3)(B).</w:t>
      </w:r>
    </w:p>
  </w:footnote>
  <w:footnote w:id="39">
    <w:p w14:paraId="45010CEB" w14:textId="2EAF4A19" w:rsidR="009D4FB1" w:rsidRPr="003E32DC" w:rsidRDefault="009D4FB1">
      <w:pPr>
        <w:pStyle w:val="FootnoteText"/>
      </w:pPr>
      <w:r w:rsidRPr="003E32DC">
        <w:rPr>
          <w:rStyle w:val="FootnoteReference"/>
        </w:rPr>
        <w:footnoteRef/>
      </w:r>
      <w:r w:rsidRPr="003E32DC">
        <w:t xml:space="preserve"> </w:t>
      </w:r>
      <w:r w:rsidR="00DD23F3" w:rsidRPr="003E32DC">
        <w:rPr>
          <w:rFonts w:ascii="Garamond" w:hAnsi="Garamond"/>
          <w:sz w:val="22"/>
          <w:szCs w:val="22"/>
        </w:rPr>
        <w:t xml:space="preserve">Cal. Rev. &amp; Tax. Code </w:t>
      </w:r>
      <w:r w:rsidR="00DD23F3" w:rsidRPr="003E32DC">
        <w:rPr>
          <w:rFonts w:ascii="Garamond" w:hAnsi="Garamond" w:cs="Calibri"/>
          <w:sz w:val="22"/>
          <w:szCs w:val="22"/>
        </w:rPr>
        <w:t>§</w:t>
      </w:r>
      <w:r w:rsidR="00DD23F3" w:rsidRPr="003E32DC">
        <w:rPr>
          <w:rFonts w:ascii="Garamond" w:hAnsi="Garamond"/>
          <w:sz w:val="22"/>
          <w:szCs w:val="22"/>
        </w:rPr>
        <w:t>6012(c)(10)(D) defines “technology transfer agreement” as any agreement under which a person who holds a patent or copyright interest assigns or licenses to another person the right to make and sell a product or to use a process that is subject to the patent or copyright interest.</w:t>
      </w:r>
    </w:p>
  </w:footnote>
  <w:footnote w:id="40">
    <w:p w14:paraId="69A864A1" w14:textId="496E764A" w:rsidR="00E25883" w:rsidRPr="003E32DC" w:rsidRDefault="00E25883">
      <w:pPr>
        <w:pStyle w:val="FootnoteText"/>
      </w:pPr>
      <w:r w:rsidRPr="003E32DC">
        <w:rPr>
          <w:rStyle w:val="FootnoteReference"/>
        </w:rPr>
        <w:footnoteRef/>
      </w:r>
      <w:r w:rsidRPr="003E32DC">
        <w:t xml:space="preserve"> </w:t>
      </w:r>
      <w:r w:rsidR="007809BF" w:rsidRPr="003E32DC">
        <w:rPr>
          <w:rFonts w:ascii="Garamond" w:hAnsi="Garamond"/>
          <w:sz w:val="22"/>
          <w:szCs w:val="22"/>
        </w:rPr>
        <w:t>Cal. Rev. &amp; Tax. Code</w:t>
      </w:r>
      <w:r w:rsidRPr="003E32DC">
        <w:rPr>
          <w:rFonts w:ascii="Garamond" w:hAnsi="Garamond"/>
          <w:sz w:val="22"/>
          <w:szCs w:val="22"/>
        </w:rPr>
        <w:t xml:space="preserve"> </w:t>
      </w:r>
      <w:r w:rsidRPr="003E32DC">
        <w:rPr>
          <w:rFonts w:ascii="Garamond" w:hAnsi="Garamond" w:cs="Calibri"/>
          <w:sz w:val="22"/>
          <w:szCs w:val="22"/>
        </w:rPr>
        <w:t>§</w:t>
      </w:r>
      <w:r w:rsidRPr="003E32DC">
        <w:rPr>
          <w:rFonts w:ascii="Garamond" w:hAnsi="Garamond"/>
          <w:sz w:val="22"/>
          <w:szCs w:val="22"/>
        </w:rPr>
        <w:t>6012(</w:t>
      </w:r>
      <w:r w:rsidR="00450788" w:rsidRPr="003E32DC">
        <w:rPr>
          <w:rFonts w:ascii="Garamond" w:hAnsi="Garamond"/>
          <w:sz w:val="22"/>
          <w:szCs w:val="22"/>
        </w:rPr>
        <w:t>c</w:t>
      </w:r>
      <w:r w:rsidRPr="003E32DC">
        <w:rPr>
          <w:rFonts w:ascii="Garamond" w:hAnsi="Garamond"/>
          <w:sz w:val="22"/>
          <w:szCs w:val="22"/>
        </w:rPr>
        <w:t>)(</w:t>
      </w:r>
      <w:r w:rsidR="00450788" w:rsidRPr="003E32DC">
        <w:rPr>
          <w:rFonts w:ascii="Garamond" w:hAnsi="Garamond"/>
          <w:sz w:val="22"/>
          <w:szCs w:val="22"/>
        </w:rPr>
        <w:t>10</w:t>
      </w:r>
      <w:r w:rsidRPr="003E32DC">
        <w:rPr>
          <w:rFonts w:ascii="Garamond" w:hAnsi="Garamond"/>
          <w:sz w:val="22"/>
          <w:szCs w:val="22"/>
        </w:rPr>
        <w:t>).</w:t>
      </w:r>
    </w:p>
  </w:footnote>
  <w:footnote w:id="41">
    <w:p w14:paraId="70DD6EC3" w14:textId="7D8FD7FF" w:rsidR="002F24CC" w:rsidRPr="003E32DC" w:rsidRDefault="002F24CC">
      <w:pPr>
        <w:pStyle w:val="FootnoteText"/>
      </w:pPr>
      <w:r w:rsidRPr="003E32DC">
        <w:rPr>
          <w:rStyle w:val="FootnoteReference"/>
        </w:rPr>
        <w:footnoteRef/>
      </w:r>
      <w:r w:rsidRPr="003E32DC">
        <w:t xml:space="preserve"> </w:t>
      </w:r>
      <w:r w:rsidRPr="003E32DC">
        <w:rPr>
          <w:rFonts w:ascii="Garamond" w:hAnsi="Garamond"/>
          <w:sz w:val="22"/>
          <w:szCs w:val="22"/>
        </w:rPr>
        <w:t xml:space="preserve">Cal. Rev. &amp; Tax. Code </w:t>
      </w:r>
      <w:r w:rsidRPr="003E32DC">
        <w:rPr>
          <w:rFonts w:ascii="Garamond" w:hAnsi="Garamond" w:cs="Calibri"/>
          <w:sz w:val="22"/>
          <w:szCs w:val="22"/>
        </w:rPr>
        <w:t>§</w:t>
      </w:r>
      <w:r w:rsidRPr="003E32DC">
        <w:rPr>
          <w:rFonts w:ascii="Garamond" w:hAnsi="Garamond"/>
          <w:sz w:val="22"/>
          <w:szCs w:val="22"/>
        </w:rPr>
        <w:t>6012(c)(10)(</w:t>
      </w:r>
      <w:r w:rsidR="009D4FB1" w:rsidRPr="003E32DC">
        <w:rPr>
          <w:rFonts w:ascii="Garamond" w:hAnsi="Garamond"/>
          <w:sz w:val="22"/>
          <w:szCs w:val="22"/>
        </w:rPr>
        <w:t>B</w:t>
      </w:r>
      <w:r w:rsidRPr="003E32DC">
        <w:rPr>
          <w:rFonts w:ascii="Garamond" w:hAnsi="Garamond"/>
          <w:sz w:val="22"/>
          <w:szCs w:val="22"/>
        </w:rPr>
        <w:t>).</w:t>
      </w:r>
    </w:p>
  </w:footnote>
  <w:footnote w:id="42">
    <w:p w14:paraId="37C027DC" w14:textId="59F27C5D" w:rsidR="00975775" w:rsidRDefault="00975775">
      <w:pPr>
        <w:pStyle w:val="FootnoteText"/>
      </w:pPr>
      <w:r w:rsidRPr="003E32DC">
        <w:rPr>
          <w:rStyle w:val="FootnoteReference"/>
        </w:rPr>
        <w:footnoteRef/>
      </w:r>
      <w:r w:rsidRPr="003E32DC">
        <w:t xml:space="preserve"> </w:t>
      </w:r>
      <w:r w:rsidRPr="003E32DC">
        <w:rPr>
          <w:rFonts w:ascii="Garamond" w:hAnsi="Garamond"/>
          <w:sz w:val="22"/>
          <w:szCs w:val="22"/>
        </w:rPr>
        <w:t xml:space="preserve">Cal. Rev. &amp; Tax. Code </w:t>
      </w:r>
      <w:r w:rsidRPr="003E32DC">
        <w:rPr>
          <w:rFonts w:ascii="Garamond" w:hAnsi="Garamond" w:cs="Calibri"/>
          <w:sz w:val="22"/>
          <w:szCs w:val="22"/>
        </w:rPr>
        <w:t>§</w:t>
      </w:r>
      <w:r w:rsidRPr="003E32DC">
        <w:rPr>
          <w:rFonts w:ascii="Garamond" w:hAnsi="Garamond"/>
          <w:sz w:val="22"/>
          <w:szCs w:val="22"/>
        </w:rPr>
        <w:t>6012(c)(10)</w:t>
      </w:r>
      <w:r w:rsidR="002F24CC" w:rsidRPr="003E32DC">
        <w:rPr>
          <w:rFonts w:ascii="Garamond" w:hAnsi="Garamond"/>
          <w:sz w:val="22"/>
          <w:szCs w:val="22"/>
        </w:rPr>
        <w:t>(</w:t>
      </w:r>
      <w:r w:rsidR="009D4FB1" w:rsidRPr="003E32DC">
        <w:rPr>
          <w:rFonts w:ascii="Garamond" w:hAnsi="Garamond"/>
          <w:sz w:val="22"/>
          <w:szCs w:val="22"/>
        </w:rPr>
        <w:t>C</w:t>
      </w:r>
      <w:r w:rsidR="002F24CC" w:rsidRPr="003E32DC">
        <w:rPr>
          <w:rFonts w:ascii="Garamond" w:hAnsi="Garamond"/>
          <w:sz w:val="22"/>
          <w:szCs w:val="22"/>
        </w:rPr>
        <w:t>)</w:t>
      </w:r>
      <w:r w:rsidRPr="003E32DC">
        <w:rPr>
          <w:rFonts w:ascii="Garamond" w:hAnsi="Garamond"/>
          <w:sz w:val="22"/>
          <w:szCs w:val="22"/>
        </w:rPr>
        <w:t>.</w:t>
      </w:r>
    </w:p>
  </w:footnote>
  <w:footnote w:id="43">
    <w:p w14:paraId="74B3B74E" w14:textId="77777777" w:rsidR="00C85989" w:rsidRPr="00885DFD" w:rsidRDefault="00C85989" w:rsidP="00C85989">
      <w:pPr>
        <w:pStyle w:val="FootnoteText"/>
        <w:rPr>
          <w:rFonts w:ascii="Garamond" w:hAnsi="Garamond"/>
          <w:sz w:val="22"/>
          <w:szCs w:val="22"/>
        </w:rPr>
      </w:pPr>
      <w:r>
        <w:rPr>
          <w:rStyle w:val="FootnoteReference"/>
        </w:rPr>
        <w:footnoteRef/>
      </w:r>
      <w:r>
        <w:t xml:space="preserve"> </w:t>
      </w:r>
      <w:r>
        <w:rPr>
          <w:rFonts w:ascii="Garamond" w:hAnsi="Garamond"/>
          <w:sz w:val="22"/>
          <w:szCs w:val="22"/>
        </w:rPr>
        <w:t xml:space="preserve">In this whitepaper we use the term “true object test” to mean any similar terminology used by states, such as “essence of the transaction test.” </w:t>
      </w:r>
    </w:p>
  </w:footnote>
  <w:footnote w:id="44">
    <w:p w14:paraId="2D8C2C5D" w14:textId="77777777" w:rsidR="00C85989" w:rsidRPr="00183B6A" w:rsidRDefault="00C85989" w:rsidP="00C85989">
      <w:pPr>
        <w:pStyle w:val="FootnoteText"/>
        <w:rPr>
          <w:rFonts w:ascii="Garamond" w:hAnsi="Garamond"/>
          <w:sz w:val="22"/>
          <w:szCs w:val="22"/>
        </w:rPr>
      </w:pPr>
      <w:r>
        <w:rPr>
          <w:rStyle w:val="FootnoteReference"/>
        </w:rPr>
        <w:footnoteRef/>
      </w:r>
      <w:r>
        <w:t xml:space="preserve"> </w:t>
      </w:r>
      <w:r w:rsidRPr="00183B6A">
        <w:rPr>
          <w:rFonts w:ascii="Garamond" w:hAnsi="Garamond" w:cs="Arial"/>
          <w:color w:val="252525"/>
          <w:sz w:val="22"/>
          <w:szCs w:val="22"/>
        </w:rPr>
        <w:t>Hellerstein, Hellerstein &amp; Appleby, </w:t>
      </w:r>
      <w:r w:rsidRPr="00183B6A">
        <w:rPr>
          <w:rStyle w:val="c-doc-para-italic"/>
          <w:rFonts w:ascii="Garamond" w:hAnsi="Garamond" w:cs="Arial"/>
          <w:i/>
          <w:iCs/>
          <w:color w:val="252525"/>
          <w:sz w:val="22"/>
          <w:szCs w:val="22"/>
        </w:rPr>
        <w:t>State Taxation</w:t>
      </w:r>
      <w:r w:rsidRPr="00183B6A">
        <w:rPr>
          <w:rStyle w:val="c-doc-para-italic"/>
          <w:rFonts w:ascii="Garamond" w:hAnsi="Garamond" w:cs="Arial"/>
          <w:color w:val="252525"/>
          <w:sz w:val="22"/>
          <w:szCs w:val="22"/>
        </w:rPr>
        <w:t xml:space="preserve">, </w:t>
      </w:r>
      <w:r w:rsidRPr="00183B6A">
        <w:rPr>
          <w:rFonts w:ascii="Garamond" w:hAnsi="Garamond" w:cs="Calibri"/>
          <w:sz w:val="22"/>
          <w:szCs w:val="22"/>
        </w:rPr>
        <w:t xml:space="preserve">§ 12.08[1] </w:t>
      </w:r>
      <w:r w:rsidRPr="00183B6A">
        <w:rPr>
          <w:rFonts w:ascii="Garamond" w:hAnsi="Garamond" w:cs="Arial"/>
          <w:color w:val="252525"/>
          <w:sz w:val="22"/>
          <w:szCs w:val="22"/>
        </w:rPr>
        <w:t>(Thomson Reuters/Tax &amp; Accounting, 3rd ed. 2001, with updates through December 2023) (online version accessed on Checkpoint (www.checkpoint.riag.com) July 11, 2024).</w:t>
      </w:r>
    </w:p>
  </w:footnote>
  <w:footnote w:id="45">
    <w:p w14:paraId="758EBD87" w14:textId="10ED5DFC" w:rsidR="00C85989" w:rsidRPr="00183B6A" w:rsidRDefault="00C85989" w:rsidP="00C85989">
      <w:pPr>
        <w:pStyle w:val="FootnoteText"/>
        <w:rPr>
          <w:rFonts w:ascii="Garamond" w:hAnsi="Garamond"/>
          <w:sz w:val="22"/>
          <w:szCs w:val="22"/>
        </w:rPr>
      </w:pPr>
      <w:r w:rsidRPr="00183B6A">
        <w:rPr>
          <w:rStyle w:val="FootnoteReference"/>
          <w:rFonts w:ascii="Garamond" w:hAnsi="Garamond"/>
          <w:sz w:val="22"/>
          <w:szCs w:val="22"/>
        </w:rPr>
        <w:footnoteRef/>
      </w:r>
      <w:r w:rsidRPr="00183B6A">
        <w:rPr>
          <w:rFonts w:ascii="Garamond" w:hAnsi="Garamond"/>
          <w:sz w:val="22"/>
          <w:szCs w:val="22"/>
        </w:rPr>
        <w:t xml:space="preserve"> </w:t>
      </w:r>
      <w:r w:rsidRPr="00183B6A">
        <w:rPr>
          <w:rFonts w:ascii="Garamond" w:hAnsi="Garamond" w:cs="Arial"/>
          <w:color w:val="252525"/>
          <w:sz w:val="22"/>
          <w:szCs w:val="22"/>
        </w:rPr>
        <w:t>Hellerstein, Hellerstein &amp; Appleby, </w:t>
      </w:r>
      <w:r w:rsidRPr="00183B6A">
        <w:rPr>
          <w:rStyle w:val="c-doc-para-italic"/>
          <w:rFonts w:ascii="Garamond" w:hAnsi="Garamond" w:cs="Arial"/>
          <w:i/>
          <w:iCs/>
          <w:color w:val="252525"/>
          <w:sz w:val="22"/>
          <w:szCs w:val="22"/>
        </w:rPr>
        <w:t>State Taxation</w:t>
      </w:r>
      <w:r w:rsidRPr="00183B6A">
        <w:rPr>
          <w:rStyle w:val="c-doc-para-italic"/>
          <w:rFonts w:ascii="Garamond" w:hAnsi="Garamond" w:cs="Arial"/>
          <w:color w:val="252525"/>
          <w:sz w:val="22"/>
          <w:szCs w:val="22"/>
        </w:rPr>
        <w:t xml:space="preserve">, </w:t>
      </w:r>
      <w:r w:rsidRPr="00183B6A">
        <w:rPr>
          <w:rFonts w:ascii="Garamond" w:hAnsi="Garamond" w:cs="Calibri"/>
          <w:sz w:val="22"/>
          <w:szCs w:val="22"/>
        </w:rPr>
        <w:t>§ 12.08[1]</w:t>
      </w:r>
      <w:r w:rsidR="00582ED5">
        <w:rPr>
          <w:rFonts w:ascii="Garamond" w:hAnsi="Garamond" w:cs="Arial"/>
          <w:color w:val="252525"/>
          <w:sz w:val="22"/>
          <w:szCs w:val="22"/>
        </w:rPr>
        <w:t xml:space="preserve">; however, in New York, the “primary function” test is reserved for transactions involving taxable and nontaxable services and is not appropriate for transactions </w:t>
      </w:r>
      <w:r w:rsidR="00582ED5" w:rsidRPr="00253AF6">
        <w:rPr>
          <w:rFonts w:ascii="Garamond" w:hAnsi="Garamond" w:cs="Arial"/>
          <w:color w:val="252525"/>
          <w:sz w:val="22"/>
          <w:szCs w:val="22"/>
        </w:rPr>
        <w:t xml:space="preserve">involving </w:t>
      </w:r>
      <w:r w:rsidR="00253AF6" w:rsidRPr="00253AF6">
        <w:rPr>
          <w:rFonts w:ascii="Garamond" w:hAnsi="Garamond"/>
        </w:rPr>
        <w:t>TPP</w:t>
      </w:r>
      <w:r w:rsidR="00253AF6">
        <w:rPr>
          <w:rFonts w:ascii="Garamond" w:hAnsi="Garamond" w:cs="Arial"/>
          <w:color w:val="252525"/>
          <w:sz w:val="22"/>
          <w:szCs w:val="22"/>
        </w:rPr>
        <w:t xml:space="preserve"> </w:t>
      </w:r>
      <w:r w:rsidR="00582ED5">
        <w:rPr>
          <w:rFonts w:ascii="Garamond" w:hAnsi="Garamond" w:cs="Arial"/>
          <w:color w:val="252525"/>
          <w:sz w:val="22"/>
          <w:szCs w:val="22"/>
        </w:rPr>
        <w:t xml:space="preserve">and services, </w:t>
      </w:r>
      <w:r w:rsidR="00582ED5" w:rsidRPr="00D907F3">
        <w:rPr>
          <w:rFonts w:ascii="Garamond" w:hAnsi="Garamond" w:cs="Arial"/>
          <w:i/>
          <w:iCs/>
          <w:color w:val="252525"/>
          <w:sz w:val="22"/>
          <w:szCs w:val="22"/>
        </w:rPr>
        <w:t>In the Matter of the</w:t>
      </w:r>
      <w:r w:rsidR="00582ED5">
        <w:rPr>
          <w:rFonts w:ascii="Garamond" w:hAnsi="Garamond" w:cs="Arial"/>
          <w:color w:val="252525"/>
          <w:sz w:val="22"/>
          <w:szCs w:val="22"/>
        </w:rPr>
        <w:t xml:space="preserve"> </w:t>
      </w:r>
      <w:r w:rsidR="00582ED5" w:rsidRPr="00582ED5">
        <w:rPr>
          <w:rFonts w:ascii="Garamond" w:hAnsi="Garamond" w:cs="Arial"/>
          <w:i/>
          <w:iCs/>
          <w:color w:val="252525"/>
          <w:sz w:val="22"/>
          <w:szCs w:val="22"/>
        </w:rPr>
        <w:t>Petition of Facility Source, LLC</w:t>
      </w:r>
      <w:r w:rsidR="00582ED5">
        <w:rPr>
          <w:rFonts w:ascii="Garamond" w:hAnsi="Garamond" w:cs="Arial"/>
          <w:color w:val="252525"/>
          <w:sz w:val="22"/>
          <w:szCs w:val="22"/>
        </w:rPr>
        <w:t>, DTA Nos. 829500 &amp; 829501 (N.Y. Tax Appeals Tribunal 2025).</w:t>
      </w:r>
    </w:p>
  </w:footnote>
  <w:footnote w:id="46">
    <w:p w14:paraId="4B3E3C0F" w14:textId="77777777" w:rsidR="00925E55" w:rsidRPr="00510638" w:rsidRDefault="00317E10" w:rsidP="00925E55">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Tenn. </w:t>
      </w:r>
      <w:proofErr w:type="spellStart"/>
      <w:r w:rsidRPr="00510638">
        <w:rPr>
          <w:rFonts w:ascii="Garamond" w:hAnsi="Garamond"/>
          <w:sz w:val="22"/>
          <w:szCs w:val="22"/>
        </w:rPr>
        <w:t>Ltr</w:t>
      </w:r>
      <w:proofErr w:type="spellEnd"/>
      <w:r w:rsidRPr="00510638">
        <w:rPr>
          <w:rFonts w:ascii="Garamond" w:hAnsi="Garamond"/>
          <w:sz w:val="22"/>
          <w:szCs w:val="22"/>
        </w:rPr>
        <w:t>. Rul. 14-10.</w:t>
      </w:r>
    </w:p>
  </w:footnote>
  <w:footnote w:id="47">
    <w:p w14:paraId="4B3E3C10" w14:textId="77777777" w:rsidR="00925E55" w:rsidRPr="00510638" w:rsidRDefault="00317E10" w:rsidP="00925E55">
      <w:pPr>
        <w:pStyle w:val="FootnoteText"/>
        <w:rPr>
          <w:rFonts w:ascii="Garamond" w:hAnsi="Garamond"/>
          <w:sz w:val="22"/>
          <w:szCs w:val="22"/>
        </w:rPr>
      </w:pPr>
      <w:r w:rsidRPr="00510638">
        <w:rPr>
          <w:rStyle w:val="FootnoteReference"/>
          <w:rFonts w:ascii="Garamond" w:hAnsi="Garamond"/>
          <w:sz w:val="22"/>
          <w:szCs w:val="22"/>
        </w:rPr>
        <w:footnoteRef/>
      </w:r>
      <w:r w:rsidRPr="00510638">
        <w:rPr>
          <w:rFonts w:ascii="Garamond" w:hAnsi="Garamond"/>
          <w:sz w:val="22"/>
          <w:szCs w:val="22"/>
        </w:rPr>
        <w:t xml:space="preserve"> Tenn. </w:t>
      </w:r>
      <w:proofErr w:type="spellStart"/>
      <w:r w:rsidRPr="00510638">
        <w:rPr>
          <w:rFonts w:ascii="Garamond" w:hAnsi="Garamond"/>
          <w:sz w:val="22"/>
          <w:szCs w:val="22"/>
        </w:rPr>
        <w:t>Ltr</w:t>
      </w:r>
      <w:proofErr w:type="spellEnd"/>
      <w:r w:rsidRPr="00510638">
        <w:rPr>
          <w:rFonts w:ascii="Garamond" w:hAnsi="Garamond"/>
          <w:sz w:val="22"/>
          <w:szCs w:val="22"/>
        </w:rPr>
        <w:t>. Rul. 14-10.</w:t>
      </w:r>
    </w:p>
  </w:footnote>
  <w:footnote w:id="48">
    <w:p w14:paraId="6FFC1A19" w14:textId="676C2816" w:rsidR="00574171" w:rsidRPr="00071EAB" w:rsidRDefault="00574171">
      <w:pPr>
        <w:pStyle w:val="FootnoteText"/>
        <w:rPr>
          <w:rFonts w:ascii="Garamond" w:hAnsi="Garamond"/>
          <w:sz w:val="22"/>
          <w:szCs w:val="22"/>
        </w:rPr>
      </w:pPr>
      <w:r w:rsidRPr="00071EAB">
        <w:rPr>
          <w:rStyle w:val="FootnoteReference"/>
          <w:rFonts w:ascii="Garamond" w:hAnsi="Garamond"/>
          <w:sz w:val="22"/>
          <w:szCs w:val="22"/>
        </w:rPr>
        <w:footnoteRef/>
      </w:r>
      <w:r w:rsidRPr="00071EAB">
        <w:rPr>
          <w:rFonts w:ascii="Garamond" w:hAnsi="Garamond"/>
          <w:sz w:val="22"/>
          <w:szCs w:val="22"/>
        </w:rPr>
        <w:t xml:space="preserve"> </w:t>
      </w:r>
      <w:r w:rsidR="00071EAB" w:rsidRPr="00071EAB">
        <w:rPr>
          <w:rFonts w:ascii="Garamond" w:hAnsi="Garamond"/>
          <w:sz w:val="22"/>
          <w:szCs w:val="22"/>
        </w:rPr>
        <w:t>This demonstrates the intersection between bundling and the true object test.</w:t>
      </w:r>
      <w:r w:rsidRPr="00071EAB">
        <w:rPr>
          <w:rFonts w:ascii="Garamond" w:hAnsi="Garamond"/>
          <w:sz w:val="22"/>
          <w:szCs w:val="22"/>
        </w:rPr>
        <w:t xml:space="preserve"> This rule </w:t>
      </w:r>
      <w:r w:rsidR="00071EAB" w:rsidRPr="00071EAB">
        <w:rPr>
          <w:rFonts w:ascii="Garamond" w:hAnsi="Garamond"/>
          <w:sz w:val="22"/>
          <w:szCs w:val="22"/>
        </w:rPr>
        <w:t>provides</w:t>
      </w:r>
      <w:r w:rsidRPr="00071EAB">
        <w:rPr>
          <w:rFonts w:ascii="Garamond" w:hAnsi="Garamond"/>
          <w:sz w:val="22"/>
          <w:szCs w:val="22"/>
        </w:rPr>
        <w:t xml:space="preserve"> that only the crucial, essential, necessary, or consequential elements follow the tax treatment of the true object. Essentially, this is saying that </w:t>
      </w:r>
      <w:r w:rsidR="00071EAB" w:rsidRPr="00071EAB">
        <w:rPr>
          <w:rFonts w:ascii="Garamond" w:hAnsi="Garamond"/>
          <w:sz w:val="22"/>
          <w:szCs w:val="22"/>
        </w:rPr>
        <w:t>if it is not crucial, essential, necessary, or consequential, then it is “distinct and identifiable,” or, to use non-Streamlined language, “separable,” and therefore its taxation should not be determined by the true object test.</w:t>
      </w:r>
    </w:p>
  </w:footnote>
  <w:footnote w:id="49">
    <w:p w14:paraId="4AF04A9F" w14:textId="3BB708B1" w:rsidR="00E2327C" w:rsidRPr="00982239" w:rsidRDefault="00E2327C">
      <w:pPr>
        <w:pStyle w:val="FootnoteText"/>
      </w:pPr>
      <w:r w:rsidRPr="00982239">
        <w:rPr>
          <w:rStyle w:val="FootnoteReference"/>
        </w:rPr>
        <w:footnoteRef/>
      </w:r>
      <w:r w:rsidRPr="00982239">
        <w:t xml:space="preserve"> </w:t>
      </w:r>
      <w:r w:rsidRPr="00982239">
        <w:rPr>
          <w:rFonts w:ascii="Garamond" w:hAnsi="Garamond"/>
          <w:i/>
          <w:iCs/>
          <w:sz w:val="22"/>
          <w:szCs w:val="22"/>
        </w:rPr>
        <w:t>See, e.g.</w:t>
      </w:r>
      <w:r w:rsidRPr="00982239">
        <w:rPr>
          <w:rFonts w:ascii="Garamond" w:hAnsi="Garamond"/>
          <w:sz w:val="22"/>
          <w:szCs w:val="22"/>
        </w:rPr>
        <w:t xml:space="preserve">, </w:t>
      </w:r>
      <w:r w:rsidRPr="00053F70">
        <w:rPr>
          <w:rFonts w:ascii="Garamond" w:hAnsi="Garamond"/>
          <w:sz w:val="22"/>
          <w:szCs w:val="22"/>
        </w:rPr>
        <w:t xml:space="preserve">City of Boulder v. </w:t>
      </w:r>
      <w:proofErr w:type="spellStart"/>
      <w:r w:rsidRPr="00053F70">
        <w:rPr>
          <w:rFonts w:ascii="Garamond" w:hAnsi="Garamond"/>
          <w:sz w:val="22"/>
          <w:szCs w:val="22"/>
        </w:rPr>
        <w:t>Leanin</w:t>
      </w:r>
      <w:proofErr w:type="spellEnd"/>
      <w:r w:rsidRPr="00053F70">
        <w:rPr>
          <w:rFonts w:ascii="Garamond" w:hAnsi="Garamond"/>
          <w:sz w:val="22"/>
          <w:szCs w:val="22"/>
        </w:rPr>
        <w:t>’ Tree, Inc.,</w:t>
      </w:r>
      <w:r w:rsidRPr="00982239">
        <w:rPr>
          <w:rFonts w:ascii="Garamond" w:hAnsi="Garamond"/>
          <w:sz w:val="22"/>
          <w:szCs w:val="22"/>
        </w:rPr>
        <w:t xml:space="preserve"> 72 P.3d 361 (Colo. 2003) (common understanding test); </w:t>
      </w:r>
      <w:r w:rsidRPr="00053F70">
        <w:rPr>
          <w:rFonts w:ascii="Garamond" w:hAnsi="Garamond"/>
          <w:sz w:val="22"/>
          <w:szCs w:val="22"/>
        </w:rPr>
        <w:t xml:space="preserve">Emery </w:t>
      </w:r>
      <w:proofErr w:type="spellStart"/>
      <w:r w:rsidRPr="00053F70">
        <w:rPr>
          <w:rFonts w:ascii="Garamond" w:hAnsi="Garamond"/>
          <w:sz w:val="22"/>
          <w:szCs w:val="22"/>
        </w:rPr>
        <w:t>Indust</w:t>
      </w:r>
      <w:proofErr w:type="spellEnd"/>
      <w:r w:rsidRPr="00053F70">
        <w:rPr>
          <w:rFonts w:ascii="Garamond" w:hAnsi="Garamond"/>
          <w:sz w:val="22"/>
          <w:szCs w:val="22"/>
        </w:rPr>
        <w:t>., Inc. v. Limbach,</w:t>
      </w:r>
      <w:r w:rsidRPr="00982239">
        <w:rPr>
          <w:rFonts w:ascii="Garamond" w:hAnsi="Garamond"/>
          <w:sz w:val="22"/>
          <w:szCs w:val="22"/>
        </w:rPr>
        <w:t xml:space="preserve"> 539 N.E.2d 608 (Ohio 1989) (overriding purpose test); </w:t>
      </w:r>
      <w:r w:rsidRPr="00053F70">
        <w:rPr>
          <w:rFonts w:ascii="Garamond" w:hAnsi="Garamond"/>
          <w:sz w:val="22"/>
          <w:szCs w:val="22"/>
        </w:rPr>
        <w:t>Hasbro Indus., Inc. v. Norberg, 487 A.2d 124 (R.I. 1985) (real object test); Quotron Systems, Inc. v. Comptroller of Treasury, 411 A.2d 439 (Md. 1980) (predominant purpose test); Bullock v. Statistical Tabulating Corp., 549 S.W.2d 166 (Tex. 1977) (essence of the transaction test); WTAR Radio-TV Corp. v. Commonwealth, 234 S.E.2d 245 (1977) (true object test); Catalina Marketing Sales Corporation v. Department of Treas.,</w:t>
      </w:r>
      <w:r w:rsidRPr="00982239">
        <w:rPr>
          <w:rFonts w:ascii="Garamond" w:hAnsi="Garamond"/>
          <w:sz w:val="22"/>
          <w:szCs w:val="22"/>
        </w:rPr>
        <w:t xml:space="preserve"> 678 N.W.2d 619, 626 (Mich. 2004) (incidental to service test).</w:t>
      </w:r>
    </w:p>
  </w:footnote>
  <w:footnote w:id="50">
    <w:p w14:paraId="5CE5B1DF" w14:textId="7A9BEF40" w:rsidR="00CC7829" w:rsidRDefault="00CC7829">
      <w:pPr>
        <w:pStyle w:val="FootnoteText"/>
      </w:pPr>
      <w:r w:rsidRPr="00982239">
        <w:rPr>
          <w:rStyle w:val="FootnoteReference"/>
        </w:rPr>
        <w:footnoteRef/>
      </w:r>
      <w:r w:rsidRPr="00982239">
        <w:t xml:space="preserve"> </w:t>
      </w:r>
      <w:r w:rsidRPr="00053F70">
        <w:rPr>
          <w:rFonts w:ascii="Garamond" w:hAnsi="Garamond"/>
          <w:sz w:val="22"/>
          <w:szCs w:val="22"/>
        </w:rPr>
        <w:t>Washington Times-Herald v. District of Columbia, 213 F.2d 23 (D.C. Cir. 1954)</w:t>
      </w:r>
      <w:r w:rsidR="00835FE1" w:rsidRPr="00053F70">
        <w:rPr>
          <w:rFonts w:ascii="Garamond" w:hAnsi="Garamond"/>
          <w:sz w:val="22"/>
          <w:szCs w:val="22"/>
        </w:rPr>
        <w:t xml:space="preserve"> and </w:t>
      </w:r>
      <w:r w:rsidRPr="00053F70">
        <w:rPr>
          <w:rFonts w:ascii="Garamond" w:hAnsi="Garamond"/>
          <w:sz w:val="22"/>
          <w:szCs w:val="22"/>
        </w:rPr>
        <w:t>Fingerhut Prods. Co. v. Comm’r of Revenue, 258 N.W.2d 606 (Minn. 1977)</w:t>
      </w:r>
      <w:r w:rsidR="00622984" w:rsidRPr="00053F70">
        <w:rPr>
          <w:rFonts w:ascii="Garamond" w:hAnsi="Garamond"/>
          <w:sz w:val="22"/>
          <w:szCs w:val="22"/>
        </w:rPr>
        <w:t xml:space="preserve"> (value of TPP versus intangibles); </w:t>
      </w:r>
      <w:r w:rsidR="00835FE1" w:rsidRPr="00053F70">
        <w:rPr>
          <w:rFonts w:ascii="Garamond" w:hAnsi="Garamond"/>
          <w:sz w:val="22"/>
          <w:szCs w:val="22"/>
        </w:rPr>
        <w:t xml:space="preserve">Commerce Union Bank v. Tidwell, 538 S.W.2d 405 (Tenn. 1976) and Bullock v. Statistical Tabulating Corp., 549 S.W.2d 166 (Tex. 1977) (whether there was an alternative method of transfer); </w:t>
      </w:r>
      <w:r w:rsidR="007D23C4" w:rsidRPr="00053F70">
        <w:rPr>
          <w:rFonts w:ascii="Garamond" w:hAnsi="Garamond"/>
          <w:sz w:val="22"/>
          <w:szCs w:val="22"/>
        </w:rPr>
        <w:t>Fingerhut Prods. Co. v. Comm’r of Revenue, 258 N.W.2d 606 (Minn. 1977) and Williams Lee Scouting Service, Inc. v. Calvert, 452 S.W.2d 789 (</w:t>
      </w:r>
      <w:proofErr w:type="spellStart"/>
      <w:r w:rsidR="007D23C4" w:rsidRPr="00053F70">
        <w:rPr>
          <w:rFonts w:ascii="Garamond" w:hAnsi="Garamond"/>
          <w:sz w:val="22"/>
          <w:szCs w:val="22"/>
        </w:rPr>
        <w:t>Tex.App</w:t>
      </w:r>
      <w:proofErr w:type="spellEnd"/>
      <w:r w:rsidR="007D23C4" w:rsidRPr="00053F70">
        <w:rPr>
          <w:rFonts w:ascii="Garamond" w:hAnsi="Garamond"/>
          <w:sz w:val="22"/>
          <w:szCs w:val="22"/>
        </w:rPr>
        <w:t xml:space="preserve">. 1970) (the length of time the information provided retains its value); </w:t>
      </w:r>
      <w:r w:rsidR="00090C0D" w:rsidRPr="00053F70">
        <w:rPr>
          <w:rFonts w:ascii="Garamond" w:hAnsi="Garamond"/>
          <w:sz w:val="22"/>
          <w:szCs w:val="22"/>
        </w:rPr>
        <w:t>Dun &amp; Bradstreet, Inc. v. City of New York, 11 N.E.2d 728 (1937)</w:t>
      </w:r>
      <w:r w:rsidR="00293017" w:rsidRPr="00053F70">
        <w:rPr>
          <w:rFonts w:ascii="Garamond" w:hAnsi="Garamond"/>
          <w:sz w:val="22"/>
          <w:szCs w:val="22"/>
        </w:rPr>
        <w:t xml:space="preserve"> (constraints on the buyer’s ability to use the property); </w:t>
      </w:r>
      <w:r w:rsidR="00EF64E8" w:rsidRPr="00053F70">
        <w:rPr>
          <w:rFonts w:ascii="Garamond" w:hAnsi="Garamond"/>
          <w:sz w:val="22"/>
          <w:szCs w:val="22"/>
        </w:rPr>
        <w:t xml:space="preserve">Commerce Union Bank v. Tidwell, 538 S.W.2d 405 (Tenn. 1976) and Sneary v. Director of Revenue, 865 S.W.2d 342 (Mo. 1993) (what is eventually done with the TPP); </w:t>
      </w:r>
      <w:r w:rsidR="00982239" w:rsidRPr="00053F70">
        <w:rPr>
          <w:rFonts w:ascii="Garamond" w:hAnsi="Garamond"/>
          <w:sz w:val="22"/>
          <w:szCs w:val="22"/>
        </w:rPr>
        <w:t>Columbus Coated Fabrics Div. v. Porterfield, 285 N.E.2d 50 (Ohio 1972); Hasbro Indus., Inc. v. Norberg,</w:t>
      </w:r>
      <w:r w:rsidR="00982239" w:rsidRPr="00982239">
        <w:rPr>
          <w:rFonts w:ascii="Garamond" w:hAnsi="Garamond"/>
          <w:sz w:val="22"/>
          <w:szCs w:val="22"/>
        </w:rPr>
        <w:t xml:space="preserve"> 487 A.2d 124 (R.I. 1985) (whether the TPP is the product the purchaser sought).</w:t>
      </w:r>
    </w:p>
  </w:footnote>
  <w:footnote w:id="51">
    <w:p w14:paraId="4B3E3C21" w14:textId="77777777" w:rsidR="00F548E6" w:rsidRPr="00053F70" w:rsidRDefault="00317E10" w:rsidP="00F548E6">
      <w:pPr>
        <w:pStyle w:val="FootnoteText"/>
        <w:rPr>
          <w:rFonts w:ascii="Garamond" w:hAnsi="Garamond"/>
          <w:sz w:val="22"/>
          <w:szCs w:val="22"/>
        </w:rPr>
      </w:pPr>
      <w:r w:rsidRPr="002F2F89">
        <w:rPr>
          <w:rStyle w:val="FootnoteReference"/>
          <w:rFonts w:ascii="Garamond" w:hAnsi="Garamond"/>
          <w:sz w:val="22"/>
          <w:szCs w:val="22"/>
        </w:rPr>
        <w:footnoteRef/>
      </w:r>
      <w:r w:rsidRPr="002F2F89">
        <w:rPr>
          <w:rFonts w:ascii="Garamond" w:hAnsi="Garamond"/>
          <w:sz w:val="22"/>
          <w:szCs w:val="22"/>
        </w:rPr>
        <w:t xml:space="preserve"> </w:t>
      </w:r>
      <w:r w:rsidRPr="00053F70">
        <w:rPr>
          <w:rFonts w:ascii="Garamond" w:hAnsi="Garamond"/>
          <w:sz w:val="22"/>
          <w:szCs w:val="22"/>
        </w:rPr>
        <w:t>Rylander v. San Antonio SMSA L.P., 11 S.W.3d 484 (Tex. App. 2000).</w:t>
      </w:r>
    </w:p>
  </w:footnote>
  <w:footnote w:id="52">
    <w:p w14:paraId="4B3E3C22" w14:textId="77777777" w:rsidR="00F548E6" w:rsidRPr="002F2F89" w:rsidRDefault="00317E10" w:rsidP="00F548E6">
      <w:pPr>
        <w:pStyle w:val="FootnoteText"/>
        <w:rPr>
          <w:rFonts w:ascii="Garamond" w:hAnsi="Garamond"/>
          <w:sz w:val="22"/>
          <w:szCs w:val="22"/>
        </w:rPr>
      </w:pPr>
      <w:r w:rsidRPr="00053F70">
        <w:rPr>
          <w:rStyle w:val="FootnoteReference"/>
          <w:rFonts w:ascii="Garamond" w:hAnsi="Garamond"/>
          <w:sz w:val="22"/>
          <w:szCs w:val="22"/>
        </w:rPr>
        <w:footnoteRef/>
      </w:r>
      <w:r w:rsidRPr="00053F70">
        <w:rPr>
          <w:rFonts w:ascii="Garamond" w:hAnsi="Garamond"/>
          <w:sz w:val="22"/>
          <w:szCs w:val="22"/>
        </w:rPr>
        <w:t xml:space="preserve"> New England Tel. &amp; Tel. Co. v. Clark,</w:t>
      </w:r>
      <w:r w:rsidRPr="002F2F89">
        <w:rPr>
          <w:rFonts w:ascii="Garamond" w:hAnsi="Garamond"/>
          <w:sz w:val="22"/>
          <w:szCs w:val="22"/>
        </w:rPr>
        <w:t xml:space="preserve"> 624 A.2d 298 (R.I. 1993).</w:t>
      </w:r>
    </w:p>
  </w:footnote>
  <w:footnote w:id="53">
    <w:p w14:paraId="7EB6B756" w14:textId="1CB06C87" w:rsidR="00E070B0" w:rsidRDefault="00E070B0">
      <w:pPr>
        <w:pStyle w:val="FootnoteText"/>
      </w:pPr>
      <w:r>
        <w:rPr>
          <w:rStyle w:val="FootnoteReference"/>
        </w:rPr>
        <w:footnoteRef/>
      </w:r>
      <w:r>
        <w:t xml:space="preserve"> </w:t>
      </w:r>
      <w:r w:rsidRPr="007F30BF">
        <w:rPr>
          <w:rFonts w:ascii="Garamond" w:hAnsi="Garamond"/>
          <w:sz w:val="22"/>
          <w:szCs w:val="22"/>
        </w:rPr>
        <w:t xml:space="preserve">See below </w:t>
      </w:r>
      <w:r w:rsidRPr="002905C2">
        <w:rPr>
          <w:rFonts w:ascii="Garamond" w:hAnsi="Garamond"/>
          <w:sz w:val="22"/>
          <w:szCs w:val="22"/>
        </w:rPr>
        <w:t xml:space="preserve">section </w:t>
      </w:r>
      <w:r w:rsidR="00772FF9" w:rsidRPr="002905C2">
        <w:rPr>
          <w:rFonts w:ascii="Garamond" w:hAnsi="Garamond"/>
          <w:sz w:val="22"/>
          <w:szCs w:val="22"/>
        </w:rPr>
        <w:t>6</w:t>
      </w:r>
      <w:r w:rsidRPr="002905C2">
        <w:rPr>
          <w:rFonts w:ascii="Garamond" w:hAnsi="Garamond"/>
          <w:sz w:val="22"/>
          <w:szCs w:val="22"/>
        </w:rPr>
        <w:t>.C</w:t>
      </w:r>
      <w:r w:rsidRPr="007F30BF">
        <w:rPr>
          <w:rFonts w:ascii="Garamond" w:hAnsi="Garamond"/>
          <w:sz w:val="22"/>
          <w:szCs w:val="22"/>
        </w:rPr>
        <w:t xml:space="preserve"> for a potential new framework</w:t>
      </w:r>
      <w:r>
        <w:rPr>
          <w:rFonts w:ascii="Garamond" w:hAnsi="Garamond"/>
          <w:sz w:val="22"/>
          <w:szCs w:val="22"/>
        </w:rPr>
        <w:t>.</w:t>
      </w:r>
    </w:p>
  </w:footnote>
  <w:footnote w:id="54">
    <w:p w14:paraId="047E0302" w14:textId="77777777" w:rsidR="00462081" w:rsidRDefault="00462081" w:rsidP="00462081">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Appendix C, Part 1, Administrative Definitions.</w:t>
      </w:r>
    </w:p>
  </w:footnote>
  <w:footnote w:id="55">
    <w:p w14:paraId="03B0D492" w14:textId="77777777" w:rsidR="00E070B0" w:rsidRDefault="00E070B0" w:rsidP="00E070B0">
      <w:pPr>
        <w:pStyle w:val="FootnoteText"/>
      </w:pPr>
      <w:r>
        <w:rPr>
          <w:rStyle w:val="FootnoteReference"/>
        </w:rPr>
        <w:footnoteRef/>
      </w:r>
      <w:r>
        <w:t xml:space="preserve"> </w:t>
      </w:r>
      <w:r w:rsidRPr="00D315D2">
        <w:rPr>
          <w:rFonts w:ascii="Garamond" w:hAnsi="Garamond"/>
          <w:sz w:val="22"/>
          <w:szCs w:val="22"/>
        </w:rPr>
        <w:t>See 34 Tex. Admin. Code § 3.330.</w:t>
      </w:r>
    </w:p>
  </w:footnote>
  <w:footnote w:id="56">
    <w:p w14:paraId="31D79931" w14:textId="77777777" w:rsidR="00E070B0" w:rsidRDefault="00E070B0" w:rsidP="00E070B0">
      <w:pPr>
        <w:pStyle w:val="FootnoteText"/>
      </w:pPr>
      <w:r>
        <w:rPr>
          <w:rStyle w:val="FootnoteReference"/>
        </w:rPr>
        <w:footnoteRef/>
      </w:r>
      <w:r>
        <w:t xml:space="preserve"> </w:t>
      </w:r>
      <w:r w:rsidRPr="00B2354F">
        <w:rPr>
          <w:rFonts w:ascii="Garamond" w:hAnsi="Garamond"/>
          <w:sz w:val="22"/>
          <w:szCs w:val="22"/>
        </w:rPr>
        <w:t>Col</w:t>
      </w:r>
      <w:r>
        <w:rPr>
          <w:rFonts w:ascii="Garamond" w:hAnsi="Garamond"/>
          <w:sz w:val="22"/>
          <w:szCs w:val="22"/>
        </w:rPr>
        <w:t>.</w:t>
      </w:r>
      <w:r w:rsidRPr="00B2354F">
        <w:rPr>
          <w:rFonts w:ascii="Garamond" w:hAnsi="Garamond"/>
          <w:sz w:val="22"/>
          <w:szCs w:val="22"/>
        </w:rPr>
        <w:t xml:space="preserve"> Priv</w:t>
      </w:r>
      <w:r>
        <w:rPr>
          <w:rFonts w:ascii="Garamond" w:hAnsi="Garamond"/>
          <w:sz w:val="22"/>
          <w:szCs w:val="22"/>
        </w:rPr>
        <w:t>.</w:t>
      </w:r>
      <w:r w:rsidRPr="00B2354F">
        <w:rPr>
          <w:rFonts w:ascii="Garamond" w:hAnsi="Garamond"/>
          <w:sz w:val="22"/>
          <w:szCs w:val="22"/>
        </w:rPr>
        <w:t xml:space="preserve"> </w:t>
      </w:r>
      <w:proofErr w:type="spellStart"/>
      <w:r w:rsidRPr="00B2354F">
        <w:rPr>
          <w:rFonts w:ascii="Garamond" w:hAnsi="Garamond"/>
          <w:sz w:val="22"/>
          <w:szCs w:val="22"/>
        </w:rPr>
        <w:t>L</w:t>
      </w:r>
      <w:r>
        <w:rPr>
          <w:rFonts w:ascii="Garamond" w:hAnsi="Garamond"/>
          <w:sz w:val="22"/>
          <w:szCs w:val="22"/>
        </w:rPr>
        <w:t>tr</w:t>
      </w:r>
      <w:proofErr w:type="spellEnd"/>
      <w:r>
        <w:rPr>
          <w:rFonts w:ascii="Garamond" w:hAnsi="Garamond"/>
          <w:sz w:val="22"/>
          <w:szCs w:val="22"/>
        </w:rPr>
        <w:t>.</w:t>
      </w:r>
      <w:r w:rsidRPr="00B2354F">
        <w:rPr>
          <w:rFonts w:ascii="Garamond" w:hAnsi="Garamond"/>
          <w:sz w:val="22"/>
          <w:szCs w:val="22"/>
        </w:rPr>
        <w:t xml:space="preserve"> Rul</w:t>
      </w:r>
      <w:r>
        <w:rPr>
          <w:rFonts w:ascii="Garamond" w:hAnsi="Garamond"/>
          <w:sz w:val="22"/>
          <w:szCs w:val="22"/>
        </w:rPr>
        <w:t>.</w:t>
      </w:r>
      <w:r w:rsidRPr="00B2354F">
        <w:rPr>
          <w:rFonts w:ascii="Garamond" w:hAnsi="Garamond"/>
          <w:sz w:val="22"/>
          <w:szCs w:val="22"/>
        </w:rPr>
        <w:t xml:space="preserve"> 23-004</w:t>
      </w:r>
      <w:r>
        <w:rPr>
          <w:rFonts w:ascii="Garamond" w:hAnsi="Garamond"/>
          <w:sz w:val="22"/>
          <w:szCs w:val="22"/>
        </w:rPr>
        <w:t xml:space="preserve">, citing </w:t>
      </w:r>
      <w:r w:rsidRPr="00510638">
        <w:rPr>
          <w:rFonts w:ascii="Garamond" w:hAnsi="Garamond" w:cs="Calibri"/>
          <w:i/>
          <w:iCs/>
          <w:sz w:val="22"/>
          <w:szCs w:val="22"/>
        </w:rPr>
        <w:t>A.D. Store Co., Inc. v. Exec. Dir</w:t>
      </w:r>
      <w:r w:rsidRPr="00510638">
        <w:rPr>
          <w:rFonts w:ascii="Garamond" w:hAnsi="Garamond" w:cs="Calibri"/>
          <w:sz w:val="22"/>
          <w:szCs w:val="22"/>
        </w:rPr>
        <w:t>, 19 P.3d 680 (Colo. 2001)</w:t>
      </w:r>
      <w:r>
        <w:rPr>
          <w:rFonts w:ascii="Garamond" w:hAnsi="Garamond" w:cs="Calibri"/>
          <w:sz w:val="22"/>
          <w:szCs w:val="22"/>
        </w:rPr>
        <w:t>.</w:t>
      </w:r>
    </w:p>
  </w:footnote>
  <w:footnote w:id="57">
    <w:p w14:paraId="62AA7987" w14:textId="77777777" w:rsidR="00E070B0" w:rsidRDefault="00E070B0" w:rsidP="00E070B0">
      <w:pPr>
        <w:pStyle w:val="FootnoteText"/>
      </w:pPr>
      <w:r>
        <w:rPr>
          <w:rStyle w:val="FootnoteReference"/>
        </w:rPr>
        <w:footnoteRef/>
      </w:r>
      <w:r>
        <w:t xml:space="preserve"> </w:t>
      </w:r>
      <w:r w:rsidRPr="00510638">
        <w:rPr>
          <w:rFonts w:ascii="Garamond" w:hAnsi="Garamond"/>
          <w:sz w:val="22"/>
          <w:szCs w:val="22"/>
        </w:rPr>
        <w:t xml:space="preserve">Tenn. </w:t>
      </w:r>
      <w:proofErr w:type="spellStart"/>
      <w:r w:rsidRPr="00510638">
        <w:rPr>
          <w:rFonts w:ascii="Garamond" w:hAnsi="Garamond"/>
          <w:sz w:val="22"/>
          <w:szCs w:val="22"/>
        </w:rPr>
        <w:t>Ltr</w:t>
      </w:r>
      <w:proofErr w:type="spellEnd"/>
      <w:r w:rsidRPr="00510638">
        <w:rPr>
          <w:rFonts w:ascii="Garamond" w:hAnsi="Garamond"/>
          <w:sz w:val="22"/>
          <w:szCs w:val="22"/>
        </w:rPr>
        <w:t>. Rul. 14-10</w:t>
      </w:r>
      <w:r>
        <w:rPr>
          <w:rFonts w:ascii="Garamond" w:hAnsi="Garamond"/>
          <w:sz w:val="22"/>
          <w:szCs w:val="22"/>
        </w:rPr>
        <w:t xml:space="preserve"> &amp; </w:t>
      </w:r>
      <w:r w:rsidRPr="00B2354F">
        <w:rPr>
          <w:rFonts w:ascii="Garamond" w:hAnsi="Garamond"/>
          <w:sz w:val="22"/>
          <w:szCs w:val="22"/>
        </w:rPr>
        <w:t>Col</w:t>
      </w:r>
      <w:r>
        <w:rPr>
          <w:rFonts w:ascii="Garamond" w:hAnsi="Garamond"/>
          <w:sz w:val="22"/>
          <w:szCs w:val="22"/>
        </w:rPr>
        <w:t>.</w:t>
      </w:r>
      <w:r w:rsidRPr="00B2354F">
        <w:rPr>
          <w:rFonts w:ascii="Garamond" w:hAnsi="Garamond"/>
          <w:sz w:val="22"/>
          <w:szCs w:val="22"/>
        </w:rPr>
        <w:t xml:space="preserve"> Priv</w:t>
      </w:r>
      <w:r>
        <w:rPr>
          <w:rFonts w:ascii="Garamond" w:hAnsi="Garamond"/>
          <w:sz w:val="22"/>
          <w:szCs w:val="22"/>
        </w:rPr>
        <w:t>.</w:t>
      </w:r>
      <w:r w:rsidRPr="00B2354F">
        <w:rPr>
          <w:rFonts w:ascii="Garamond" w:hAnsi="Garamond"/>
          <w:sz w:val="22"/>
          <w:szCs w:val="22"/>
        </w:rPr>
        <w:t xml:space="preserve"> </w:t>
      </w:r>
      <w:proofErr w:type="spellStart"/>
      <w:r w:rsidRPr="00B2354F">
        <w:rPr>
          <w:rFonts w:ascii="Garamond" w:hAnsi="Garamond"/>
          <w:sz w:val="22"/>
          <w:szCs w:val="22"/>
        </w:rPr>
        <w:t>L</w:t>
      </w:r>
      <w:r>
        <w:rPr>
          <w:rFonts w:ascii="Garamond" w:hAnsi="Garamond"/>
          <w:sz w:val="22"/>
          <w:szCs w:val="22"/>
        </w:rPr>
        <w:t>tr</w:t>
      </w:r>
      <w:proofErr w:type="spellEnd"/>
      <w:r>
        <w:rPr>
          <w:rFonts w:ascii="Garamond" w:hAnsi="Garamond"/>
          <w:sz w:val="22"/>
          <w:szCs w:val="22"/>
        </w:rPr>
        <w:t>.</w:t>
      </w:r>
      <w:r w:rsidRPr="00B2354F">
        <w:rPr>
          <w:rFonts w:ascii="Garamond" w:hAnsi="Garamond"/>
          <w:sz w:val="22"/>
          <w:szCs w:val="22"/>
        </w:rPr>
        <w:t xml:space="preserve"> Rul</w:t>
      </w:r>
      <w:r>
        <w:rPr>
          <w:rFonts w:ascii="Garamond" w:hAnsi="Garamond"/>
          <w:sz w:val="22"/>
          <w:szCs w:val="22"/>
        </w:rPr>
        <w:t>.</w:t>
      </w:r>
      <w:r w:rsidRPr="00B2354F">
        <w:rPr>
          <w:rFonts w:ascii="Garamond" w:hAnsi="Garamond"/>
          <w:sz w:val="22"/>
          <w:szCs w:val="22"/>
        </w:rPr>
        <w:t xml:space="preserve"> 23-004</w:t>
      </w:r>
      <w:r>
        <w:rPr>
          <w:rFonts w:ascii="Garamond" w:hAnsi="Garamond"/>
          <w:sz w:val="22"/>
          <w:szCs w:val="22"/>
        </w:rPr>
        <w:t>.</w:t>
      </w:r>
    </w:p>
  </w:footnote>
  <w:footnote w:id="58">
    <w:p w14:paraId="41052801" w14:textId="60F8B375" w:rsidR="00E070B0" w:rsidRPr="00053F70" w:rsidRDefault="00E070B0" w:rsidP="00E070B0">
      <w:pPr>
        <w:pStyle w:val="FootnoteText"/>
      </w:pPr>
      <w:r>
        <w:rPr>
          <w:rStyle w:val="FootnoteReference"/>
        </w:rPr>
        <w:footnoteRef/>
      </w:r>
      <w:r>
        <w:t xml:space="preserve"> </w:t>
      </w:r>
      <w:r w:rsidR="006A23EB" w:rsidRPr="007068E9">
        <w:rPr>
          <w:rFonts w:ascii="Garamond" w:hAnsi="Garamond"/>
          <w:sz w:val="22"/>
          <w:szCs w:val="22"/>
        </w:rPr>
        <w:t>Bullock v. Statistical Tabulating Corp., 549 S.W.2d 166, 169 (Tex. 1977).</w:t>
      </w:r>
    </w:p>
  </w:footnote>
  <w:footnote w:id="59">
    <w:p w14:paraId="75D5A7F8" w14:textId="77777777" w:rsidR="00E070B0" w:rsidRDefault="00E070B0" w:rsidP="00E070B0">
      <w:pPr>
        <w:pStyle w:val="FootnoteText"/>
      </w:pPr>
      <w:r>
        <w:rPr>
          <w:rStyle w:val="FootnoteReference"/>
        </w:rPr>
        <w:footnoteRef/>
      </w:r>
      <w:r>
        <w:t xml:space="preserve"> </w:t>
      </w:r>
      <w:r w:rsidRPr="003E4EA6">
        <w:rPr>
          <w:rFonts w:ascii="Garamond" w:hAnsi="Garamond"/>
          <w:sz w:val="22"/>
          <w:szCs w:val="22"/>
        </w:rPr>
        <w:t xml:space="preserve">See, e.g., </w:t>
      </w:r>
      <w:r w:rsidRPr="003E4EA6">
        <w:rPr>
          <w:rFonts w:ascii="Garamond" w:hAnsi="Garamond" w:cs="Calibri"/>
          <w:sz w:val="22"/>
          <w:szCs w:val="22"/>
        </w:rPr>
        <w:t>Miss. Code § 27-65-3(</w:t>
      </w:r>
      <w:r>
        <w:rPr>
          <w:rFonts w:ascii="Garamond" w:hAnsi="Garamond" w:cs="Calibri"/>
          <w:sz w:val="22"/>
          <w:szCs w:val="22"/>
        </w:rPr>
        <w:t>h</w:t>
      </w:r>
      <w:r w:rsidRPr="003E4EA6">
        <w:rPr>
          <w:rFonts w:ascii="Garamond" w:hAnsi="Garamond" w:cs="Calibri"/>
          <w:sz w:val="22"/>
          <w:szCs w:val="22"/>
        </w:rPr>
        <w:t>)</w:t>
      </w:r>
      <w:r>
        <w:rPr>
          <w:rFonts w:ascii="Garamond" w:hAnsi="Garamond" w:cs="Calibri"/>
          <w:sz w:val="22"/>
          <w:szCs w:val="22"/>
        </w:rPr>
        <w:t xml:space="preserve"> (definition of “gross proceeds of sale”).</w:t>
      </w:r>
    </w:p>
  </w:footnote>
  <w:footnote w:id="60">
    <w:p w14:paraId="2099BD19" w14:textId="77777777" w:rsidR="00E070B0" w:rsidRDefault="00E070B0" w:rsidP="00E070B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xml:space="preserve">, Appendix C, Part 1, Administrative Definitions; </w:t>
      </w:r>
      <w:r w:rsidRPr="00E5141C">
        <w:rPr>
          <w:rFonts w:ascii="Garamond" w:hAnsi="Garamond"/>
          <w:sz w:val="22"/>
          <w:szCs w:val="22"/>
        </w:rPr>
        <w:t>Streamlined Rules and Procedures, Rule 3</w:t>
      </w:r>
      <w:r>
        <w:rPr>
          <w:rFonts w:ascii="Garamond" w:hAnsi="Garamond"/>
          <w:sz w:val="22"/>
          <w:szCs w:val="22"/>
        </w:rPr>
        <w:t>27</w:t>
      </w:r>
      <w:r w:rsidRPr="00E5141C">
        <w:rPr>
          <w:rFonts w:ascii="Garamond" w:hAnsi="Garamond"/>
          <w:sz w:val="22"/>
          <w:szCs w:val="22"/>
        </w:rPr>
        <w:t>.</w:t>
      </w:r>
      <w:r>
        <w:rPr>
          <w:rFonts w:ascii="Garamond" w:hAnsi="Garamond"/>
          <w:sz w:val="22"/>
          <w:szCs w:val="22"/>
        </w:rPr>
        <w:t>4</w:t>
      </w:r>
      <w:r w:rsidRPr="00E5141C">
        <w:rPr>
          <w:rFonts w:ascii="Garamond" w:hAnsi="Garamond"/>
          <w:sz w:val="22"/>
          <w:szCs w:val="22"/>
        </w:rPr>
        <w:t>.</w:t>
      </w:r>
      <w:r>
        <w:rPr>
          <w:rFonts w:ascii="Garamond" w:hAnsi="Garamond"/>
          <w:sz w:val="22"/>
          <w:szCs w:val="22"/>
        </w:rPr>
        <w:t>A</w:t>
      </w:r>
      <w:r w:rsidRPr="00E5141C">
        <w:rPr>
          <w:rFonts w:ascii="Garamond" w:hAnsi="Garamond"/>
          <w:sz w:val="22"/>
          <w:szCs w:val="22"/>
        </w:rPr>
        <w:t>.</w:t>
      </w:r>
    </w:p>
  </w:footnote>
  <w:footnote w:id="61">
    <w:p w14:paraId="44F8200E" w14:textId="77777777" w:rsidR="00E070B0" w:rsidRDefault="00E070B0" w:rsidP="00E070B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xml:space="preserve">, Appendix C, Part 1, Administrative Definitions; </w:t>
      </w:r>
      <w:r w:rsidRPr="00E5141C">
        <w:rPr>
          <w:rFonts w:ascii="Garamond" w:hAnsi="Garamond"/>
          <w:sz w:val="22"/>
          <w:szCs w:val="22"/>
        </w:rPr>
        <w:t>Streamlined Rules and Procedures, Rule 330.1.B.</w:t>
      </w:r>
      <w:r>
        <w:rPr>
          <w:rFonts w:ascii="Garamond" w:hAnsi="Garamond"/>
          <w:sz w:val="22"/>
          <w:szCs w:val="22"/>
        </w:rPr>
        <w:t>1</w:t>
      </w:r>
      <w:r w:rsidRPr="00E5141C">
        <w:rPr>
          <w:rFonts w:ascii="Garamond" w:hAnsi="Garamond"/>
          <w:sz w:val="22"/>
          <w:szCs w:val="22"/>
        </w:rPr>
        <w:t>.</w:t>
      </w:r>
      <w:r>
        <w:rPr>
          <w:rFonts w:ascii="Garamond" w:hAnsi="Garamond"/>
          <w:sz w:val="22"/>
          <w:szCs w:val="22"/>
        </w:rPr>
        <w:t xml:space="preserve"> “Sales price” presumably includes inseparable elements such as labor, materials costs, and so forth.</w:t>
      </w:r>
    </w:p>
  </w:footnote>
  <w:footnote w:id="62">
    <w:p w14:paraId="7DF286DC" w14:textId="77777777" w:rsidR="00E070B0" w:rsidRDefault="00E070B0" w:rsidP="00E070B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xml:space="preserve">, Appendix C, Part 1, Administrative Definitions; </w:t>
      </w:r>
      <w:r w:rsidRPr="00E5141C">
        <w:rPr>
          <w:rFonts w:ascii="Garamond" w:hAnsi="Garamond"/>
          <w:sz w:val="22"/>
          <w:szCs w:val="22"/>
        </w:rPr>
        <w:t>Streamlined Rules and Procedures, Rule 330.1.B.</w:t>
      </w:r>
      <w:r>
        <w:rPr>
          <w:rFonts w:ascii="Garamond" w:hAnsi="Garamond"/>
          <w:sz w:val="22"/>
          <w:szCs w:val="22"/>
        </w:rPr>
        <w:t>1</w:t>
      </w:r>
      <w:r w:rsidRPr="00E5141C">
        <w:rPr>
          <w:rFonts w:ascii="Garamond" w:hAnsi="Garamond"/>
          <w:sz w:val="22"/>
          <w:szCs w:val="22"/>
        </w:rPr>
        <w:t>.</w:t>
      </w:r>
    </w:p>
  </w:footnote>
  <w:footnote w:id="63">
    <w:p w14:paraId="5C2C9497" w14:textId="77777777" w:rsidR="00E070B0" w:rsidRDefault="00E070B0" w:rsidP="00E070B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Appendix C, Part 1, Administrative Definitions, para. (C)(1).</w:t>
      </w:r>
    </w:p>
  </w:footnote>
  <w:footnote w:id="64">
    <w:p w14:paraId="354D49A3" w14:textId="77777777" w:rsidR="00E070B0" w:rsidRDefault="00E070B0" w:rsidP="00E070B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Appendix C, Part 1, Administrative Definitions, para. (C)(2).</w:t>
      </w:r>
    </w:p>
  </w:footnote>
  <w:footnote w:id="65">
    <w:p w14:paraId="710EB174" w14:textId="77777777" w:rsidR="00E070B0" w:rsidRDefault="00E070B0" w:rsidP="00E070B0">
      <w:pPr>
        <w:pStyle w:val="FootnoteText"/>
      </w:pPr>
      <w:r>
        <w:rPr>
          <w:rStyle w:val="FootnoteReference"/>
        </w:rPr>
        <w:footnoteRef/>
      </w:r>
      <w:r>
        <w:t xml:space="preserve"> </w:t>
      </w:r>
      <w:r w:rsidRPr="000E0A90">
        <w:rPr>
          <w:rFonts w:ascii="Garamond" w:hAnsi="Garamond"/>
          <w:sz w:val="22"/>
          <w:szCs w:val="22"/>
        </w:rPr>
        <w:t>Streamlined Agreement</w:t>
      </w:r>
      <w:r>
        <w:rPr>
          <w:rFonts w:ascii="Garamond" w:hAnsi="Garamond"/>
          <w:sz w:val="22"/>
          <w:szCs w:val="22"/>
        </w:rPr>
        <w:t>, Appendix C, Part 1, Administrative Definitions, para. (C)(3).</w:t>
      </w:r>
    </w:p>
  </w:footnote>
  <w:footnote w:id="66">
    <w:p w14:paraId="5BBA94AB" w14:textId="77777777" w:rsidR="00E070B0" w:rsidRDefault="00E070B0" w:rsidP="00E070B0">
      <w:pPr>
        <w:pStyle w:val="FootnoteText"/>
      </w:pPr>
      <w:r>
        <w:rPr>
          <w:rStyle w:val="FootnoteReference"/>
        </w:rPr>
        <w:footnoteRef/>
      </w:r>
      <w:r>
        <w:t xml:space="preserve"> </w:t>
      </w:r>
      <w:r w:rsidRPr="00212C68">
        <w:rPr>
          <w:rFonts w:ascii="Garamond" w:hAnsi="Garamond"/>
          <w:sz w:val="22"/>
          <w:szCs w:val="22"/>
        </w:rPr>
        <w:t>See e.g., 34 Tex. Admin. Code § 3.330.</w:t>
      </w:r>
    </w:p>
  </w:footnote>
  <w:footnote w:id="67">
    <w:p w14:paraId="1FE642C2" w14:textId="77777777" w:rsidR="00E070B0" w:rsidRDefault="00E070B0" w:rsidP="00E070B0">
      <w:pPr>
        <w:pStyle w:val="FootnoteText"/>
      </w:pPr>
      <w:r>
        <w:rPr>
          <w:rStyle w:val="FootnoteReference"/>
        </w:rPr>
        <w:footnoteRef/>
      </w:r>
      <w:r>
        <w:t xml:space="preserve"> </w:t>
      </w:r>
      <w:r w:rsidRPr="00510638">
        <w:rPr>
          <w:rFonts w:ascii="Garamond" w:hAnsi="Garamond"/>
          <w:sz w:val="22"/>
          <w:szCs w:val="22"/>
        </w:rPr>
        <w:t xml:space="preserve">Tenn. </w:t>
      </w:r>
      <w:proofErr w:type="spellStart"/>
      <w:r w:rsidRPr="00510638">
        <w:rPr>
          <w:rFonts w:ascii="Garamond" w:hAnsi="Garamond"/>
          <w:sz w:val="22"/>
          <w:szCs w:val="22"/>
        </w:rPr>
        <w:t>Ltr</w:t>
      </w:r>
      <w:proofErr w:type="spellEnd"/>
      <w:r w:rsidRPr="00510638">
        <w:rPr>
          <w:rFonts w:ascii="Garamond" w:hAnsi="Garamond"/>
          <w:sz w:val="22"/>
          <w:szCs w:val="22"/>
        </w:rPr>
        <w:t>. Rul. 14-10.</w:t>
      </w:r>
    </w:p>
  </w:footnote>
  <w:footnote w:id="68">
    <w:p w14:paraId="5F9BCFC3" w14:textId="77777777" w:rsidR="00E070B0" w:rsidRDefault="00E070B0" w:rsidP="00E070B0">
      <w:pPr>
        <w:pStyle w:val="FootnoteText"/>
      </w:pPr>
      <w:r>
        <w:rPr>
          <w:rStyle w:val="FootnoteReference"/>
        </w:rPr>
        <w:footnoteRef/>
      </w:r>
      <w:r>
        <w:t xml:space="preserve"> </w:t>
      </w:r>
      <w:r w:rsidRPr="00510638">
        <w:rPr>
          <w:rFonts w:ascii="Garamond" w:hAnsi="Garamond"/>
          <w:sz w:val="22"/>
          <w:szCs w:val="22"/>
        </w:rPr>
        <w:t xml:space="preserve">Tenn. </w:t>
      </w:r>
      <w:proofErr w:type="spellStart"/>
      <w:r w:rsidRPr="00510638">
        <w:rPr>
          <w:rFonts w:ascii="Garamond" w:hAnsi="Garamond"/>
          <w:sz w:val="22"/>
          <w:szCs w:val="22"/>
        </w:rPr>
        <w:t>Ltr</w:t>
      </w:r>
      <w:proofErr w:type="spellEnd"/>
      <w:r w:rsidRPr="00510638">
        <w:rPr>
          <w:rFonts w:ascii="Garamond" w:hAnsi="Garamond"/>
          <w:sz w:val="22"/>
          <w:szCs w:val="22"/>
        </w:rPr>
        <w:t>. Rul. 14-10.</w:t>
      </w:r>
    </w:p>
  </w:footnote>
  <w:footnote w:id="69">
    <w:p w14:paraId="7B7ED434" w14:textId="4242B16E" w:rsidR="00471CEC" w:rsidRDefault="00471CEC">
      <w:pPr>
        <w:pStyle w:val="FootnoteText"/>
      </w:pPr>
      <w:r>
        <w:rPr>
          <w:rStyle w:val="FootnoteReference"/>
        </w:rPr>
        <w:footnoteRef/>
      </w:r>
      <w:r>
        <w:t xml:space="preserve"> </w:t>
      </w:r>
      <w:r w:rsidRPr="000D0F2F">
        <w:rPr>
          <w:rFonts w:ascii="Garamond" w:hAnsi="Garamond"/>
          <w:sz w:val="22"/>
          <w:szCs w:val="22"/>
        </w:rPr>
        <w:t xml:space="preserve">47 U.S.C. </w:t>
      </w:r>
      <w:r w:rsidRPr="000D0F2F">
        <w:rPr>
          <w:rFonts w:ascii="Garamond" w:hAnsi="Garamond" w:cstheme="minorHAnsi"/>
          <w:sz w:val="22"/>
          <w:szCs w:val="22"/>
        </w:rPr>
        <w:t xml:space="preserve">§ </w:t>
      </w:r>
      <w:r w:rsidRPr="000D0F2F">
        <w:rPr>
          <w:rFonts w:ascii="Garamond" w:hAnsi="Garamond"/>
          <w:sz w:val="22"/>
          <w:szCs w:val="22"/>
        </w:rPr>
        <w:t>151 note</w:t>
      </w:r>
      <w:r>
        <w:rPr>
          <w:rFonts w:ascii="Garamond" w:hAnsi="Garamond"/>
          <w:sz w:val="22"/>
          <w:szCs w:val="22"/>
        </w:rPr>
        <w:t xml:space="preserve">. Link </w:t>
      </w:r>
      <w:hyperlink r:id="rId9" w:history="1">
        <w:r w:rsidRPr="009953B9">
          <w:rPr>
            <w:rStyle w:val="Hyperlink"/>
            <w:rFonts w:ascii="Garamond" w:hAnsi="Garamond"/>
            <w:sz w:val="22"/>
            <w:szCs w:val="22"/>
          </w:rPr>
          <w:t>here</w:t>
        </w:r>
      </w:hyperlink>
      <w:r>
        <w:rPr>
          <w:rFonts w:ascii="Garamond" w:hAnsi="Garamond"/>
          <w:sz w:val="22"/>
          <w:szCs w:val="22"/>
        </w:rPr>
        <w:t>.</w:t>
      </w:r>
    </w:p>
  </w:footnote>
  <w:footnote w:id="70">
    <w:p w14:paraId="6EB449AD" w14:textId="1694583A" w:rsidR="00471CEC" w:rsidRDefault="00471CEC">
      <w:pPr>
        <w:pStyle w:val="FootnoteText"/>
      </w:pPr>
      <w:r>
        <w:rPr>
          <w:rStyle w:val="FootnoteReference"/>
        </w:rPr>
        <w:footnoteRef/>
      </w:r>
      <w:r>
        <w:t xml:space="preserve"> </w:t>
      </w:r>
      <w:r w:rsidRPr="00A0649F">
        <w:rPr>
          <w:rFonts w:ascii="Garamond" w:hAnsi="Garamond"/>
          <w:sz w:val="22"/>
          <w:szCs w:val="22"/>
        </w:rPr>
        <w:t xml:space="preserve">Pub. L. No. 106-252, 114 Stat. 630 (2000) (codified at 4 U.S.C. </w:t>
      </w:r>
      <w:r w:rsidRPr="00A0649F">
        <w:rPr>
          <w:rFonts w:ascii="Garamond" w:hAnsi="Garamond" w:cs="Calibri"/>
          <w:sz w:val="22"/>
          <w:szCs w:val="22"/>
        </w:rPr>
        <w:t>§ 123</w:t>
      </w:r>
      <w:r>
        <w:rPr>
          <w:rFonts w:ascii="Garamond" w:hAnsi="Garamond" w:cs="Calibri"/>
          <w:sz w:val="22"/>
          <w:szCs w:val="22"/>
        </w:rPr>
        <w:t>)</w:t>
      </w:r>
      <w:r w:rsidRPr="00A0649F">
        <w:rPr>
          <w:rFonts w:ascii="Garamond" w:hAnsi="Garamond" w:cs="Calibri"/>
          <w:sz w:val="22"/>
          <w:szCs w:val="22"/>
        </w:rPr>
        <w:t xml:space="preserve">. </w:t>
      </w:r>
      <w:r w:rsidRPr="00A0649F">
        <w:rPr>
          <w:rFonts w:ascii="Garamond" w:hAnsi="Garamond"/>
          <w:sz w:val="22"/>
          <w:szCs w:val="22"/>
        </w:rPr>
        <w:t xml:space="preserve">Link </w:t>
      </w:r>
      <w:hyperlink r:id="rId10" w:history="1">
        <w:r w:rsidRPr="00A0649F">
          <w:rPr>
            <w:rStyle w:val="Hyperlink"/>
            <w:rFonts w:ascii="Garamond" w:hAnsi="Garamond"/>
            <w:sz w:val="22"/>
            <w:szCs w:val="22"/>
          </w:rPr>
          <w:t>here</w:t>
        </w:r>
      </w:hyperlink>
      <w:r w:rsidRPr="00ED6C3B">
        <w:rPr>
          <w:rFonts w:ascii="Garamond" w:hAnsi="Garamond"/>
          <w:sz w:val="22"/>
          <w:szCs w:val="22"/>
        </w:rPr>
        <w:t>.</w:t>
      </w:r>
    </w:p>
  </w:footnote>
  <w:footnote w:id="71">
    <w:p w14:paraId="21BCC8A4" w14:textId="182D18B2" w:rsidR="00471CEC" w:rsidRDefault="00471CEC">
      <w:pPr>
        <w:pStyle w:val="FootnoteText"/>
      </w:pPr>
      <w:r>
        <w:rPr>
          <w:rStyle w:val="FootnoteReference"/>
        </w:rPr>
        <w:footnoteRef/>
      </w:r>
      <w:r>
        <w:t xml:space="preserve"> </w:t>
      </w:r>
      <w:r w:rsidRPr="00C70778">
        <w:rPr>
          <w:rFonts w:ascii="Garamond" w:hAnsi="Garamond"/>
          <w:sz w:val="22"/>
          <w:szCs w:val="22"/>
        </w:rPr>
        <w:t>Digital Goods and Services Tax Fairness Act</w:t>
      </w:r>
      <w:r>
        <w:rPr>
          <w:rFonts w:ascii="Garamond" w:hAnsi="Garamond"/>
          <w:sz w:val="22"/>
          <w:szCs w:val="22"/>
        </w:rPr>
        <w:t xml:space="preserve"> of 2019</w:t>
      </w:r>
      <w:r w:rsidRPr="00C70778">
        <w:rPr>
          <w:rFonts w:ascii="Garamond" w:hAnsi="Garamond"/>
          <w:sz w:val="22"/>
          <w:szCs w:val="22"/>
        </w:rPr>
        <w:t xml:space="preserve">, S. 765, </w:t>
      </w:r>
      <w:r>
        <w:rPr>
          <w:rFonts w:ascii="Garamond" w:hAnsi="Garamond"/>
          <w:sz w:val="22"/>
          <w:szCs w:val="22"/>
        </w:rPr>
        <w:t>116</w:t>
      </w:r>
      <w:r w:rsidRPr="00F8017D">
        <w:rPr>
          <w:rFonts w:ascii="Garamond" w:hAnsi="Garamond"/>
          <w:sz w:val="22"/>
          <w:szCs w:val="22"/>
        </w:rPr>
        <w:t>th</w:t>
      </w:r>
      <w:r>
        <w:rPr>
          <w:rFonts w:ascii="Garamond" w:hAnsi="Garamond"/>
          <w:sz w:val="22"/>
          <w:szCs w:val="22"/>
        </w:rPr>
        <w:t xml:space="preserve"> Cong. </w:t>
      </w:r>
      <w:r w:rsidRPr="00C70778">
        <w:rPr>
          <w:rFonts w:ascii="Garamond" w:hAnsi="Garamond"/>
          <w:sz w:val="22"/>
          <w:szCs w:val="22"/>
        </w:rPr>
        <w:t>(2019)</w:t>
      </w:r>
      <w:r>
        <w:rPr>
          <w:rFonts w:ascii="Garamond" w:hAnsi="Garamond"/>
          <w:sz w:val="22"/>
          <w:szCs w:val="22"/>
        </w:rPr>
        <w:t xml:space="preserve">. Link </w:t>
      </w:r>
      <w:hyperlink r:id="rId11" w:history="1">
        <w:r w:rsidRPr="00647031">
          <w:rPr>
            <w:rStyle w:val="Hyperlink"/>
            <w:rFonts w:ascii="Garamond" w:hAnsi="Garamond"/>
            <w:sz w:val="22"/>
            <w:szCs w:val="22"/>
          </w:rPr>
          <w:t>here</w:t>
        </w:r>
      </w:hyperlink>
      <w:r>
        <w:rPr>
          <w:rFonts w:ascii="Garamond" w:hAnsi="Garamond"/>
          <w:sz w:val="22"/>
          <w:szCs w:val="22"/>
        </w:rPr>
        <w:t>.</w:t>
      </w:r>
    </w:p>
  </w:footnote>
  <w:footnote w:id="72">
    <w:p w14:paraId="20C63D82" w14:textId="77777777" w:rsidR="006A6AA5" w:rsidRPr="00025113" w:rsidRDefault="006A6AA5" w:rsidP="006A6AA5">
      <w:pPr>
        <w:pStyle w:val="FootnoteText"/>
        <w:rPr>
          <w:rFonts w:ascii="Garamond" w:hAnsi="Garamond"/>
          <w:sz w:val="22"/>
          <w:szCs w:val="22"/>
        </w:rPr>
      </w:pPr>
      <w:r>
        <w:rPr>
          <w:rStyle w:val="FootnoteReference"/>
        </w:rPr>
        <w:footnoteRef/>
      </w:r>
      <w:r>
        <w:t xml:space="preserve"> </w:t>
      </w:r>
      <w:r w:rsidRPr="00245BF5">
        <w:rPr>
          <w:rFonts w:ascii="Garamond" w:hAnsi="Garamond"/>
          <w:sz w:val="22"/>
          <w:szCs w:val="22"/>
        </w:rPr>
        <w:t>Add cite to the slides/presentation when added to the website.</w:t>
      </w:r>
    </w:p>
  </w:footnote>
  <w:footnote w:id="73">
    <w:p w14:paraId="3F5CFD44" w14:textId="4FA50B30" w:rsidR="006A6AA5" w:rsidRPr="00102D8B" w:rsidRDefault="006A6AA5" w:rsidP="006A6AA5">
      <w:pPr>
        <w:pStyle w:val="FootnoteText"/>
        <w:rPr>
          <w:rFonts w:ascii="Garamond" w:hAnsi="Garamond"/>
          <w:sz w:val="22"/>
          <w:szCs w:val="22"/>
        </w:rPr>
      </w:pPr>
      <w:r>
        <w:rPr>
          <w:rStyle w:val="FootnoteReference"/>
        </w:rPr>
        <w:footnoteRef/>
      </w:r>
      <w:r>
        <w:t xml:space="preserve"> </w:t>
      </w:r>
      <w:r w:rsidR="006F7F5B" w:rsidRPr="00594DAF">
        <w:rPr>
          <w:rFonts w:ascii="Garamond" w:hAnsi="Garamond"/>
          <w:sz w:val="22"/>
          <w:szCs w:val="22"/>
        </w:rPr>
        <w:t>The</w:t>
      </w:r>
      <w:r w:rsidRPr="00594DAF">
        <w:rPr>
          <w:rFonts w:ascii="Garamond" w:hAnsi="Garamond"/>
          <w:sz w:val="22"/>
          <w:szCs w:val="22"/>
        </w:rPr>
        <w:t xml:space="preserve"> ITFA </w:t>
      </w:r>
      <w:r w:rsidR="006F7F5B" w:rsidRPr="00594DAF">
        <w:rPr>
          <w:rFonts w:ascii="Garamond" w:hAnsi="Garamond"/>
          <w:sz w:val="22"/>
          <w:szCs w:val="22"/>
        </w:rPr>
        <w:t>accounting rule language is</w:t>
      </w:r>
      <w:r w:rsidRPr="00594DAF">
        <w:rPr>
          <w:rFonts w:ascii="Garamond" w:hAnsi="Garamond"/>
          <w:sz w:val="22"/>
          <w:szCs w:val="22"/>
        </w:rPr>
        <w:t xml:space="preserve"> presented in section </w:t>
      </w:r>
      <w:r w:rsidR="00594DAF" w:rsidRPr="00594DAF">
        <w:rPr>
          <w:rFonts w:ascii="Garamond" w:hAnsi="Garamond"/>
          <w:sz w:val="22"/>
          <w:szCs w:val="22"/>
        </w:rPr>
        <w:t>5.A</w:t>
      </w:r>
      <w:r w:rsidRPr="00594DAF">
        <w:rPr>
          <w:rFonts w:ascii="Garamond" w:hAnsi="Garamond"/>
          <w:sz w:val="22"/>
          <w:szCs w:val="22"/>
        </w:rPr>
        <w:t>.</w:t>
      </w:r>
    </w:p>
  </w:footnote>
  <w:footnote w:id="74">
    <w:p w14:paraId="10BE13AB" w14:textId="77777777" w:rsidR="003742BA" w:rsidRPr="002C29C1" w:rsidRDefault="003742BA" w:rsidP="003742BA">
      <w:pPr>
        <w:pStyle w:val="FootnoteText"/>
        <w:rPr>
          <w:rFonts w:ascii="Garamond" w:hAnsi="Garamond"/>
          <w:sz w:val="22"/>
          <w:szCs w:val="22"/>
        </w:rPr>
      </w:pPr>
      <w:r>
        <w:rPr>
          <w:rStyle w:val="FootnoteReference"/>
        </w:rPr>
        <w:footnoteRef/>
      </w:r>
      <w:r>
        <w:t xml:space="preserve"> </w:t>
      </w:r>
      <w:r>
        <w:rPr>
          <w:rFonts w:ascii="Garamond" w:hAnsi="Garamond"/>
          <w:sz w:val="22"/>
          <w:szCs w:val="22"/>
        </w:rPr>
        <w:t>For example, Tex. Tax Code Ann. § 151.025(d) states: “</w:t>
      </w:r>
      <w:r w:rsidRPr="002C29C1">
        <w:rPr>
          <w:rFonts w:ascii="Garamond" w:hAnsi="Garamond"/>
          <w:sz w:val="22"/>
          <w:szCs w:val="22"/>
        </w:rPr>
        <w:t>If any nontaxable charges are combined with and not separately stated from taxable telecommunications service charges on the customer bill or invoice of a provider of telecommunications services, the combined charge is subject to tax unless the provider can identify the portion of the charges that are nontaxable through the provider's books and records kept in the regular course of business. If the nontaxable charges cannot reasonably be identified, the charges from the sale of both nontaxable services and taxable telecommunications services are attributable to taxable telecommunications services. The provider of telecommunications services has the burden of proving nontaxable charges.</w:t>
      </w:r>
      <w:r>
        <w:rPr>
          <w:rFonts w:ascii="Garamond" w:hAnsi="Garamond"/>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6076"/>
      <w:docPartObj>
        <w:docPartGallery w:val="Watermarks"/>
        <w:docPartUnique/>
      </w:docPartObj>
    </w:sdtPr>
    <w:sdtEndPr/>
    <w:sdtContent>
      <w:p w14:paraId="4B3E3BED" w14:textId="77777777" w:rsidR="009B6973" w:rsidRDefault="00032397">
        <w:pPr>
          <w:pStyle w:val="Header"/>
        </w:pPr>
        <w:r>
          <w:rPr>
            <w:noProof/>
          </w:rPr>
          <w:pict w14:anchorId="4B3E3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EB9"/>
    <w:multiLevelType w:val="hybridMultilevel"/>
    <w:tmpl w:val="AB509200"/>
    <w:lvl w:ilvl="0" w:tplc="1186B042">
      <w:start w:val="1"/>
      <w:numFmt w:val="upperLetter"/>
      <w:lvlText w:val="%1."/>
      <w:lvlJc w:val="left"/>
      <w:pPr>
        <w:ind w:left="720" w:hanging="360"/>
      </w:pPr>
    </w:lvl>
    <w:lvl w:ilvl="1" w:tplc="73BA1770">
      <w:start w:val="1"/>
      <w:numFmt w:val="lowerRoman"/>
      <w:lvlText w:val="%2."/>
      <w:lvlJc w:val="right"/>
      <w:pPr>
        <w:ind w:left="1440" w:hanging="360"/>
      </w:pPr>
    </w:lvl>
    <w:lvl w:ilvl="2" w:tplc="A8E4D410">
      <w:start w:val="1"/>
      <w:numFmt w:val="lowerRoman"/>
      <w:lvlText w:val="%3."/>
      <w:lvlJc w:val="right"/>
      <w:pPr>
        <w:ind w:left="2160" w:hanging="180"/>
      </w:pPr>
    </w:lvl>
    <w:lvl w:ilvl="3" w:tplc="88523506">
      <w:start w:val="1"/>
      <w:numFmt w:val="decimal"/>
      <w:lvlText w:val="%4."/>
      <w:lvlJc w:val="left"/>
      <w:pPr>
        <w:ind w:left="2880" w:hanging="360"/>
      </w:pPr>
      <w:rPr>
        <w:rFonts w:hint="default"/>
      </w:rPr>
    </w:lvl>
    <w:lvl w:ilvl="4" w:tplc="FA36B3B2">
      <w:start w:val="1"/>
      <w:numFmt w:val="lowerLetter"/>
      <w:lvlText w:val="%5."/>
      <w:lvlJc w:val="left"/>
      <w:pPr>
        <w:ind w:left="3600" w:hanging="360"/>
      </w:pPr>
    </w:lvl>
    <w:lvl w:ilvl="5" w:tplc="4B2A1458">
      <w:start w:val="1"/>
      <w:numFmt w:val="lowerRoman"/>
      <w:lvlText w:val="%6."/>
      <w:lvlJc w:val="right"/>
      <w:pPr>
        <w:ind w:left="4320" w:hanging="180"/>
      </w:pPr>
    </w:lvl>
    <w:lvl w:ilvl="6" w:tplc="F60246DA">
      <w:start w:val="1"/>
      <w:numFmt w:val="decimal"/>
      <w:lvlText w:val="%7."/>
      <w:lvlJc w:val="left"/>
      <w:pPr>
        <w:ind w:left="5040" w:hanging="360"/>
      </w:pPr>
    </w:lvl>
    <w:lvl w:ilvl="7" w:tplc="80A4B1AA" w:tentative="1">
      <w:start w:val="1"/>
      <w:numFmt w:val="lowerLetter"/>
      <w:lvlText w:val="%8."/>
      <w:lvlJc w:val="left"/>
      <w:pPr>
        <w:ind w:left="5760" w:hanging="360"/>
      </w:pPr>
    </w:lvl>
    <w:lvl w:ilvl="8" w:tplc="674685D0" w:tentative="1">
      <w:start w:val="1"/>
      <w:numFmt w:val="lowerRoman"/>
      <w:lvlText w:val="%9."/>
      <w:lvlJc w:val="right"/>
      <w:pPr>
        <w:ind w:left="6480" w:hanging="180"/>
      </w:pPr>
    </w:lvl>
  </w:abstractNum>
  <w:abstractNum w:abstractNumId="1" w15:restartNumberingAfterBreak="0">
    <w:nsid w:val="08932549"/>
    <w:multiLevelType w:val="hybridMultilevel"/>
    <w:tmpl w:val="0784B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45BDE"/>
    <w:multiLevelType w:val="hybridMultilevel"/>
    <w:tmpl w:val="9F2CDAC4"/>
    <w:lvl w:ilvl="0" w:tplc="9856888E">
      <w:start w:val="1"/>
      <w:numFmt w:val="lowerRoman"/>
      <w:lvlText w:val="%1."/>
      <w:lvlJc w:val="left"/>
      <w:pPr>
        <w:ind w:left="1080" w:hanging="720"/>
      </w:pPr>
      <w:rPr>
        <w:rFonts w:hint="default"/>
      </w:rPr>
    </w:lvl>
    <w:lvl w:ilvl="1" w:tplc="1A08FDA2">
      <w:start w:val="1"/>
      <w:numFmt w:val="lowerLetter"/>
      <w:lvlText w:val="%2."/>
      <w:lvlJc w:val="left"/>
      <w:pPr>
        <w:ind w:left="1440" w:hanging="360"/>
      </w:pPr>
    </w:lvl>
    <w:lvl w:ilvl="2" w:tplc="D286DC72" w:tentative="1">
      <w:start w:val="1"/>
      <w:numFmt w:val="lowerRoman"/>
      <w:lvlText w:val="%3."/>
      <w:lvlJc w:val="right"/>
      <w:pPr>
        <w:ind w:left="2160" w:hanging="180"/>
      </w:pPr>
    </w:lvl>
    <w:lvl w:ilvl="3" w:tplc="9EA0CEDC" w:tentative="1">
      <w:start w:val="1"/>
      <w:numFmt w:val="decimal"/>
      <w:lvlText w:val="%4."/>
      <w:lvlJc w:val="left"/>
      <w:pPr>
        <w:ind w:left="2880" w:hanging="360"/>
      </w:pPr>
    </w:lvl>
    <w:lvl w:ilvl="4" w:tplc="66149CE4" w:tentative="1">
      <w:start w:val="1"/>
      <w:numFmt w:val="lowerLetter"/>
      <w:lvlText w:val="%5."/>
      <w:lvlJc w:val="left"/>
      <w:pPr>
        <w:ind w:left="3600" w:hanging="360"/>
      </w:pPr>
    </w:lvl>
    <w:lvl w:ilvl="5" w:tplc="46FC8488" w:tentative="1">
      <w:start w:val="1"/>
      <w:numFmt w:val="lowerRoman"/>
      <w:lvlText w:val="%6."/>
      <w:lvlJc w:val="right"/>
      <w:pPr>
        <w:ind w:left="4320" w:hanging="180"/>
      </w:pPr>
    </w:lvl>
    <w:lvl w:ilvl="6" w:tplc="D5AEF264" w:tentative="1">
      <w:start w:val="1"/>
      <w:numFmt w:val="decimal"/>
      <w:lvlText w:val="%7."/>
      <w:lvlJc w:val="left"/>
      <w:pPr>
        <w:ind w:left="5040" w:hanging="360"/>
      </w:pPr>
    </w:lvl>
    <w:lvl w:ilvl="7" w:tplc="6A70ACF0" w:tentative="1">
      <w:start w:val="1"/>
      <w:numFmt w:val="lowerLetter"/>
      <w:lvlText w:val="%8."/>
      <w:lvlJc w:val="left"/>
      <w:pPr>
        <w:ind w:left="5760" w:hanging="360"/>
      </w:pPr>
    </w:lvl>
    <w:lvl w:ilvl="8" w:tplc="E72C2246" w:tentative="1">
      <w:start w:val="1"/>
      <w:numFmt w:val="lowerRoman"/>
      <w:lvlText w:val="%9."/>
      <w:lvlJc w:val="right"/>
      <w:pPr>
        <w:ind w:left="6480" w:hanging="180"/>
      </w:pPr>
    </w:lvl>
  </w:abstractNum>
  <w:abstractNum w:abstractNumId="3" w15:restartNumberingAfterBreak="0">
    <w:nsid w:val="1D1F58B7"/>
    <w:multiLevelType w:val="hybridMultilevel"/>
    <w:tmpl w:val="5B4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A2DD9"/>
    <w:multiLevelType w:val="hybridMultilevel"/>
    <w:tmpl w:val="2D1AC1D6"/>
    <w:lvl w:ilvl="0" w:tplc="82CE792C">
      <w:start w:val="1"/>
      <w:numFmt w:val="bullet"/>
      <w:lvlText w:val=""/>
      <w:lvlJc w:val="left"/>
      <w:pPr>
        <w:ind w:left="720" w:hanging="360"/>
      </w:pPr>
      <w:rPr>
        <w:rFonts w:ascii="Symbol" w:hAnsi="Symbol" w:hint="default"/>
      </w:rPr>
    </w:lvl>
    <w:lvl w:ilvl="1" w:tplc="2670E88E" w:tentative="1">
      <w:start w:val="1"/>
      <w:numFmt w:val="bullet"/>
      <w:lvlText w:val="o"/>
      <w:lvlJc w:val="left"/>
      <w:pPr>
        <w:ind w:left="1440" w:hanging="360"/>
      </w:pPr>
      <w:rPr>
        <w:rFonts w:ascii="Courier New" w:hAnsi="Courier New" w:cs="Courier New" w:hint="default"/>
      </w:rPr>
    </w:lvl>
    <w:lvl w:ilvl="2" w:tplc="55F87558" w:tentative="1">
      <w:start w:val="1"/>
      <w:numFmt w:val="bullet"/>
      <w:lvlText w:val=""/>
      <w:lvlJc w:val="left"/>
      <w:pPr>
        <w:ind w:left="2160" w:hanging="360"/>
      </w:pPr>
      <w:rPr>
        <w:rFonts w:ascii="Wingdings" w:hAnsi="Wingdings" w:hint="default"/>
      </w:rPr>
    </w:lvl>
    <w:lvl w:ilvl="3" w:tplc="2ADE0EC2" w:tentative="1">
      <w:start w:val="1"/>
      <w:numFmt w:val="bullet"/>
      <w:lvlText w:val=""/>
      <w:lvlJc w:val="left"/>
      <w:pPr>
        <w:ind w:left="2880" w:hanging="360"/>
      </w:pPr>
      <w:rPr>
        <w:rFonts w:ascii="Symbol" w:hAnsi="Symbol" w:hint="default"/>
      </w:rPr>
    </w:lvl>
    <w:lvl w:ilvl="4" w:tplc="6E5A078E" w:tentative="1">
      <w:start w:val="1"/>
      <w:numFmt w:val="bullet"/>
      <w:lvlText w:val="o"/>
      <w:lvlJc w:val="left"/>
      <w:pPr>
        <w:ind w:left="3600" w:hanging="360"/>
      </w:pPr>
      <w:rPr>
        <w:rFonts w:ascii="Courier New" w:hAnsi="Courier New" w:cs="Courier New" w:hint="default"/>
      </w:rPr>
    </w:lvl>
    <w:lvl w:ilvl="5" w:tplc="0E309B9A" w:tentative="1">
      <w:start w:val="1"/>
      <w:numFmt w:val="bullet"/>
      <w:lvlText w:val=""/>
      <w:lvlJc w:val="left"/>
      <w:pPr>
        <w:ind w:left="4320" w:hanging="360"/>
      </w:pPr>
      <w:rPr>
        <w:rFonts w:ascii="Wingdings" w:hAnsi="Wingdings" w:hint="default"/>
      </w:rPr>
    </w:lvl>
    <w:lvl w:ilvl="6" w:tplc="E2C08EAA" w:tentative="1">
      <w:start w:val="1"/>
      <w:numFmt w:val="bullet"/>
      <w:lvlText w:val=""/>
      <w:lvlJc w:val="left"/>
      <w:pPr>
        <w:ind w:left="5040" w:hanging="360"/>
      </w:pPr>
      <w:rPr>
        <w:rFonts w:ascii="Symbol" w:hAnsi="Symbol" w:hint="default"/>
      </w:rPr>
    </w:lvl>
    <w:lvl w:ilvl="7" w:tplc="7DE2A842" w:tentative="1">
      <w:start w:val="1"/>
      <w:numFmt w:val="bullet"/>
      <w:lvlText w:val="o"/>
      <w:lvlJc w:val="left"/>
      <w:pPr>
        <w:ind w:left="5760" w:hanging="360"/>
      </w:pPr>
      <w:rPr>
        <w:rFonts w:ascii="Courier New" w:hAnsi="Courier New" w:cs="Courier New" w:hint="default"/>
      </w:rPr>
    </w:lvl>
    <w:lvl w:ilvl="8" w:tplc="713C8D60" w:tentative="1">
      <w:start w:val="1"/>
      <w:numFmt w:val="bullet"/>
      <w:lvlText w:val=""/>
      <w:lvlJc w:val="left"/>
      <w:pPr>
        <w:ind w:left="6480" w:hanging="360"/>
      </w:pPr>
      <w:rPr>
        <w:rFonts w:ascii="Wingdings" w:hAnsi="Wingdings" w:hint="default"/>
      </w:rPr>
    </w:lvl>
  </w:abstractNum>
  <w:abstractNum w:abstractNumId="5" w15:restartNumberingAfterBreak="0">
    <w:nsid w:val="34CC306D"/>
    <w:multiLevelType w:val="hybridMultilevel"/>
    <w:tmpl w:val="C0C4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165E3"/>
    <w:multiLevelType w:val="hybridMultilevel"/>
    <w:tmpl w:val="1A3858BA"/>
    <w:lvl w:ilvl="0" w:tplc="63FC236C">
      <w:start w:val="1"/>
      <w:numFmt w:val="bullet"/>
      <w:lvlText w:val=""/>
      <w:lvlJc w:val="left"/>
      <w:pPr>
        <w:ind w:left="720" w:hanging="360"/>
      </w:pPr>
      <w:rPr>
        <w:rFonts w:ascii="Symbol" w:hAnsi="Symbol" w:hint="default"/>
      </w:rPr>
    </w:lvl>
    <w:lvl w:ilvl="1" w:tplc="3D8699F6" w:tentative="1">
      <w:start w:val="1"/>
      <w:numFmt w:val="bullet"/>
      <w:lvlText w:val="o"/>
      <w:lvlJc w:val="left"/>
      <w:pPr>
        <w:ind w:left="1440" w:hanging="360"/>
      </w:pPr>
      <w:rPr>
        <w:rFonts w:ascii="Courier New" w:hAnsi="Courier New" w:cs="Courier New" w:hint="default"/>
      </w:rPr>
    </w:lvl>
    <w:lvl w:ilvl="2" w:tplc="E0269828" w:tentative="1">
      <w:start w:val="1"/>
      <w:numFmt w:val="bullet"/>
      <w:lvlText w:val=""/>
      <w:lvlJc w:val="left"/>
      <w:pPr>
        <w:ind w:left="2160" w:hanging="360"/>
      </w:pPr>
      <w:rPr>
        <w:rFonts w:ascii="Wingdings" w:hAnsi="Wingdings" w:hint="default"/>
      </w:rPr>
    </w:lvl>
    <w:lvl w:ilvl="3" w:tplc="D72E8F58" w:tentative="1">
      <w:start w:val="1"/>
      <w:numFmt w:val="bullet"/>
      <w:lvlText w:val=""/>
      <w:lvlJc w:val="left"/>
      <w:pPr>
        <w:ind w:left="2880" w:hanging="360"/>
      </w:pPr>
      <w:rPr>
        <w:rFonts w:ascii="Symbol" w:hAnsi="Symbol" w:hint="default"/>
      </w:rPr>
    </w:lvl>
    <w:lvl w:ilvl="4" w:tplc="A3D6D714" w:tentative="1">
      <w:start w:val="1"/>
      <w:numFmt w:val="bullet"/>
      <w:lvlText w:val="o"/>
      <w:lvlJc w:val="left"/>
      <w:pPr>
        <w:ind w:left="3600" w:hanging="360"/>
      </w:pPr>
      <w:rPr>
        <w:rFonts w:ascii="Courier New" w:hAnsi="Courier New" w:cs="Courier New" w:hint="default"/>
      </w:rPr>
    </w:lvl>
    <w:lvl w:ilvl="5" w:tplc="91C84540" w:tentative="1">
      <w:start w:val="1"/>
      <w:numFmt w:val="bullet"/>
      <w:lvlText w:val=""/>
      <w:lvlJc w:val="left"/>
      <w:pPr>
        <w:ind w:left="4320" w:hanging="360"/>
      </w:pPr>
      <w:rPr>
        <w:rFonts w:ascii="Wingdings" w:hAnsi="Wingdings" w:hint="default"/>
      </w:rPr>
    </w:lvl>
    <w:lvl w:ilvl="6" w:tplc="3CCE10C2" w:tentative="1">
      <w:start w:val="1"/>
      <w:numFmt w:val="bullet"/>
      <w:lvlText w:val=""/>
      <w:lvlJc w:val="left"/>
      <w:pPr>
        <w:ind w:left="5040" w:hanging="360"/>
      </w:pPr>
      <w:rPr>
        <w:rFonts w:ascii="Symbol" w:hAnsi="Symbol" w:hint="default"/>
      </w:rPr>
    </w:lvl>
    <w:lvl w:ilvl="7" w:tplc="22741E3A" w:tentative="1">
      <w:start w:val="1"/>
      <w:numFmt w:val="bullet"/>
      <w:lvlText w:val="o"/>
      <w:lvlJc w:val="left"/>
      <w:pPr>
        <w:ind w:left="5760" w:hanging="360"/>
      </w:pPr>
      <w:rPr>
        <w:rFonts w:ascii="Courier New" w:hAnsi="Courier New" w:cs="Courier New" w:hint="default"/>
      </w:rPr>
    </w:lvl>
    <w:lvl w:ilvl="8" w:tplc="FA74B63A" w:tentative="1">
      <w:start w:val="1"/>
      <w:numFmt w:val="bullet"/>
      <w:lvlText w:val=""/>
      <w:lvlJc w:val="left"/>
      <w:pPr>
        <w:ind w:left="6480" w:hanging="360"/>
      </w:pPr>
      <w:rPr>
        <w:rFonts w:ascii="Wingdings" w:hAnsi="Wingdings" w:hint="default"/>
      </w:rPr>
    </w:lvl>
  </w:abstractNum>
  <w:abstractNum w:abstractNumId="7" w15:restartNumberingAfterBreak="0">
    <w:nsid w:val="480E0480"/>
    <w:multiLevelType w:val="hybridMultilevel"/>
    <w:tmpl w:val="0A663FE8"/>
    <w:lvl w:ilvl="0" w:tplc="21621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33BFD"/>
    <w:multiLevelType w:val="hybridMultilevel"/>
    <w:tmpl w:val="13E0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36B73"/>
    <w:multiLevelType w:val="hybridMultilevel"/>
    <w:tmpl w:val="F2D8F4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8E60B7"/>
    <w:multiLevelType w:val="hybridMultilevel"/>
    <w:tmpl w:val="87122734"/>
    <w:lvl w:ilvl="0" w:tplc="7E52A8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978EA"/>
    <w:multiLevelType w:val="hybridMultilevel"/>
    <w:tmpl w:val="307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253D6"/>
    <w:multiLevelType w:val="hybridMultilevel"/>
    <w:tmpl w:val="37228BB2"/>
    <w:lvl w:ilvl="0" w:tplc="0E0EA8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477AD"/>
    <w:multiLevelType w:val="hybridMultilevel"/>
    <w:tmpl w:val="D276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61202"/>
    <w:multiLevelType w:val="hybridMultilevel"/>
    <w:tmpl w:val="C73CE590"/>
    <w:lvl w:ilvl="0" w:tplc="401E411C">
      <w:start w:val="1"/>
      <w:numFmt w:val="upperLetter"/>
      <w:lvlText w:val="%1."/>
      <w:lvlJc w:val="left"/>
      <w:pPr>
        <w:ind w:left="720" w:hanging="360"/>
      </w:pPr>
    </w:lvl>
    <w:lvl w:ilvl="1" w:tplc="223239AC">
      <w:start w:val="1"/>
      <w:numFmt w:val="lowerLetter"/>
      <w:lvlText w:val="%2."/>
      <w:lvlJc w:val="left"/>
      <w:pPr>
        <w:ind w:left="1440" w:hanging="360"/>
      </w:pPr>
    </w:lvl>
    <w:lvl w:ilvl="2" w:tplc="F4D65C9C">
      <w:start w:val="1"/>
      <w:numFmt w:val="lowerLetter"/>
      <w:lvlText w:val="%3."/>
      <w:lvlJc w:val="left"/>
      <w:pPr>
        <w:ind w:left="1440" w:hanging="360"/>
      </w:pPr>
    </w:lvl>
    <w:lvl w:ilvl="3" w:tplc="69101122">
      <w:start w:val="1"/>
      <w:numFmt w:val="decimal"/>
      <w:lvlText w:val="%4."/>
      <w:lvlJc w:val="left"/>
      <w:pPr>
        <w:ind w:left="2880" w:hanging="360"/>
      </w:pPr>
    </w:lvl>
    <w:lvl w:ilvl="4" w:tplc="A99AF65E" w:tentative="1">
      <w:start w:val="1"/>
      <w:numFmt w:val="lowerLetter"/>
      <w:lvlText w:val="%5."/>
      <w:lvlJc w:val="left"/>
      <w:pPr>
        <w:ind w:left="3600" w:hanging="360"/>
      </w:pPr>
    </w:lvl>
    <w:lvl w:ilvl="5" w:tplc="2178772A" w:tentative="1">
      <w:start w:val="1"/>
      <w:numFmt w:val="lowerRoman"/>
      <w:lvlText w:val="%6."/>
      <w:lvlJc w:val="right"/>
      <w:pPr>
        <w:ind w:left="4320" w:hanging="180"/>
      </w:pPr>
    </w:lvl>
    <w:lvl w:ilvl="6" w:tplc="0C7A1246" w:tentative="1">
      <w:start w:val="1"/>
      <w:numFmt w:val="decimal"/>
      <w:lvlText w:val="%7."/>
      <w:lvlJc w:val="left"/>
      <w:pPr>
        <w:ind w:left="5040" w:hanging="360"/>
      </w:pPr>
    </w:lvl>
    <w:lvl w:ilvl="7" w:tplc="48FECB8A" w:tentative="1">
      <w:start w:val="1"/>
      <w:numFmt w:val="lowerLetter"/>
      <w:lvlText w:val="%8."/>
      <w:lvlJc w:val="left"/>
      <w:pPr>
        <w:ind w:left="5760" w:hanging="360"/>
      </w:pPr>
    </w:lvl>
    <w:lvl w:ilvl="8" w:tplc="F8244970" w:tentative="1">
      <w:start w:val="1"/>
      <w:numFmt w:val="lowerRoman"/>
      <w:lvlText w:val="%9."/>
      <w:lvlJc w:val="right"/>
      <w:pPr>
        <w:ind w:left="6480" w:hanging="180"/>
      </w:pPr>
    </w:lvl>
  </w:abstractNum>
  <w:num w:numId="1" w16cid:durableId="1703558344">
    <w:abstractNumId w:val="2"/>
  </w:num>
  <w:num w:numId="2" w16cid:durableId="1666978137">
    <w:abstractNumId w:val="0"/>
  </w:num>
  <w:num w:numId="3" w16cid:durableId="950430786">
    <w:abstractNumId w:val="14"/>
  </w:num>
  <w:num w:numId="4" w16cid:durableId="740836681">
    <w:abstractNumId w:val="6"/>
  </w:num>
  <w:num w:numId="5" w16cid:durableId="356926131">
    <w:abstractNumId w:val="4"/>
  </w:num>
  <w:num w:numId="6" w16cid:durableId="1752048518">
    <w:abstractNumId w:val="9"/>
  </w:num>
  <w:num w:numId="7" w16cid:durableId="691494477">
    <w:abstractNumId w:val="13"/>
  </w:num>
  <w:num w:numId="8" w16cid:durableId="353112003">
    <w:abstractNumId w:val="11"/>
  </w:num>
  <w:num w:numId="9" w16cid:durableId="756905182">
    <w:abstractNumId w:val="5"/>
  </w:num>
  <w:num w:numId="10" w16cid:durableId="556280474">
    <w:abstractNumId w:val="3"/>
  </w:num>
  <w:num w:numId="11" w16cid:durableId="663238471">
    <w:abstractNumId w:val="8"/>
  </w:num>
  <w:num w:numId="12" w16cid:durableId="1887990508">
    <w:abstractNumId w:val="12"/>
  </w:num>
  <w:num w:numId="13" w16cid:durableId="1303972545">
    <w:abstractNumId w:val="10"/>
  </w:num>
  <w:num w:numId="14" w16cid:durableId="1448312256">
    <w:abstractNumId w:val="1"/>
  </w:num>
  <w:num w:numId="15" w16cid:durableId="11301269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06"/>
    <w:rsid w:val="00000118"/>
    <w:rsid w:val="00000D13"/>
    <w:rsid w:val="00001413"/>
    <w:rsid w:val="000019E9"/>
    <w:rsid w:val="00002144"/>
    <w:rsid w:val="00002B22"/>
    <w:rsid w:val="00003B30"/>
    <w:rsid w:val="000041B1"/>
    <w:rsid w:val="00004388"/>
    <w:rsid w:val="000061B1"/>
    <w:rsid w:val="0000650F"/>
    <w:rsid w:val="00007604"/>
    <w:rsid w:val="0000794E"/>
    <w:rsid w:val="00010538"/>
    <w:rsid w:val="000107E1"/>
    <w:rsid w:val="000113A2"/>
    <w:rsid w:val="000128A5"/>
    <w:rsid w:val="00012C5C"/>
    <w:rsid w:val="00012D6D"/>
    <w:rsid w:val="000130BA"/>
    <w:rsid w:val="000136CC"/>
    <w:rsid w:val="00014172"/>
    <w:rsid w:val="00015D68"/>
    <w:rsid w:val="000165DE"/>
    <w:rsid w:val="00016EDA"/>
    <w:rsid w:val="00016EFD"/>
    <w:rsid w:val="0002071A"/>
    <w:rsid w:val="00020E1C"/>
    <w:rsid w:val="00022ADC"/>
    <w:rsid w:val="00022B14"/>
    <w:rsid w:val="00023299"/>
    <w:rsid w:val="00023930"/>
    <w:rsid w:val="00024099"/>
    <w:rsid w:val="00025113"/>
    <w:rsid w:val="00025195"/>
    <w:rsid w:val="00025C25"/>
    <w:rsid w:val="00025E41"/>
    <w:rsid w:val="00025E47"/>
    <w:rsid w:val="0002649C"/>
    <w:rsid w:val="00026B4F"/>
    <w:rsid w:val="00026DF7"/>
    <w:rsid w:val="00027101"/>
    <w:rsid w:val="00030054"/>
    <w:rsid w:val="0003161B"/>
    <w:rsid w:val="00032397"/>
    <w:rsid w:val="000324A0"/>
    <w:rsid w:val="000329E8"/>
    <w:rsid w:val="0003358A"/>
    <w:rsid w:val="000337A6"/>
    <w:rsid w:val="000347BE"/>
    <w:rsid w:val="00036670"/>
    <w:rsid w:val="000376EB"/>
    <w:rsid w:val="00040416"/>
    <w:rsid w:val="00040A05"/>
    <w:rsid w:val="00041073"/>
    <w:rsid w:val="00042033"/>
    <w:rsid w:val="000421B6"/>
    <w:rsid w:val="0004224C"/>
    <w:rsid w:val="00042600"/>
    <w:rsid w:val="00044558"/>
    <w:rsid w:val="00044670"/>
    <w:rsid w:val="00045506"/>
    <w:rsid w:val="000460A4"/>
    <w:rsid w:val="00046D83"/>
    <w:rsid w:val="00046F5D"/>
    <w:rsid w:val="00047BB7"/>
    <w:rsid w:val="00050362"/>
    <w:rsid w:val="00052365"/>
    <w:rsid w:val="000534D0"/>
    <w:rsid w:val="00053F70"/>
    <w:rsid w:val="0005400C"/>
    <w:rsid w:val="000553DA"/>
    <w:rsid w:val="000573B8"/>
    <w:rsid w:val="000575DB"/>
    <w:rsid w:val="000578E5"/>
    <w:rsid w:val="00061057"/>
    <w:rsid w:val="0006176E"/>
    <w:rsid w:val="00061986"/>
    <w:rsid w:val="00063B52"/>
    <w:rsid w:val="000642E2"/>
    <w:rsid w:val="00064B33"/>
    <w:rsid w:val="000656D3"/>
    <w:rsid w:val="00067C2E"/>
    <w:rsid w:val="00071C65"/>
    <w:rsid w:val="00071EAB"/>
    <w:rsid w:val="00071EFC"/>
    <w:rsid w:val="000729FF"/>
    <w:rsid w:val="00072A76"/>
    <w:rsid w:val="00073434"/>
    <w:rsid w:val="00074619"/>
    <w:rsid w:val="000756BB"/>
    <w:rsid w:val="00076720"/>
    <w:rsid w:val="00077679"/>
    <w:rsid w:val="00080DCF"/>
    <w:rsid w:val="000819A2"/>
    <w:rsid w:val="00081C1E"/>
    <w:rsid w:val="0008411A"/>
    <w:rsid w:val="00084651"/>
    <w:rsid w:val="00084691"/>
    <w:rsid w:val="00085512"/>
    <w:rsid w:val="00086445"/>
    <w:rsid w:val="0008745D"/>
    <w:rsid w:val="00087B0A"/>
    <w:rsid w:val="00090C0D"/>
    <w:rsid w:val="00091075"/>
    <w:rsid w:val="00091ADD"/>
    <w:rsid w:val="0009272A"/>
    <w:rsid w:val="000937A4"/>
    <w:rsid w:val="000962A2"/>
    <w:rsid w:val="00096464"/>
    <w:rsid w:val="000965BF"/>
    <w:rsid w:val="000A1344"/>
    <w:rsid w:val="000A21A9"/>
    <w:rsid w:val="000A347C"/>
    <w:rsid w:val="000A41CC"/>
    <w:rsid w:val="000A44FE"/>
    <w:rsid w:val="000A51C7"/>
    <w:rsid w:val="000A523B"/>
    <w:rsid w:val="000A567A"/>
    <w:rsid w:val="000A5BA7"/>
    <w:rsid w:val="000A6E1A"/>
    <w:rsid w:val="000B06D8"/>
    <w:rsid w:val="000B115B"/>
    <w:rsid w:val="000B2566"/>
    <w:rsid w:val="000B2A52"/>
    <w:rsid w:val="000B3AF6"/>
    <w:rsid w:val="000B4A5B"/>
    <w:rsid w:val="000B50D9"/>
    <w:rsid w:val="000B5370"/>
    <w:rsid w:val="000B5704"/>
    <w:rsid w:val="000B6A41"/>
    <w:rsid w:val="000C0964"/>
    <w:rsid w:val="000C17FD"/>
    <w:rsid w:val="000C393E"/>
    <w:rsid w:val="000C4362"/>
    <w:rsid w:val="000C633A"/>
    <w:rsid w:val="000C67A0"/>
    <w:rsid w:val="000C7E48"/>
    <w:rsid w:val="000D0756"/>
    <w:rsid w:val="000D07D3"/>
    <w:rsid w:val="000D0F2F"/>
    <w:rsid w:val="000D109F"/>
    <w:rsid w:val="000D1143"/>
    <w:rsid w:val="000D164F"/>
    <w:rsid w:val="000D1AAD"/>
    <w:rsid w:val="000D249D"/>
    <w:rsid w:val="000D2746"/>
    <w:rsid w:val="000D321D"/>
    <w:rsid w:val="000D3D05"/>
    <w:rsid w:val="000D4DE4"/>
    <w:rsid w:val="000D7676"/>
    <w:rsid w:val="000D7EBB"/>
    <w:rsid w:val="000E0008"/>
    <w:rsid w:val="000E0A90"/>
    <w:rsid w:val="000E1A4A"/>
    <w:rsid w:val="000E25F7"/>
    <w:rsid w:val="000E33F4"/>
    <w:rsid w:val="000E4716"/>
    <w:rsid w:val="000E6292"/>
    <w:rsid w:val="000E66E1"/>
    <w:rsid w:val="000E6A81"/>
    <w:rsid w:val="000F16AC"/>
    <w:rsid w:val="000F18E2"/>
    <w:rsid w:val="000F2ADD"/>
    <w:rsid w:val="000F2BEB"/>
    <w:rsid w:val="000F443E"/>
    <w:rsid w:val="000F4E31"/>
    <w:rsid w:val="000F6510"/>
    <w:rsid w:val="000F693E"/>
    <w:rsid w:val="000F6EA4"/>
    <w:rsid w:val="000F73F8"/>
    <w:rsid w:val="00100842"/>
    <w:rsid w:val="001009CA"/>
    <w:rsid w:val="00101122"/>
    <w:rsid w:val="001019AF"/>
    <w:rsid w:val="00101DC0"/>
    <w:rsid w:val="001024C1"/>
    <w:rsid w:val="00102D41"/>
    <w:rsid w:val="00102D8B"/>
    <w:rsid w:val="0010366B"/>
    <w:rsid w:val="00104102"/>
    <w:rsid w:val="001055B6"/>
    <w:rsid w:val="00106514"/>
    <w:rsid w:val="00107480"/>
    <w:rsid w:val="00110057"/>
    <w:rsid w:val="00110608"/>
    <w:rsid w:val="0011091B"/>
    <w:rsid w:val="00113CAD"/>
    <w:rsid w:val="00117557"/>
    <w:rsid w:val="00117A06"/>
    <w:rsid w:val="00120ACA"/>
    <w:rsid w:val="00121CDB"/>
    <w:rsid w:val="0012249B"/>
    <w:rsid w:val="0012269A"/>
    <w:rsid w:val="00124844"/>
    <w:rsid w:val="00124878"/>
    <w:rsid w:val="001248BA"/>
    <w:rsid w:val="00125958"/>
    <w:rsid w:val="00125B49"/>
    <w:rsid w:val="0012692C"/>
    <w:rsid w:val="001304BF"/>
    <w:rsid w:val="001329E1"/>
    <w:rsid w:val="001332EC"/>
    <w:rsid w:val="00133BE8"/>
    <w:rsid w:val="00133C7B"/>
    <w:rsid w:val="00134897"/>
    <w:rsid w:val="00134B03"/>
    <w:rsid w:val="00137FF5"/>
    <w:rsid w:val="00141A52"/>
    <w:rsid w:val="001420FC"/>
    <w:rsid w:val="001424C8"/>
    <w:rsid w:val="00142FBD"/>
    <w:rsid w:val="001433D5"/>
    <w:rsid w:val="00143D8C"/>
    <w:rsid w:val="0014483E"/>
    <w:rsid w:val="001448EF"/>
    <w:rsid w:val="00145CB5"/>
    <w:rsid w:val="001461CB"/>
    <w:rsid w:val="001464EC"/>
    <w:rsid w:val="00147B38"/>
    <w:rsid w:val="00147D34"/>
    <w:rsid w:val="00154471"/>
    <w:rsid w:val="00154984"/>
    <w:rsid w:val="00157B20"/>
    <w:rsid w:val="00163312"/>
    <w:rsid w:val="0016357C"/>
    <w:rsid w:val="001635B9"/>
    <w:rsid w:val="00163B46"/>
    <w:rsid w:val="001641ED"/>
    <w:rsid w:val="00165107"/>
    <w:rsid w:val="00165F1B"/>
    <w:rsid w:val="00171527"/>
    <w:rsid w:val="00171752"/>
    <w:rsid w:val="00171D67"/>
    <w:rsid w:val="00174049"/>
    <w:rsid w:val="00174E3A"/>
    <w:rsid w:val="001765AE"/>
    <w:rsid w:val="00176BD9"/>
    <w:rsid w:val="00177409"/>
    <w:rsid w:val="001804D7"/>
    <w:rsid w:val="00180B01"/>
    <w:rsid w:val="001821C6"/>
    <w:rsid w:val="0018224E"/>
    <w:rsid w:val="001826CA"/>
    <w:rsid w:val="00182A0E"/>
    <w:rsid w:val="00182ECA"/>
    <w:rsid w:val="00183B6A"/>
    <w:rsid w:val="00184B50"/>
    <w:rsid w:val="001864CE"/>
    <w:rsid w:val="0018702A"/>
    <w:rsid w:val="00187290"/>
    <w:rsid w:val="00191BB3"/>
    <w:rsid w:val="00192253"/>
    <w:rsid w:val="00194B8A"/>
    <w:rsid w:val="001A03DE"/>
    <w:rsid w:val="001A0AB8"/>
    <w:rsid w:val="001A0C2F"/>
    <w:rsid w:val="001A13A3"/>
    <w:rsid w:val="001A2506"/>
    <w:rsid w:val="001A27F0"/>
    <w:rsid w:val="001A2CAB"/>
    <w:rsid w:val="001A3FD4"/>
    <w:rsid w:val="001A525E"/>
    <w:rsid w:val="001A5519"/>
    <w:rsid w:val="001A5B0A"/>
    <w:rsid w:val="001A6ED5"/>
    <w:rsid w:val="001B1C77"/>
    <w:rsid w:val="001B1C92"/>
    <w:rsid w:val="001B2CE3"/>
    <w:rsid w:val="001B31F0"/>
    <w:rsid w:val="001B341B"/>
    <w:rsid w:val="001B3599"/>
    <w:rsid w:val="001B4A5C"/>
    <w:rsid w:val="001B5553"/>
    <w:rsid w:val="001B5A9E"/>
    <w:rsid w:val="001C1346"/>
    <w:rsid w:val="001C203C"/>
    <w:rsid w:val="001C303C"/>
    <w:rsid w:val="001C4A03"/>
    <w:rsid w:val="001C75A9"/>
    <w:rsid w:val="001D025F"/>
    <w:rsid w:val="001D0E5C"/>
    <w:rsid w:val="001D1A8B"/>
    <w:rsid w:val="001D26A4"/>
    <w:rsid w:val="001D3BB2"/>
    <w:rsid w:val="001D3BFA"/>
    <w:rsid w:val="001D4A16"/>
    <w:rsid w:val="001D4E87"/>
    <w:rsid w:val="001D7515"/>
    <w:rsid w:val="001D7A73"/>
    <w:rsid w:val="001D7C7D"/>
    <w:rsid w:val="001D7F81"/>
    <w:rsid w:val="001E068E"/>
    <w:rsid w:val="001E0C0A"/>
    <w:rsid w:val="001E0FE7"/>
    <w:rsid w:val="001E309B"/>
    <w:rsid w:val="001E62F8"/>
    <w:rsid w:val="001E71A5"/>
    <w:rsid w:val="001E77E3"/>
    <w:rsid w:val="001E7993"/>
    <w:rsid w:val="001E7DAD"/>
    <w:rsid w:val="001F05E7"/>
    <w:rsid w:val="001F428F"/>
    <w:rsid w:val="001F5B6B"/>
    <w:rsid w:val="001F6D27"/>
    <w:rsid w:val="0020041D"/>
    <w:rsid w:val="00201512"/>
    <w:rsid w:val="00202634"/>
    <w:rsid w:val="00202DBA"/>
    <w:rsid w:val="0020456E"/>
    <w:rsid w:val="00205B69"/>
    <w:rsid w:val="002064CA"/>
    <w:rsid w:val="002075A6"/>
    <w:rsid w:val="00207DE5"/>
    <w:rsid w:val="0021002E"/>
    <w:rsid w:val="00210402"/>
    <w:rsid w:val="002114C2"/>
    <w:rsid w:val="00211FF0"/>
    <w:rsid w:val="00212BB8"/>
    <w:rsid w:val="00212C68"/>
    <w:rsid w:val="00213573"/>
    <w:rsid w:val="0021529B"/>
    <w:rsid w:val="00215BCF"/>
    <w:rsid w:val="00215F69"/>
    <w:rsid w:val="002166C2"/>
    <w:rsid w:val="00217511"/>
    <w:rsid w:val="0022034C"/>
    <w:rsid w:val="00220678"/>
    <w:rsid w:val="00223208"/>
    <w:rsid w:val="0022478A"/>
    <w:rsid w:val="002247FB"/>
    <w:rsid w:val="00225B24"/>
    <w:rsid w:val="00226054"/>
    <w:rsid w:val="00226A8B"/>
    <w:rsid w:val="00226E87"/>
    <w:rsid w:val="002312A8"/>
    <w:rsid w:val="002318E7"/>
    <w:rsid w:val="00231AF5"/>
    <w:rsid w:val="0023268E"/>
    <w:rsid w:val="00232DC3"/>
    <w:rsid w:val="00233951"/>
    <w:rsid w:val="00241EC9"/>
    <w:rsid w:val="002422EE"/>
    <w:rsid w:val="00243A5F"/>
    <w:rsid w:val="00244A6E"/>
    <w:rsid w:val="00245169"/>
    <w:rsid w:val="00245BF5"/>
    <w:rsid w:val="00246E36"/>
    <w:rsid w:val="00247169"/>
    <w:rsid w:val="00247192"/>
    <w:rsid w:val="002476C1"/>
    <w:rsid w:val="00247CB9"/>
    <w:rsid w:val="00247F42"/>
    <w:rsid w:val="00250068"/>
    <w:rsid w:val="00250AAC"/>
    <w:rsid w:val="002519EB"/>
    <w:rsid w:val="00251AD5"/>
    <w:rsid w:val="00252263"/>
    <w:rsid w:val="002526CC"/>
    <w:rsid w:val="00253701"/>
    <w:rsid w:val="00253AF6"/>
    <w:rsid w:val="002541A1"/>
    <w:rsid w:val="00254F3F"/>
    <w:rsid w:val="002564B9"/>
    <w:rsid w:val="002567D7"/>
    <w:rsid w:val="002575C2"/>
    <w:rsid w:val="00257CC0"/>
    <w:rsid w:val="002615FF"/>
    <w:rsid w:val="00262383"/>
    <w:rsid w:val="00264140"/>
    <w:rsid w:val="00264A67"/>
    <w:rsid w:val="002659D4"/>
    <w:rsid w:val="002659DF"/>
    <w:rsid w:val="00267D54"/>
    <w:rsid w:val="002706AA"/>
    <w:rsid w:val="00270A21"/>
    <w:rsid w:val="002718DB"/>
    <w:rsid w:val="00272598"/>
    <w:rsid w:val="0027386E"/>
    <w:rsid w:val="00273915"/>
    <w:rsid w:val="0027469C"/>
    <w:rsid w:val="00274842"/>
    <w:rsid w:val="00274B5F"/>
    <w:rsid w:val="00274B9E"/>
    <w:rsid w:val="00274D5B"/>
    <w:rsid w:val="00275D1D"/>
    <w:rsid w:val="0027672A"/>
    <w:rsid w:val="00276E01"/>
    <w:rsid w:val="00277776"/>
    <w:rsid w:val="0027796E"/>
    <w:rsid w:val="00280055"/>
    <w:rsid w:val="00280920"/>
    <w:rsid w:val="00280BB5"/>
    <w:rsid w:val="00283731"/>
    <w:rsid w:val="00284492"/>
    <w:rsid w:val="00286611"/>
    <w:rsid w:val="002867B7"/>
    <w:rsid w:val="002867E6"/>
    <w:rsid w:val="00287D3D"/>
    <w:rsid w:val="002901EE"/>
    <w:rsid w:val="002904FB"/>
    <w:rsid w:val="002905C2"/>
    <w:rsid w:val="00292339"/>
    <w:rsid w:val="00292709"/>
    <w:rsid w:val="00292DB4"/>
    <w:rsid w:val="00293017"/>
    <w:rsid w:val="002934AD"/>
    <w:rsid w:val="00297C24"/>
    <w:rsid w:val="002A22CB"/>
    <w:rsid w:val="002A3009"/>
    <w:rsid w:val="002A30E7"/>
    <w:rsid w:val="002A3C60"/>
    <w:rsid w:val="002A4465"/>
    <w:rsid w:val="002A44AC"/>
    <w:rsid w:val="002A4C84"/>
    <w:rsid w:val="002A658F"/>
    <w:rsid w:val="002A65E2"/>
    <w:rsid w:val="002A6A34"/>
    <w:rsid w:val="002A7155"/>
    <w:rsid w:val="002B1CBA"/>
    <w:rsid w:val="002B2089"/>
    <w:rsid w:val="002B2E54"/>
    <w:rsid w:val="002B329F"/>
    <w:rsid w:val="002B4690"/>
    <w:rsid w:val="002B4C95"/>
    <w:rsid w:val="002B6576"/>
    <w:rsid w:val="002B7859"/>
    <w:rsid w:val="002C043D"/>
    <w:rsid w:val="002C0D16"/>
    <w:rsid w:val="002C20EA"/>
    <w:rsid w:val="002C29C1"/>
    <w:rsid w:val="002C2C02"/>
    <w:rsid w:val="002C4938"/>
    <w:rsid w:val="002C5531"/>
    <w:rsid w:val="002C563A"/>
    <w:rsid w:val="002C5C0C"/>
    <w:rsid w:val="002C6736"/>
    <w:rsid w:val="002C7C6B"/>
    <w:rsid w:val="002D1717"/>
    <w:rsid w:val="002D1F38"/>
    <w:rsid w:val="002D38A0"/>
    <w:rsid w:val="002D4D58"/>
    <w:rsid w:val="002D4F47"/>
    <w:rsid w:val="002D5E9F"/>
    <w:rsid w:val="002D64DD"/>
    <w:rsid w:val="002E03FB"/>
    <w:rsid w:val="002E04BE"/>
    <w:rsid w:val="002E0644"/>
    <w:rsid w:val="002E0CF9"/>
    <w:rsid w:val="002E3DF2"/>
    <w:rsid w:val="002E4363"/>
    <w:rsid w:val="002E4897"/>
    <w:rsid w:val="002E6638"/>
    <w:rsid w:val="002E69DE"/>
    <w:rsid w:val="002E6CF2"/>
    <w:rsid w:val="002E7B7A"/>
    <w:rsid w:val="002F02CB"/>
    <w:rsid w:val="002F17F3"/>
    <w:rsid w:val="002F24CC"/>
    <w:rsid w:val="002F2F89"/>
    <w:rsid w:val="002F3393"/>
    <w:rsid w:val="002F4AEB"/>
    <w:rsid w:val="002F4D96"/>
    <w:rsid w:val="002F5176"/>
    <w:rsid w:val="002F5259"/>
    <w:rsid w:val="002F577B"/>
    <w:rsid w:val="002F64C1"/>
    <w:rsid w:val="002F666E"/>
    <w:rsid w:val="002F6B3B"/>
    <w:rsid w:val="002F7855"/>
    <w:rsid w:val="003008D7"/>
    <w:rsid w:val="00301D41"/>
    <w:rsid w:val="003029D9"/>
    <w:rsid w:val="00303958"/>
    <w:rsid w:val="00303A9A"/>
    <w:rsid w:val="0030598E"/>
    <w:rsid w:val="00306133"/>
    <w:rsid w:val="00306271"/>
    <w:rsid w:val="00306C5E"/>
    <w:rsid w:val="00307C61"/>
    <w:rsid w:val="003109DA"/>
    <w:rsid w:val="00311E90"/>
    <w:rsid w:val="0031742E"/>
    <w:rsid w:val="00317E10"/>
    <w:rsid w:val="00320320"/>
    <w:rsid w:val="00320E31"/>
    <w:rsid w:val="0032245D"/>
    <w:rsid w:val="003224E1"/>
    <w:rsid w:val="0032318D"/>
    <w:rsid w:val="003231C7"/>
    <w:rsid w:val="00324079"/>
    <w:rsid w:val="0032722A"/>
    <w:rsid w:val="0033110C"/>
    <w:rsid w:val="00331F66"/>
    <w:rsid w:val="00332ABE"/>
    <w:rsid w:val="003330C5"/>
    <w:rsid w:val="0033368C"/>
    <w:rsid w:val="0033465C"/>
    <w:rsid w:val="00334877"/>
    <w:rsid w:val="003359E9"/>
    <w:rsid w:val="00335CB4"/>
    <w:rsid w:val="0033697B"/>
    <w:rsid w:val="003375CD"/>
    <w:rsid w:val="00337932"/>
    <w:rsid w:val="00341482"/>
    <w:rsid w:val="003421D1"/>
    <w:rsid w:val="003421FA"/>
    <w:rsid w:val="00342945"/>
    <w:rsid w:val="0034402B"/>
    <w:rsid w:val="00347632"/>
    <w:rsid w:val="00347DBA"/>
    <w:rsid w:val="0035087C"/>
    <w:rsid w:val="00350FCA"/>
    <w:rsid w:val="00351256"/>
    <w:rsid w:val="0035241D"/>
    <w:rsid w:val="00352A47"/>
    <w:rsid w:val="00352F8C"/>
    <w:rsid w:val="00353E19"/>
    <w:rsid w:val="00353EE0"/>
    <w:rsid w:val="0035409E"/>
    <w:rsid w:val="003545CC"/>
    <w:rsid w:val="003558EB"/>
    <w:rsid w:val="003559BC"/>
    <w:rsid w:val="00355D29"/>
    <w:rsid w:val="003568C0"/>
    <w:rsid w:val="00357484"/>
    <w:rsid w:val="003612A6"/>
    <w:rsid w:val="0036298C"/>
    <w:rsid w:val="00363AD4"/>
    <w:rsid w:val="003646BD"/>
    <w:rsid w:val="00364B5C"/>
    <w:rsid w:val="00367D18"/>
    <w:rsid w:val="003705DF"/>
    <w:rsid w:val="00370C0C"/>
    <w:rsid w:val="00370E30"/>
    <w:rsid w:val="00371606"/>
    <w:rsid w:val="003742BA"/>
    <w:rsid w:val="00374396"/>
    <w:rsid w:val="0037446F"/>
    <w:rsid w:val="00377213"/>
    <w:rsid w:val="00377D1C"/>
    <w:rsid w:val="00382E84"/>
    <w:rsid w:val="00384ACF"/>
    <w:rsid w:val="003854D6"/>
    <w:rsid w:val="00386112"/>
    <w:rsid w:val="00386D8A"/>
    <w:rsid w:val="00387063"/>
    <w:rsid w:val="003873BE"/>
    <w:rsid w:val="00387F84"/>
    <w:rsid w:val="00390B9B"/>
    <w:rsid w:val="003911B3"/>
    <w:rsid w:val="003913CC"/>
    <w:rsid w:val="003931AB"/>
    <w:rsid w:val="00393665"/>
    <w:rsid w:val="00393708"/>
    <w:rsid w:val="003942A8"/>
    <w:rsid w:val="00395C65"/>
    <w:rsid w:val="0039664A"/>
    <w:rsid w:val="003972C7"/>
    <w:rsid w:val="003974B6"/>
    <w:rsid w:val="00397543"/>
    <w:rsid w:val="00397AC1"/>
    <w:rsid w:val="00397F39"/>
    <w:rsid w:val="003A0426"/>
    <w:rsid w:val="003A2985"/>
    <w:rsid w:val="003A2DD9"/>
    <w:rsid w:val="003A47FF"/>
    <w:rsid w:val="003A5DC2"/>
    <w:rsid w:val="003A6CA0"/>
    <w:rsid w:val="003B16D5"/>
    <w:rsid w:val="003B1790"/>
    <w:rsid w:val="003B1C8B"/>
    <w:rsid w:val="003B4F72"/>
    <w:rsid w:val="003B501E"/>
    <w:rsid w:val="003B54C8"/>
    <w:rsid w:val="003B5732"/>
    <w:rsid w:val="003B7885"/>
    <w:rsid w:val="003C04D9"/>
    <w:rsid w:val="003C1928"/>
    <w:rsid w:val="003C1B29"/>
    <w:rsid w:val="003C2822"/>
    <w:rsid w:val="003C3010"/>
    <w:rsid w:val="003C413C"/>
    <w:rsid w:val="003C5126"/>
    <w:rsid w:val="003C5BE3"/>
    <w:rsid w:val="003D089D"/>
    <w:rsid w:val="003D094B"/>
    <w:rsid w:val="003D09D1"/>
    <w:rsid w:val="003D0AD2"/>
    <w:rsid w:val="003D0F80"/>
    <w:rsid w:val="003D1067"/>
    <w:rsid w:val="003D193E"/>
    <w:rsid w:val="003D1A69"/>
    <w:rsid w:val="003D58CA"/>
    <w:rsid w:val="003D5C3C"/>
    <w:rsid w:val="003D6C76"/>
    <w:rsid w:val="003D720F"/>
    <w:rsid w:val="003E0333"/>
    <w:rsid w:val="003E0ED4"/>
    <w:rsid w:val="003E217D"/>
    <w:rsid w:val="003E26D3"/>
    <w:rsid w:val="003E32DC"/>
    <w:rsid w:val="003E3523"/>
    <w:rsid w:val="003E394D"/>
    <w:rsid w:val="003E3B77"/>
    <w:rsid w:val="003E4EA6"/>
    <w:rsid w:val="003E6CD6"/>
    <w:rsid w:val="003F046A"/>
    <w:rsid w:val="003F55BC"/>
    <w:rsid w:val="003F5B5B"/>
    <w:rsid w:val="003F5C69"/>
    <w:rsid w:val="003F6874"/>
    <w:rsid w:val="003F7754"/>
    <w:rsid w:val="00402712"/>
    <w:rsid w:val="004032CF"/>
    <w:rsid w:val="004057AD"/>
    <w:rsid w:val="00406AFC"/>
    <w:rsid w:val="004111BF"/>
    <w:rsid w:val="004118EC"/>
    <w:rsid w:val="00411F1B"/>
    <w:rsid w:val="00413019"/>
    <w:rsid w:val="00413211"/>
    <w:rsid w:val="0041432F"/>
    <w:rsid w:val="00414AAD"/>
    <w:rsid w:val="0041622A"/>
    <w:rsid w:val="00416C5A"/>
    <w:rsid w:val="004170D0"/>
    <w:rsid w:val="00417227"/>
    <w:rsid w:val="00417329"/>
    <w:rsid w:val="00417C16"/>
    <w:rsid w:val="00417CD1"/>
    <w:rsid w:val="0042183A"/>
    <w:rsid w:val="004232D3"/>
    <w:rsid w:val="00424F35"/>
    <w:rsid w:val="004260D3"/>
    <w:rsid w:val="00427BFF"/>
    <w:rsid w:val="00427EDC"/>
    <w:rsid w:val="00430B22"/>
    <w:rsid w:val="004317EA"/>
    <w:rsid w:val="0043215B"/>
    <w:rsid w:val="00435649"/>
    <w:rsid w:val="004356FF"/>
    <w:rsid w:val="00435A26"/>
    <w:rsid w:val="00435F02"/>
    <w:rsid w:val="004423C1"/>
    <w:rsid w:val="00443B8C"/>
    <w:rsid w:val="00450012"/>
    <w:rsid w:val="00450788"/>
    <w:rsid w:val="00451E56"/>
    <w:rsid w:val="00453246"/>
    <w:rsid w:val="004536E1"/>
    <w:rsid w:val="0045455F"/>
    <w:rsid w:val="00454A60"/>
    <w:rsid w:val="00454E07"/>
    <w:rsid w:val="00455CCB"/>
    <w:rsid w:val="00461E7A"/>
    <w:rsid w:val="00462081"/>
    <w:rsid w:val="00462BEB"/>
    <w:rsid w:val="00463E75"/>
    <w:rsid w:val="004640A4"/>
    <w:rsid w:val="0046465C"/>
    <w:rsid w:val="00465197"/>
    <w:rsid w:val="00465478"/>
    <w:rsid w:val="00465DE4"/>
    <w:rsid w:val="004663B4"/>
    <w:rsid w:val="00466513"/>
    <w:rsid w:val="00467347"/>
    <w:rsid w:val="0047179B"/>
    <w:rsid w:val="00471CEC"/>
    <w:rsid w:val="00471D5F"/>
    <w:rsid w:val="00474276"/>
    <w:rsid w:val="00474E77"/>
    <w:rsid w:val="00475D31"/>
    <w:rsid w:val="00482945"/>
    <w:rsid w:val="004838BD"/>
    <w:rsid w:val="004848B3"/>
    <w:rsid w:val="00485372"/>
    <w:rsid w:val="00485DCD"/>
    <w:rsid w:val="0048739F"/>
    <w:rsid w:val="00487D94"/>
    <w:rsid w:val="00493E45"/>
    <w:rsid w:val="00494869"/>
    <w:rsid w:val="00494A0A"/>
    <w:rsid w:val="00494CDC"/>
    <w:rsid w:val="00494EDC"/>
    <w:rsid w:val="004958B0"/>
    <w:rsid w:val="004971A4"/>
    <w:rsid w:val="00497BE1"/>
    <w:rsid w:val="00497C36"/>
    <w:rsid w:val="004A1C4E"/>
    <w:rsid w:val="004A3752"/>
    <w:rsid w:val="004A48AB"/>
    <w:rsid w:val="004A48E1"/>
    <w:rsid w:val="004A4D35"/>
    <w:rsid w:val="004A520B"/>
    <w:rsid w:val="004A59A6"/>
    <w:rsid w:val="004A6439"/>
    <w:rsid w:val="004A74B3"/>
    <w:rsid w:val="004A7C20"/>
    <w:rsid w:val="004B10C9"/>
    <w:rsid w:val="004B360C"/>
    <w:rsid w:val="004B371B"/>
    <w:rsid w:val="004B3E93"/>
    <w:rsid w:val="004B3FED"/>
    <w:rsid w:val="004B4B18"/>
    <w:rsid w:val="004B5AE1"/>
    <w:rsid w:val="004B5F12"/>
    <w:rsid w:val="004B6465"/>
    <w:rsid w:val="004C05F2"/>
    <w:rsid w:val="004C0936"/>
    <w:rsid w:val="004C1B52"/>
    <w:rsid w:val="004C1F4A"/>
    <w:rsid w:val="004C26E1"/>
    <w:rsid w:val="004D1828"/>
    <w:rsid w:val="004D2890"/>
    <w:rsid w:val="004D3622"/>
    <w:rsid w:val="004D4151"/>
    <w:rsid w:val="004D5058"/>
    <w:rsid w:val="004D5B48"/>
    <w:rsid w:val="004D6863"/>
    <w:rsid w:val="004D7012"/>
    <w:rsid w:val="004E4B9C"/>
    <w:rsid w:val="004E68EA"/>
    <w:rsid w:val="004F30B1"/>
    <w:rsid w:val="004F349C"/>
    <w:rsid w:val="004F3CBD"/>
    <w:rsid w:val="004F3E71"/>
    <w:rsid w:val="004F477C"/>
    <w:rsid w:val="004F4944"/>
    <w:rsid w:val="004F6905"/>
    <w:rsid w:val="0050020E"/>
    <w:rsid w:val="005009D2"/>
    <w:rsid w:val="00500F88"/>
    <w:rsid w:val="00503BC7"/>
    <w:rsid w:val="00504130"/>
    <w:rsid w:val="00504A50"/>
    <w:rsid w:val="00504D13"/>
    <w:rsid w:val="005054B1"/>
    <w:rsid w:val="005075FD"/>
    <w:rsid w:val="00507BFD"/>
    <w:rsid w:val="00510638"/>
    <w:rsid w:val="00510DC8"/>
    <w:rsid w:val="0051262D"/>
    <w:rsid w:val="00512BD5"/>
    <w:rsid w:val="00514AF1"/>
    <w:rsid w:val="00515059"/>
    <w:rsid w:val="00515A9D"/>
    <w:rsid w:val="00515E9C"/>
    <w:rsid w:val="0051684F"/>
    <w:rsid w:val="00516ED8"/>
    <w:rsid w:val="0052205E"/>
    <w:rsid w:val="00522673"/>
    <w:rsid w:val="00522E43"/>
    <w:rsid w:val="005235EF"/>
    <w:rsid w:val="00524A39"/>
    <w:rsid w:val="00525047"/>
    <w:rsid w:val="00525285"/>
    <w:rsid w:val="00525517"/>
    <w:rsid w:val="005263F9"/>
    <w:rsid w:val="005312DD"/>
    <w:rsid w:val="005329D8"/>
    <w:rsid w:val="0053374B"/>
    <w:rsid w:val="0053387E"/>
    <w:rsid w:val="00534148"/>
    <w:rsid w:val="00534656"/>
    <w:rsid w:val="00536161"/>
    <w:rsid w:val="00536A37"/>
    <w:rsid w:val="00536EB6"/>
    <w:rsid w:val="00537B70"/>
    <w:rsid w:val="00540674"/>
    <w:rsid w:val="00543569"/>
    <w:rsid w:val="00544033"/>
    <w:rsid w:val="0054454F"/>
    <w:rsid w:val="005464F1"/>
    <w:rsid w:val="00546ADB"/>
    <w:rsid w:val="0054744C"/>
    <w:rsid w:val="00547E3C"/>
    <w:rsid w:val="005503B5"/>
    <w:rsid w:val="005511AE"/>
    <w:rsid w:val="005517FD"/>
    <w:rsid w:val="005534DF"/>
    <w:rsid w:val="00554D9E"/>
    <w:rsid w:val="00555729"/>
    <w:rsid w:val="0055642A"/>
    <w:rsid w:val="005602A3"/>
    <w:rsid w:val="005607AD"/>
    <w:rsid w:val="00560E22"/>
    <w:rsid w:val="005615F8"/>
    <w:rsid w:val="0056186F"/>
    <w:rsid w:val="0056192B"/>
    <w:rsid w:val="00563EDF"/>
    <w:rsid w:val="00565E4B"/>
    <w:rsid w:val="00567A85"/>
    <w:rsid w:val="0057125A"/>
    <w:rsid w:val="0057229F"/>
    <w:rsid w:val="0057325A"/>
    <w:rsid w:val="00573DA9"/>
    <w:rsid w:val="00574171"/>
    <w:rsid w:val="00574DEB"/>
    <w:rsid w:val="00574F0F"/>
    <w:rsid w:val="0057600C"/>
    <w:rsid w:val="00576E14"/>
    <w:rsid w:val="00577BF3"/>
    <w:rsid w:val="00580333"/>
    <w:rsid w:val="00580C90"/>
    <w:rsid w:val="00580DB2"/>
    <w:rsid w:val="0058110D"/>
    <w:rsid w:val="00581CA8"/>
    <w:rsid w:val="0058295C"/>
    <w:rsid w:val="00582EC3"/>
    <w:rsid w:val="00582ED5"/>
    <w:rsid w:val="00583A66"/>
    <w:rsid w:val="005846DE"/>
    <w:rsid w:val="005856CB"/>
    <w:rsid w:val="00586EDA"/>
    <w:rsid w:val="00592374"/>
    <w:rsid w:val="005934BD"/>
    <w:rsid w:val="00594DAF"/>
    <w:rsid w:val="00595435"/>
    <w:rsid w:val="00596EA6"/>
    <w:rsid w:val="00596EAB"/>
    <w:rsid w:val="005A0995"/>
    <w:rsid w:val="005A2603"/>
    <w:rsid w:val="005A35F3"/>
    <w:rsid w:val="005A4124"/>
    <w:rsid w:val="005A45AE"/>
    <w:rsid w:val="005A4847"/>
    <w:rsid w:val="005A55AD"/>
    <w:rsid w:val="005A57AD"/>
    <w:rsid w:val="005A6122"/>
    <w:rsid w:val="005A67D2"/>
    <w:rsid w:val="005A6836"/>
    <w:rsid w:val="005A698E"/>
    <w:rsid w:val="005A6D92"/>
    <w:rsid w:val="005B0504"/>
    <w:rsid w:val="005B086B"/>
    <w:rsid w:val="005B154A"/>
    <w:rsid w:val="005B199F"/>
    <w:rsid w:val="005B2162"/>
    <w:rsid w:val="005B2BE3"/>
    <w:rsid w:val="005B2CF9"/>
    <w:rsid w:val="005B4045"/>
    <w:rsid w:val="005B418D"/>
    <w:rsid w:val="005B45DC"/>
    <w:rsid w:val="005B6D46"/>
    <w:rsid w:val="005B7229"/>
    <w:rsid w:val="005C03F9"/>
    <w:rsid w:val="005C0C9A"/>
    <w:rsid w:val="005C1D35"/>
    <w:rsid w:val="005C3548"/>
    <w:rsid w:val="005C3A16"/>
    <w:rsid w:val="005C3CE7"/>
    <w:rsid w:val="005C46E9"/>
    <w:rsid w:val="005C5E09"/>
    <w:rsid w:val="005C7215"/>
    <w:rsid w:val="005C7DD8"/>
    <w:rsid w:val="005D1506"/>
    <w:rsid w:val="005D2894"/>
    <w:rsid w:val="005D42F5"/>
    <w:rsid w:val="005D5ADF"/>
    <w:rsid w:val="005D6B20"/>
    <w:rsid w:val="005E002B"/>
    <w:rsid w:val="005E0077"/>
    <w:rsid w:val="005E1070"/>
    <w:rsid w:val="005E1770"/>
    <w:rsid w:val="005E1E7B"/>
    <w:rsid w:val="005E2312"/>
    <w:rsid w:val="005E28F2"/>
    <w:rsid w:val="005E3EDD"/>
    <w:rsid w:val="005E53F4"/>
    <w:rsid w:val="005E5616"/>
    <w:rsid w:val="005E57DC"/>
    <w:rsid w:val="005E7E4B"/>
    <w:rsid w:val="005F0748"/>
    <w:rsid w:val="005F18F6"/>
    <w:rsid w:val="005F2D1B"/>
    <w:rsid w:val="005F444F"/>
    <w:rsid w:val="005F4FED"/>
    <w:rsid w:val="005F516C"/>
    <w:rsid w:val="005F66A9"/>
    <w:rsid w:val="005F672E"/>
    <w:rsid w:val="005F69C2"/>
    <w:rsid w:val="006025E9"/>
    <w:rsid w:val="00603D9D"/>
    <w:rsid w:val="00604839"/>
    <w:rsid w:val="00605864"/>
    <w:rsid w:val="00607030"/>
    <w:rsid w:val="0060781D"/>
    <w:rsid w:val="006078F0"/>
    <w:rsid w:val="00611761"/>
    <w:rsid w:val="0061180E"/>
    <w:rsid w:val="00611CA8"/>
    <w:rsid w:val="00611E8B"/>
    <w:rsid w:val="006126C0"/>
    <w:rsid w:val="00612C8E"/>
    <w:rsid w:val="006136B8"/>
    <w:rsid w:val="00613C3D"/>
    <w:rsid w:val="00614C6E"/>
    <w:rsid w:val="00615174"/>
    <w:rsid w:val="00615B57"/>
    <w:rsid w:val="00615C8A"/>
    <w:rsid w:val="006169DE"/>
    <w:rsid w:val="00616B58"/>
    <w:rsid w:val="00617670"/>
    <w:rsid w:val="006207F2"/>
    <w:rsid w:val="0062083A"/>
    <w:rsid w:val="00620D0D"/>
    <w:rsid w:val="00621C84"/>
    <w:rsid w:val="00621EFF"/>
    <w:rsid w:val="006223AC"/>
    <w:rsid w:val="00622984"/>
    <w:rsid w:val="006230F3"/>
    <w:rsid w:val="00623275"/>
    <w:rsid w:val="00624DEC"/>
    <w:rsid w:val="00624F8A"/>
    <w:rsid w:val="00630130"/>
    <w:rsid w:val="00633C67"/>
    <w:rsid w:val="00635BF2"/>
    <w:rsid w:val="00635CF1"/>
    <w:rsid w:val="00644D1A"/>
    <w:rsid w:val="006459BB"/>
    <w:rsid w:val="00645B41"/>
    <w:rsid w:val="00646FF6"/>
    <w:rsid w:val="00647031"/>
    <w:rsid w:val="0064708C"/>
    <w:rsid w:val="00650798"/>
    <w:rsid w:val="006519F7"/>
    <w:rsid w:val="00651F29"/>
    <w:rsid w:val="00652613"/>
    <w:rsid w:val="006531E7"/>
    <w:rsid w:val="0065338F"/>
    <w:rsid w:val="006533FC"/>
    <w:rsid w:val="00655AA5"/>
    <w:rsid w:val="00657BDE"/>
    <w:rsid w:val="006600ED"/>
    <w:rsid w:val="00660C90"/>
    <w:rsid w:val="00660DEC"/>
    <w:rsid w:val="0066196F"/>
    <w:rsid w:val="00661A1E"/>
    <w:rsid w:val="00663A87"/>
    <w:rsid w:val="00663D89"/>
    <w:rsid w:val="00665209"/>
    <w:rsid w:val="00666EC4"/>
    <w:rsid w:val="0067008F"/>
    <w:rsid w:val="00670A8C"/>
    <w:rsid w:val="00670EAE"/>
    <w:rsid w:val="00672123"/>
    <w:rsid w:val="00672549"/>
    <w:rsid w:val="006725D7"/>
    <w:rsid w:val="00672983"/>
    <w:rsid w:val="00672A40"/>
    <w:rsid w:val="006757B6"/>
    <w:rsid w:val="00675E36"/>
    <w:rsid w:val="0067755D"/>
    <w:rsid w:val="0067793D"/>
    <w:rsid w:val="00680084"/>
    <w:rsid w:val="00680447"/>
    <w:rsid w:val="00681210"/>
    <w:rsid w:val="006815B2"/>
    <w:rsid w:val="00681ACB"/>
    <w:rsid w:val="00682966"/>
    <w:rsid w:val="00682F8F"/>
    <w:rsid w:val="00683C38"/>
    <w:rsid w:val="00684CA6"/>
    <w:rsid w:val="0068636E"/>
    <w:rsid w:val="006868B7"/>
    <w:rsid w:val="00686F14"/>
    <w:rsid w:val="00687831"/>
    <w:rsid w:val="00690A79"/>
    <w:rsid w:val="00690D76"/>
    <w:rsid w:val="00691370"/>
    <w:rsid w:val="00692D00"/>
    <w:rsid w:val="00692D1A"/>
    <w:rsid w:val="006932C9"/>
    <w:rsid w:val="0069605B"/>
    <w:rsid w:val="00696156"/>
    <w:rsid w:val="0069773C"/>
    <w:rsid w:val="006A049D"/>
    <w:rsid w:val="006A10CD"/>
    <w:rsid w:val="006A1535"/>
    <w:rsid w:val="006A19C2"/>
    <w:rsid w:val="006A23EB"/>
    <w:rsid w:val="006A248F"/>
    <w:rsid w:val="006A2954"/>
    <w:rsid w:val="006A2D97"/>
    <w:rsid w:val="006A3ED1"/>
    <w:rsid w:val="006A43B3"/>
    <w:rsid w:val="006A515B"/>
    <w:rsid w:val="006A6AA5"/>
    <w:rsid w:val="006A7A49"/>
    <w:rsid w:val="006B078C"/>
    <w:rsid w:val="006B0C31"/>
    <w:rsid w:val="006B3F47"/>
    <w:rsid w:val="006B48CC"/>
    <w:rsid w:val="006B4D83"/>
    <w:rsid w:val="006B4FCC"/>
    <w:rsid w:val="006B53B2"/>
    <w:rsid w:val="006B653D"/>
    <w:rsid w:val="006B72E5"/>
    <w:rsid w:val="006B73C3"/>
    <w:rsid w:val="006C1B0C"/>
    <w:rsid w:val="006C1F40"/>
    <w:rsid w:val="006C2321"/>
    <w:rsid w:val="006C262D"/>
    <w:rsid w:val="006C390A"/>
    <w:rsid w:val="006C4DBC"/>
    <w:rsid w:val="006C501A"/>
    <w:rsid w:val="006C61BB"/>
    <w:rsid w:val="006C7041"/>
    <w:rsid w:val="006C73F9"/>
    <w:rsid w:val="006C75BE"/>
    <w:rsid w:val="006C7A9C"/>
    <w:rsid w:val="006D0B10"/>
    <w:rsid w:val="006D260C"/>
    <w:rsid w:val="006D2E5C"/>
    <w:rsid w:val="006D35BF"/>
    <w:rsid w:val="006D382A"/>
    <w:rsid w:val="006D3E6E"/>
    <w:rsid w:val="006D4081"/>
    <w:rsid w:val="006D4595"/>
    <w:rsid w:val="006D48FB"/>
    <w:rsid w:val="006D4A66"/>
    <w:rsid w:val="006D4AD0"/>
    <w:rsid w:val="006D57FC"/>
    <w:rsid w:val="006D6353"/>
    <w:rsid w:val="006D6D20"/>
    <w:rsid w:val="006D751C"/>
    <w:rsid w:val="006D75F5"/>
    <w:rsid w:val="006D776C"/>
    <w:rsid w:val="006D7DF4"/>
    <w:rsid w:val="006E0FEE"/>
    <w:rsid w:val="006E1370"/>
    <w:rsid w:val="006E1618"/>
    <w:rsid w:val="006E1C76"/>
    <w:rsid w:val="006E1CE8"/>
    <w:rsid w:val="006E4A79"/>
    <w:rsid w:val="006E5B0C"/>
    <w:rsid w:val="006F0ED7"/>
    <w:rsid w:val="006F30A3"/>
    <w:rsid w:val="006F362D"/>
    <w:rsid w:val="006F4036"/>
    <w:rsid w:val="006F4289"/>
    <w:rsid w:val="006F5F64"/>
    <w:rsid w:val="006F7391"/>
    <w:rsid w:val="006F7D69"/>
    <w:rsid w:val="006F7F5B"/>
    <w:rsid w:val="00700837"/>
    <w:rsid w:val="00702183"/>
    <w:rsid w:val="007047CE"/>
    <w:rsid w:val="007051D2"/>
    <w:rsid w:val="007057CB"/>
    <w:rsid w:val="00705CD4"/>
    <w:rsid w:val="00705E44"/>
    <w:rsid w:val="007063F9"/>
    <w:rsid w:val="0070678F"/>
    <w:rsid w:val="007068E9"/>
    <w:rsid w:val="007073D6"/>
    <w:rsid w:val="007073E0"/>
    <w:rsid w:val="0070747A"/>
    <w:rsid w:val="0071073E"/>
    <w:rsid w:val="007113B6"/>
    <w:rsid w:val="007118BB"/>
    <w:rsid w:val="00712D60"/>
    <w:rsid w:val="00713948"/>
    <w:rsid w:val="00714553"/>
    <w:rsid w:val="00715D56"/>
    <w:rsid w:val="00717810"/>
    <w:rsid w:val="007217E8"/>
    <w:rsid w:val="0072195D"/>
    <w:rsid w:val="0072308C"/>
    <w:rsid w:val="0072411B"/>
    <w:rsid w:val="00724736"/>
    <w:rsid w:val="0072620F"/>
    <w:rsid w:val="00726EAD"/>
    <w:rsid w:val="00726EE1"/>
    <w:rsid w:val="00727570"/>
    <w:rsid w:val="00727BFB"/>
    <w:rsid w:val="00733BF4"/>
    <w:rsid w:val="00733C88"/>
    <w:rsid w:val="007345D6"/>
    <w:rsid w:val="0073488F"/>
    <w:rsid w:val="00734B1F"/>
    <w:rsid w:val="00734B36"/>
    <w:rsid w:val="007363B9"/>
    <w:rsid w:val="0073673F"/>
    <w:rsid w:val="00736E6B"/>
    <w:rsid w:val="00740627"/>
    <w:rsid w:val="007408DC"/>
    <w:rsid w:val="00740FF0"/>
    <w:rsid w:val="0074249A"/>
    <w:rsid w:val="0074340E"/>
    <w:rsid w:val="00744B50"/>
    <w:rsid w:val="00745A1D"/>
    <w:rsid w:val="00745E13"/>
    <w:rsid w:val="00746F31"/>
    <w:rsid w:val="00747400"/>
    <w:rsid w:val="0074755A"/>
    <w:rsid w:val="007502DD"/>
    <w:rsid w:val="00750611"/>
    <w:rsid w:val="00750761"/>
    <w:rsid w:val="00750973"/>
    <w:rsid w:val="00751965"/>
    <w:rsid w:val="0075301D"/>
    <w:rsid w:val="00753FAA"/>
    <w:rsid w:val="00754F92"/>
    <w:rsid w:val="007555CF"/>
    <w:rsid w:val="007559AF"/>
    <w:rsid w:val="00755BBD"/>
    <w:rsid w:val="007573D1"/>
    <w:rsid w:val="0075747B"/>
    <w:rsid w:val="00762D47"/>
    <w:rsid w:val="0076399A"/>
    <w:rsid w:val="00765441"/>
    <w:rsid w:val="0076689B"/>
    <w:rsid w:val="007722D6"/>
    <w:rsid w:val="00772FF9"/>
    <w:rsid w:val="00774185"/>
    <w:rsid w:val="007762D2"/>
    <w:rsid w:val="0077694E"/>
    <w:rsid w:val="007771B0"/>
    <w:rsid w:val="007809BF"/>
    <w:rsid w:val="007819BA"/>
    <w:rsid w:val="007821A8"/>
    <w:rsid w:val="00782601"/>
    <w:rsid w:val="00786D66"/>
    <w:rsid w:val="0078750D"/>
    <w:rsid w:val="007915DB"/>
    <w:rsid w:val="00792043"/>
    <w:rsid w:val="00792149"/>
    <w:rsid w:val="00792849"/>
    <w:rsid w:val="00792B42"/>
    <w:rsid w:val="00793C24"/>
    <w:rsid w:val="00795DAB"/>
    <w:rsid w:val="00796169"/>
    <w:rsid w:val="0079709E"/>
    <w:rsid w:val="007978BE"/>
    <w:rsid w:val="0079794C"/>
    <w:rsid w:val="007A0AC2"/>
    <w:rsid w:val="007A0BF8"/>
    <w:rsid w:val="007A137A"/>
    <w:rsid w:val="007A1F64"/>
    <w:rsid w:val="007A294A"/>
    <w:rsid w:val="007A2CE9"/>
    <w:rsid w:val="007A3476"/>
    <w:rsid w:val="007A3C1B"/>
    <w:rsid w:val="007A3F1A"/>
    <w:rsid w:val="007A4314"/>
    <w:rsid w:val="007A4EF4"/>
    <w:rsid w:val="007A5EB4"/>
    <w:rsid w:val="007A6AC6"/>
    <w:rsid w:val="007A7E1F"/>
    <w:rsid w:val="007B1690"/>
    <w:rsid w:val="007B1BA6"/>
    <w:rsid w:val="007B2136"/>
    <w:rsid w:val="007B2201"/>
    <w:rsid w:val="007B22E5"/>
    <w:rsid w:val="007B2543"/>
    <w:rsid w:val="007B291B"/>
    <w:rsid w:val="007B2CDF"/>
    <w:rsid w:val="007B33B5"/>
    <w:rsid w:val="007B360B"/>
    <w:rsid w:val="007B3928"/>
    <w:rsid w:val="007B3CB1"/>
    <w:rsid w:val="007B7158"/>
    <w:rsid w:val="007B7491"/>
    <w:rsid w:val="007B7CD6"/>
    <w:rsid w:val="007C126F"/>
    <w:rsid w:val="007C1CDF"/>
    <w:rsid w:val="007C202A"/>
    <w:rsid w:val="007C214B"/>
    <w:rsid w:val="007C4267"/>
    <w:rsid w:val="007C4392"/>
    <w:rsid w:val="007C4408"/>
    <w:rsid w:val="007C50BE"/>
    <w:rsid w:val="007C5552"/>
    <w:rsid w:val="007C5583"/>
    <w:rsid w:val="007D1A1B"/>
    <w:rsid w:val="007D1A57"/>
    <w:rsid w:val="007D1FE1"/>
    <w:rsid w:val="007D23C4"/>
    <w:rsid w:val="007D37ED"/>
    <w:rsid w:val="007D427D"/>
    <w:rsid w:val="007D45A4"/>
    <w:rsid w:val="007D4E79"/>
    <w:rsid w:val="007D4FF8"/>
    <w:rsid w:val="007D500C"/>
    <w:rsid w:val="007D53AA"/>
    <w:rsid w:val="007D6405"/>
    <w:rsid w:val="007D6660"/>
    <w:rsid w:val="007D7042"/>
    <w:rsid w:val="007E0103"/>
    <w:rsid w:val="007E18B0"/>
    <w:rsid w:val="007E1D8E"/>
    <w:rsid w:val="007E1D99"/>
    <w:rsid w:val="007E27DC"/>
    <w:rsid w:val="007E4496"/>
    <w:rsid w:val="007E4C66"/>
    <w:rsid w:val="007E5D25"/>
    <w:rsid w:val="007E6034"/>
    <w:rsid w:val="007E6ADF"/>
    <w:rsid w:val="007E6C32"/>
    <w:rsid w:val="007E7EA8"/>
    <w:rsid w:val="007F01FE"/>
    <w:rsid w:val="007F0544"/>
    <w:rsid w:val="007F0F64"/>
    <w:rsid w:val="007F30BF"/>
    <w:rsid w:val="007F35B4"/>
    <w:rsid w:val="007F3B08"/>
    <w:rsid w:val="007F3D01"/>
    <w:rsid w:val="007F3DC0"/>
    <w:rsid w:val="007F43D9"/>
    <w:rsid w:val="007F7ECD"/>
    <w:rsid w:val="008008C5"/>
    <w:rsid w:val="00800F3F"/>
    <w:rsid w:val="00802168"/>
    <w:rsid w:val="0080247E"/>
    <w:rsid w:val="0080302C"/>
    <w:rsid w:val="008043B3"/>
    <w:rsid w:val="00804879"/>
    <w:rsid w:val="008051F3"/>
    <w:rsid w:val="0080575F"/>
    <w:rsid w:val="00805CD2"/>
    <w:rsid w:val="00806DB7"/>
    <w:rsid w:val="00806F78"/>
    <w:rsid w:val="00807278"/>
    <w:rsid w:val="00807519"/>
    <w:rsid w:val="00810377"/>
    <w:rsid w:val="008114BF"/>
    <w:rsid w:val="008120B2"/>
    <w:rsid w:val="008132FC"/>
    <w:rsid w:val="00813A7B"/>
    <w:rsid w:val="0081448E"/>
    <w:rsid w:val="00814997"/>
    <w:rsid w:val="00815C7D"/>
    <w:rsid w:val="008175BA"/>
    <w:rsid w:val="0082165C"/>
    <w:rsid w:val="00821A0B"/>
    <w:rsid w:val="00821E6C"/>
    <w:rsid w:val="00822EE2"/>
    <w:rsid w:val="008231EF"/>
    <w:rsid w:val="00823CC1"/>
    <w:rsid w:val="0082414E"/>
    <w:rsid w:val="00825940"/>
    <w:rsid w:val="00825FD3"/>
    <w:rsid w:val="008300FE"/>
    <w:rsid w:val="00830A7F"/>
    <w:rsid w:val="008327BA"/>
    <w:rsid w:val="00833BDD"/>
    <w:rsid w:val="008346C2"/>
    <w:rsid w:val="00834DCE"/>
    <w:rsid w:val="00835DA6"/>
    <w:rsid w:val="00835FE1"/>
    <w:rsid w:val="00836A73"/>
    <w:rsid w:val="0083776D"/>
    <w:rsid w:val="00837C16"/>
    <w:rsid w:val="00840705"/>
    <w:rsid w:val="0084076D"/>
    <w:rsid w:val="00840F1F"/>
    <w:rsid w:val="00842E1A"/>
    <w:rsid w:val="00843829"/>
    <w:rsid w:val="00843AA7"/>
    <w:rsid w:val="008440F1"/>
    <w:rsid w:val="008444E7"/>
    <w:rsid w:val="00846080"/>
    <w:rsid w:val="00846BD0"/>
    <w:rsid w:val="00846DC1"/>
    <w:rsid w:val="00847EDC"/>
    <w:rsid w:val="00850AEE"/>
    <w:rsid w:val="00851021"/>
    <w:rsid w:val="008516C8"/>
    <w:rsid w:val="00851CA7"/>
    <w:rsid w:val="00851DD4"/>
    <w:rsid w:val="008527F5"/>
    <w:rsid w:val="00852CEA"/>
    <w:rsid w:val="00855C55"/>
    <w:rsid w:val="00856DE5"/>
    <w:rsid w:val="00856E9D"/>
    <w:rsid w:val="00862278"/>
    <w:rsid w:val="00862482"/>
    <w:rsid w:val="008627B9"/>
    <w:rsid w:val="0086410B"/>
    <w:rsid w:val="0086469B"/>
    <w:rsid w:val="008651EE"/>
    <w:rsid w:val="00865B51"/>
    <w:rsid w:val="00866A16"/>
    <w:rsid w:val="0087002C"/>
    <w:rsid w:val="00871C5C"/>
    <w:rsid w:val="00871F63"/>
    <w:rsid w:val="00872587"/>
    <w:rsid w:val="00875506"/>
    <w:rsid w:val="008764C6"/>
    <w:rsid w:val="00882980"/>
    <w:rsid w:val="00883C92"/>
    <w:rsid w:val="0088418B"/>
    <w:rsid w:val="00885DFD"/>
    <w:rsid w:val="00886BE9"/>
    <w:rsid w:val="00890162"/>
    <w:rsid w:val="008912C1"/>
    <w:rsid w:val="008937DD"/>
    <w:rsid w:val="0089492D"/>
    <w:rsid w:val="0089539C"/>
    <w:rsid w:val="00896A71"/>
    <w:rsid w:val="00896F04"/>
    <w:rsid w:val="008971CA"/>
    <w:rsid w:val="008979A2"/>
    <w:rsid w:val="008A0678"/>
    <w:rsid w:val="008A07AD"/>
    <w:rsid w:val="008A07B3"/>
    <w:rsid w:val="008A2465"/>
    <w:rsid w:val="008A30E2"/>
    <w:rsid w:val="008A4DAD"/>
    <w:rsid w:val="008B101C"/>
    <w:rsid w:val="008B1698"/>
    <w:rsid w:val="008B299D"/>
    <w:rsid w:val="008B2D17"/>
    <w:rsid w:val="008B39AF"/>
    <w:rsid w:val="008B3D2A"/>
    <w:rsid w:val="008B4DCD"/>
    <w:rsid w:val="008B5118"/>
    <w:rsid w:val="008B6BAC"/>
    <w:rsid w:val="008C0A9C"/>
    <w:rsid w:val="008C3D43"/>
    <w:rsid w:val="008C4048"/>
    <w:rsid w:val="008C4233"/>
    <w:rsid w:val="008C427D"/>
    <w:rsid w:val="008C51D5"/>
    <w:rsid w:val="008C62EB"/>
    <w:rsid w:val="008C740E"/>
    <w:rsid w:val="008D26B8"/>
    <w:rsid w:val="008D2747"/>
    <w:rsid w:val="008D35BD"/>
    <w:rsid w:val="008D36F6"/>
    <w:rsid w:val="008D3D2A"/>
    <w:rsid w:val="008D3D39"/>
    <w:rsid w:val="008D443D"/>
    <w:rsid w:val="008D518D"/>
    <w:rsid w:val="008D5A06"/>
    <w:rsid w:val="008D6C12"/>
    <w:rsid w:val="008E065E"/>
    <w:rsid w:val="008E15C8"/>
    <w:rsid w:val="008E18DE"/>
    <w:rsid w:val="008E1D13"/>
    <w:rsid w:val="008E43CB"/>
    <w:rsid w:val="008E5196"/>
    <w:rsid w:val="008E635A"/>
    <w:rsid w:val="008E641C"/>
    <w:rsid w:val="008F1247"/>
    <w:rsid w:val="008F14C4"/>
    <w:rsid w:val="008F1712"/>
    <w:rsid w:val="008F1B65"/>
    <w:rsid w:val="008F2250"/>
    <w:rsid w:val="008F2561"/>
    <w:rsid w:val="008F2586"/>
    <w:rsid w:val="008F32D9"/>
    <w:rsid w:val="008F4B8E"/>
    <w:rsid w:val="00900762"/>
    <w:rsid w:val="00900AED"/>
    <w:rsid w:val="009019ED"/>
    <w:rsid w:val="00902349"/>
    <w:rsid w:val="00902C61"/>
    <w:rsid w:val="00902E63"/>
    <w:rsid w:val="00903D1A"/>
    <w:rsid w:val="00903FA3"/>
    <w:rsid w:val="00906AFC"/>
    <w:rsid w:val="009074D0"/>
    <w:rsid w:val="00907AD9"/>
    <w:rsid w:val="00907E1E"/>
    <w:rsid w:val="009103E8"/>
    <w:rsid w:val="00910418"/>
    <w:rsid w:val="00911D3D"/>
    <w:rsid w:val="00911E4F"/>
    <w:rsid w:val="00911F04"/>
    <w:rsid w:val="00912E65"/>
    <w:rsid w:val="009130B3"/>
    <w:rsid w:val="00914FD8"/>
    <w:rsid w:val="009203E1"/>
    <w:rsid w:val="00920639"/>
    <w:rsid w:val="0092225E"/>
    <w:rsid w:val="009224F4"/>
    <w:rsid w:val="009256ED"/>
    <w:rsid w:val="0092579F"/>
    <w:rsid w:val="00925A91"/>
    <w:rsid w:val="00925E55"/>
    <w:rsid w:val="0092656E"/>
    <w:rsid w:val="00926FC5"/>
    <w:rsid w:val="0093063E"/>
    <w:rsid w:val="009315AF"/>
    <w:rsid w:val="00931D75"/>
    <w:rsid w:val="009357D0"/>
    <w:rsid w:val="0093674C"/>
    <w:rsid w:val="00936CFC"/>
    <w:rsid w:val="009401AC"/>
    <w:rsid w:val="009419A6"/>
    <w:rsid w:val="00942043"/>
    <w:rsid w:val="009442EC"/>
    <w:rsid w:val="00946777"/>
    <w:rsid w:val="00947052"/>
    <w:rsid w:val="00952040"/>
    <w:rsid w:val="009525FC"/>
    <w:rsid w:val="00952F59"/>
    <w:rsid w:val="00956587"/>
    <w:rsid w:val="00957CF7"/>
    <w:rsid w:val="00957DFC"/>
    <w:rsid w:val="00962810"/>
    <w:rsid w:val="009629E4"/>
    <w:rsid w:val="00962FBC"/>
    <w:rsid w:val="00963661"/>
    <w:rsid w:val="00963E83"/>
    <w:rsid w:val="009641E2"/>
    <w:rsid w:val="0096448B"/>
    <w:rsid w:val="00965380"/>
    <w:rsid w:val="00967495"/>
    <w:rsid w:val="00972B49"/>
    <w:rsid w:val="00972F51"/>
    <w:rsid w:val="00972F75"/>
    <w:rsid w:val="00973646"/>
    <w:rsid w:val="00973AD8"/>
    <w:rsid w:val="00973B29"/>
    <w:rsid w:val="00975775"/>
    <w:rsid w:val="00976D15"/>
    <w:rsid w:val="0097703D"/>
    <w:rsid w:val="009770BD"/>
    <w:rsid w:val="0098038F"/>
    <w:rsid w:val="00982239"/>
    <w:rsid w:val="00983A87"/>
    <w:rsid w:val="00983C67"/>
    <w:rsid w:val="00985340"/>
    <w:rsid w:val="00986F02"/>
    <w:rsid w:val="009870EC"/>
    <w:rsid w:val="009872C3"/>
    <w:rsid w:val="00987478"/>
    <w:rsid w:val="00990060"/>
    <w:rsid w:val="009901AE"/>
    <w:rsid w:val="00991303"/>
    <w:rsid w:val="009918E9"/>
    <w:rsid w:val="00991A0D"/>
    <w:rsid w:val="0099310B"/>
    <w:rsid w:val="0099332F"/>
    <w:rsid w:val="009953B9"/>
    <w:rsid w:val="00996335"/>
    <w:rsid w:val="009970B1"/>
    <w:rsid w:val="0099723A"/>
    <w:rsid w:val="009977B8"/>
    <w:rsid w:val="009A0592"/>
    <w:rsid w:val="009A0C22"/>
    <w:rsid w:val="009A16E2"/>
    <w:rsid w:val="009A2CF9"/>
    <w:rsid w:val="009A4FE2"/>
    <w:rsid w:val="009A68F0"/>
    <w:rsid w:val="009A71F6"/>
    <w:rsid w:val="009B0465"/>
    <w:rsid w:val="009B0C4B"/>
    <w:rsid w:val="009B0EDE"/>
    <w:rsid w:val="009B0F12"/>
    <w:rsid w:val="009B1145"/>
    <w:rsid w:val="009B16A7"/>
    <w:rsid w:val="009B2231"/>
    <w:rsid w:val="009B4DF0"/>
    <w:rsid w:val="009B4F06"/>
    <w:rsid w:val="009B5A09"/>
    <w:rsid w:val="009B63CE"/>
    <w:rsid w:val="009B6973"/>
    <w:rsid w:val="009B7AAD"/>
    <w:rsid w:val="009B7BD1"/>
    <w:rsid w:val="009C0CDF"/>
    <w:rsid w:val="009C17C6"/>
    <w:rsid w:val="009C29D9"/>
    <w:rsid w:val="009C2A09"/>
    <w:rsid w:val="009C5775"/>
    <w:rsid w:val="009C5A74"/>
    <w:rsid w:val="009C5DBD"/>
    <w:rsid w:val="009C7A50"/>
    <w:rsid w:val="009C7AB2"/>
    <w:rsid w:val="009D03C2"/>
    <w:rsid w:val="009D1FA5"/>
    <w:rsid w:val="009D4FB1"/>
    <w:rsid w:val="009D53B1"/>
    <w:rsid w:val="009D53E3"/>
    <w:rsid w:val="009D5734"/>
    <w:rsid w:val="009D58BB"/>
    <w:rsid w:val="009E29BF"/>
    <w:rsid w:val="009E3377"/>
    <w:rsid w:val="009E4BD8"/>
    <w:rsid w:val="009E5A9B"/>
    <w:rsid w:val="009E7570"/>
    <w:rsid w:val="009F0283"/>
    <w:rsid w:val="009F0C1F"/>
    <w:rsid w:val="009F0FE1"/>
    <w:rsid w:val="009F14F6"/>
    <w:rsid w:val="009F3027"/>
    <w:rsid w:val="009F41E0"/>
    <w:rsid w:val="009F5166"/>
    <w:rsid w:val="009F5532"/>
    <w:rsid w:val="009F57B8"/>
    <w:rsid w:val="009F7557"/>
    <w:rsid w:val="00A00135"/>
    <w:rsid w:val="00A001E8"/>
    <w:rsid w:val="00A00DF2"/>
    <w:rsid w:val="00A04883"/>
    <w:rsid w:val="00A04A27"/>
    <w:rsid w:val="00A054D2"/>
    <w:rsid w:val="00A0584B"/>
    <w:rsid w:val="00A0595E"/>
    <w:rsid w:val="00A0649F"/>
    <w:rsid w:val="00A06E9B"/>
    <w:rsid w:val="00A07633"/>
    <w:rsid w:val="00A07D7B"/>
    <w:rsid w:val="00A109A8"/>
    <w:rsid w:val="00A10F28"/>
    <w:rsid w:val="00A112B6"/>
    <w:rsid w:val="00A11B5B"/>
    <w:rsid w:val="00A131EA"/>
    <w:rsid w:val="00A1360C"/>
    <w:rsid w:val="00A1390E"/>
    <w:rsid w:val="00A141F8"/>
    <w:rsid w:val="00A14B67"/>
    <w:rsid w:val="00A153A4"/>
    <w:rsid w:val="00A153E4"/>
    <w:rsid w:val="00A154CF"/>
    <w:rsid w:val="00A159B9"/>
    <w:rsid w:val="00A165B6"/>
    <w:rsid w:val="00A21399"/>
    <w:rsid w:val="00A2201C"/>
    <w:rsid w:val="00A22A07"/>
    <w:rsid w:val="00A22A79"/>
    <w:rsid w:val="00A230E2"/>
    <w:rsid w:val="00A236AD"/>
    <w:rsid w:val="00A23A67"/>
    <w:rsid w:val="00A23D75"/>
    <w:rsid w:val="00A24E15"/>
    <w:rsid w:val="00A25736"/>
    <w:rsid w:val="00A2581E"/>
    <w:rsid w:val="00A25C80"/>
    <w:rsid w:val="00A2650E"/>
    <w:rsid w:val="00A26C3A"/>
    <w:rsid w:val="00A26D06"/>
    <w:rsid w:val="00A2704D"/>
    <w:rsid w:val="00A30082"/>
    <w:rsid w:val="00A3030F"/>
    <w:rsid w:val="00A30E98"/>
    <w:rsid w:val="00A33643"/>
    <w:rsid w:val="00A342D5"/>
    <w:rsid w:val="00A34F96"/>
    <w:rsid w:val="00A36367"/>
    <w:rsid w:val="00A363B6"/>
    <w:rsid w:val="00A363FA"/>
    <w:rsid w:val="00A36649"/>
    <w:rsid w:val="00A36A02"/>
    <w:rsid w:val="00A440D1"/>
    <w:rsid w:val="00A46D48"/>
    <w:rsid w:val="00A5071E"/>
    <w:rsid w:val="00A50EA8"/>
    <w:rsid w:val="00A54649"/>
    <w:rsid w:val="00A5572B"/>
    <w:rsid w:val="00A57233"/>
    <w:rsid w:val="00A60177"/>
    <w:rsid w:val="00A60A5A"/>
    <w:rsid w:val="00A61550"/>
    <w:rsid w:val="00A61626"/>
    <w:rsid w:val="00A61729"/>
    <w:rsid w:val="00A61A00"/>
    <w:rsid w:val="00A62775"/>
    <w:rsid w:val="00A65705"/>
    <w:rsid w:val="00A657CB"/>
    <w:rsid w:val="00A65CB4"/>
    <w:rsid w:val="00A65FC5"/>
    <w:rsid w:val="00A6633E"/>
    <w:rsid w:val="00A675C4"/>
    <w:rsid w:val="00A67CDB"/>
    <w:rsid w:val="00A715DF"/>
    <w:rsid w:val="00A719D0"/>
    <w:rsid w:val="00A73BCE"/>
    <w:rsid w:val="00A746A1"/>
    <w:rsid w:val="00A74AB1"/>
    <w:rsid w:val="00A74BB5"/>
    <w:rsid w:val="00A7676C"/>
    <w:rsid w:val="00A767A7"/>
    <w:rsid w:val="00A76CD8"/>
    <w:rsid w:val="00A800A9"/>
    <w:rsid w:val="00A82B64"/>
    <w:rsid w:val="00A840E9"/>
    <w:rsid w:val="00A85019"/>
    <w:rsid w:val="00A8546C"/>
    <w:rsid w:val="00A86ABF"/>
    <w:rsid w:val="00A86E40"/>
    <w:rsid w:val="00A8773E"/>
    <w:rsid w:val="00A9030B"/>
    <w:rsid w:val="00A905C1"/>
    <w:rsid w:val="00A92D2A"/>
    <w:rsid w:val="00A931A8"/>
    <w:rsid w:val="00A93CE8"/>
    <w:rsid w:val="00A93D5A"/>
    <w:rsid w:val="00A93F0C"/>
    <w:rsid w:val="00A94167"/>
    <w:rsid w:val="00A946B8"/>
    <w:rsid w:val="00A95082"/>
    <w:rsid w:val="00A9544C"/>
    <w:rsid w:val="00A955A4"/>
    <w:rsid w:val="00A95C0C"/>
    <w:rsid w:val="00A96222"/>
    <w:rsid w:val="00A970C7"/>
    <w:rsid w:val="00AA21D1"/>
    <w:rsid w:val="00AA3236"/>
    <w:rsid w:val="00AA3A5D"/>
    <w:rsid w:val="00AA3BFC"/>
    <w:rsid w:val="00AA4374"/>
    <w:rsid w:val="00AA480A"/>
    <w:rsid w:val="00AA57E3"/>
    <w:rsid w:val="00AA7046"/>
    <w:rsid w:val="00AA7A19"/>
    <w:rsid w:val="00AA7BF6"/>
    <w:rsid w:val="00AB1D3B"/>
    <w:rsid w:val="00AB238C"/>
    <w:rsid w:val="00AB3481"/>
    <w:rsid w:val="00AB4D82"/>
    <w:rsid w:val="00AB6897"/>
    <w:rsid w:val="00AB6E93"/>
    <w:rsid w:val="00AB774F"/>
    <w:rsid w:val="00AB7B67"/>
    <w:rsid w:val="00AC06D9"/>
    <w:rsid w:val="00AC2B11"/>
    <w:rsid w:val="00AC2DEC"/>
    <w:rsid w:val="00AC449B"/>
    <w:rsid w:val="00AC4D1A"/>
    <w:rsid w:val="00AC56F9"/>
    <w:rsid w:val="00AC5BD2"/>
    <w:rsid w:val="00AD07CD"/>
    <w:rsid w:val="00AD0D0E"/>
    <w:rsid w:val="00AD0F4E"/>
    <w:rsid w:val="00AD16BA"/>
    <w:rsid w:val="00AD25C2"/>
    <w:rsid w:val="00AD2818"/>
    <w:rsid w:val="00AD2C30"/>
    <w:rsid w:val="00AD344C"/>
    <w:rsid w:val="00AD3F04"/>
    <w:rsid w:val="00AD491E"/>
    <w:rsid w:val="00AD5E0E"/>
    <w:rsid w:val="00AD7668"/>
    <w:rsid w:val="00AD7ACB"/>
    <w:rsid w:val="00AE09D8"/>
    <w:rsid w:val="00AE16F2"/>
    <w:rsid w:val="00AE1EE3"/>
    <w:rsid w:val="00AE1F74"/>
    <w:rsid w:val="00AE26F3"/>
    <w:rsid w:val="00AE27C2"/>
    <w:rsid w:val="00AE2B54"/>
    <w:rsid w:val="00AE39FA"/>
    <w:rsid w:val="00AE4A6D"/>
    <w:rsid w:val="00AE5648"/>
    <w:rsid w:val="00AF192F"/>
    <w:rsid w:val="00AF1C7A"/>
    <w:rsid w:val="00AF2DB2"/>
    <w:rsid w:val="00AF3C6B"/>
    <w:rsid w:val="00AF3DC6"/>
    <w:rsid w:val="00AF4488"/>
    <w:rsid w:val="00AF58E5"/>
    <w:rsid w:val="00AF6D58"/>
    <w:rsid w:val="00AF71B1"/>
    <w:rsid w:val="00AF7C87"/>
    <w:rsid w:val="00B0048D"/>
    <w:rsid w:val="00B0238B"/>
    <w:rsid w:val="00B02795"/>
    <w:rsid w:val="00B05131"/>
    <w:rsid w:val="00B058DA"/>
    <w:rsid w:val="00B101A2"/>
    <w:rsid w:val="00B12FE5"/>
    <w:rsid w:val="00B1458A"/>
    <w:rsid w:val="00B14806"/>
    <w:rsid w:val="00B1713D"/>
    <w:rsid w:val="00B17A29"/>
    <w:rsid w:val="00B2104F"/>
    <w:rsid w:val="00B21AC4"/>
    <w:rsid w:val="00B22CEE"/>
    <w:rsid w:val="00B2354F"/>
    <w:rsid w:val="00B2393A"/>
    <w:rsid w:val="00B24555"/>
    <w:rsid w:val="00B24F15"/>
    <w:rsid w:val="00B2622B"/>
    <w:rsid w:val="00B269F6"/>
    <w:rsid w:val="00B26AA0"/>
    <w:rsid w:val="00B314C5"/>
    <w:rsid w:val="00B32058"/>
    <w:rsid w:val="00B32160"/>
    <w:rsid w:val="00B324BC"/>
    <w:rsid w:val="00B334BC"/>
    <w:rsid w:val="00B33AF8"/>
    <w:rsid w:val="00B34A2A"/>
    <w:rsid w:val="00B34C94"/>
    <w:rsid w:val="00B367F5"/>
    <w:rsid w:val="00B37FE7"/>
    <w:rsid w:val="00B41774"/>
    <w:rsid w:val="00B4236C"/>
    <w:rsid w:val="00B4373E"/>
    <w:rsid w:val="00B463F8"/>
    <w:rsid w:val="00B4681D"/>
    <w:rsid w:val="00B4690C"/>
    <w:rsid w:val="00B51313"/>
    <w:rsid w:val="00B519FE"/>
    <w:rsid w:val="00B51FC9"/>
    <w:rsid w:val="00B52524"/>
    <w:rsid w:val="00B526C8"/>
    <w:rsid w:val="00B5283C"/>
    <w:rsid w:val="00B529A6"/>
    <w:rsid w:val="00B53692"/>
    <w:rsid w:val="00B53A9A"/>
    <w:rsid w:val="00B54828"/>
    <w:rsid w:val="00B55E4E"/>
    <w:rsid w:val="00B5657D"/>
    <w:rsid w:val="00B56691"/>
    <w:rsid w:val="00B56779"/>
    <w:rsid w:val="00B56832"/>
    <w:rsid w:val="00B5791D"/>
    <w:rsid w:val="00B60208"/>
    <w:rsid w:val="00B6033B"/>
    <w:rsid w:val="00B614ED"/>
    <w:rsid w:val="00B616AA"/>
    <w:rsid w:val="00B627EC"/>
    <w:rsid w:val="00B63318"/>
    <w:rsid w:val="00B64859"/>
    <w:rsid w:val="00B6706D"/>
    <w:rsid w:val="00B67F75"/>
    <w:rsid w:val="00B71431"/>
    <w:rsid w:val="00B739AC"/>
    <w:rsid w:val="00B744AD"/>
    <w:rsid w:val="00B755BB"/>
    <w:rsid w:val="00B7579F"/>
    <w:rsid w:val="00B764BA"/>
    <w:rsid w:val="00B802E0"/>
    <w:rsid w:val="00B8366A"/>
    <w:rsid w:val="00B8483C"/>
    <w:rsid w:val="00B85105"/>
    <w:rsid w:val="00B85413"/>
    <w:rsid w:val="00B85D54"/>
    <w:rsid w:val="00B86049"/>
    <w:rsid w:val="00B86AB4"/>
    <w:rsid w:val="00B86E7A"/>
    <w:rsid w:val="00B92621"/>
    <w:rsid w:val="00B92EF5"/>
    <w:rsid w:val="00B94D9F"/>
    <w:rsid w:val="00B94DE3"/>
    <w:rsid w:val="00B9522B"/>
    <w:rsid w:val="00BA0857"/>
    <w:rsid w:val="00BA0902"/>
    <w:rsid w:val="00BA1A05"/>
    <w:rsid w:val="00BA3A43"/>
    <w:rsid w:val="00BA4A09"/>
    <w:rsid w:val="00BA5419"/>
    <w:rsid w:val="00BA5ED2"/>
    <w:rsid w:val="00BA658D"/>
    <w:rsid w:val="00BB0766"/>
    <w:rsid w:val="00BB0AF0"/>
    <w:rsid w:val="00BB0E56"/>
    <w:rsid w:val="00BB1221"/>
    <w:rsid w:val="00BB18B5"/>
    <w:rsid w:val="00BB31E2"/>
    <w:rsid w:val="00BB32D3"/>
    <w:rsid w:val="00BB32E3"/>
    <w:rsid w:val="00BB3336"/>
    <w:rsid w:val="00BB3EB4"/>
    <w:rsid w:val="00BC15D6"/>
    <w:rsid w:val="00BC22D0"/>
    <w:rsid w:val="00BC25D0"/>
    <w:rsid w:val="00BC3882"/>
    <w:rsid w:val="00BC3A8B"/>
    <w:rsid w:val="00BC3D4C"/>
    <w:rsid w:val="00BC59B7"/>
    <w:rsid w:val="00BC6DD1"/>
    <w:rsid w:val="00BD0ED8"/>
    <w:rsid w:val="00BD19B4"/>
    <w:rsid w:val="00BD29EA"/>
    <w:rsid w:val="00BD2EEB"/>
    <w:rsid w:val="00BD2FA6"/>
    <w:rsid w:val="00BD30BA"/>
    <w:rsid w:val="00BD38B9"/>
    <w:rsid w:val="00BD39E8"/>
    <w:rsid w:val="00BD4CA0"/>
    <w:rsid w:val="00BD5A42"/>
    <w:rsid w:val="00BD5DE1"/>
    <w:rsid w:val="00BD6EC4"/>
    <w:rsid w:val="00BD7374"/>
    <w:rsid w:val="00BE0588"/>
    <w:rsid w:val="00BE0689"/>
    <w:rsid w:val="00BE0825"/>
    <w:rsid w:val="00BE2D55"/>
    <w:rsid w:val="00BE5132"/>
    <w:rsid w:val="00BE5377"/>
    <w:rsid w:val="00BE5479"/>
    <w:rsid w:val="00BF0232"/>
    <w:rsid w:val="00BF1F85"/>
    <w:rsid w:val="00BF2068"/>
    <w:rsid w:val="00BF31AB"/>
    <w:rsid w:val="00BF4B66"/>
    <w:rsid w:val="00BF4C5E"/>
    <w:rsid w:val="00BF5525"/>
    <w:rsid w:val="00BF5D0A"/>
    <w:rsid w:val="00BF63AE"/>
    <w:rsid w:val="00BF6481"/>
    <w:rsid w:val="00BF706D"/>
    <w:rsid w:val="00BF7193"/>
    <w:rsid w:val="00BF7366"/>
    <w:rsid w:val="00C0465A"/>
    <w:rsid w:val="00C046AD"/>
    <w:rsid w:val="00C0484A"/>
    <w:rsid w:val="00C04A7E"/>
    <w:rsid w:val="00C06987"/>
    <w:rsid w:val="00C06C73"/>
    <w:rsid w:val="00C06D3D"/>
    <w:rsid w:val="00C07171"/>
    <w:rsid w:val="00C072A3"/>
    <w:rsid w:val="00C1068D"/>
    <w:rsid w:val="00C110E7"/>
    <w:rsid w:val="00C13C55"/>
    <w:rsid w:val="00C16013"/>
    <w:rsid w:val="00C16890"/>
    <w:rsid w:val="00C16F41"/>
    <w:rsid w:val="00C1778A"/>
    <w:rsid w:val="00C2004F"/>
    <w:rsid w:val="00C20E62"/>
    <w:rsid w:val="00C2285F"/>
    <w:rsid w:val="00C2290D"/>
    <w:rsid w:val="00C22A57"/>
    <w:rsid w:val="00C230A3"/>
    <w:rsid w:val="00C23497"/>
    <w:rsid w:val="00C24142"/>
    <w:rsid w:val="00C244BC"/>
    <w:rsid w:val="00C25D95"/>
    <w:rsid w:val="00C272D4"/>
    <w:rsid w:val="00C2736B"/>
    <w:rsid w:val="00C278A7"/>
    <w:rsid w:val="00C27D0E"/>
    <w:rsid w:val="00C31804"/>
    <w:rsid w:val="00C32EC8"/>
    <w:rsid w:val="00C332D7"/>
    <w:rsid w:val="00C34F7D"/>
    <w:rsid w:val="00C4083E"/>
    <w:rsid w:val="00C40A11"/>
    <w:rsid w:val="00C41AC9"/>
    <w:rsid w:val="00C421EE"/>
    <w:rsid w:val="00C42E5D"/>
    <w:rsid w:val="00C4321F"/>
    <w:rsid w:val="00C43475"/>
    <w:rsid w:val="00C43486"/>
    <w:rsid w:val="00C510DC"/>
    <w:rsid w:val="00C5188E"/>
    <w:rsid w:val="00C51F46"/>
    <w:rsid w:val="00C521CB"/>
    <w:rsid w:val="00C52A6A"/>
    <w:rsid w:val="00C5322F"/>
    <w:rsid w:val="00C54A30"/>
    <w:rsid w:val="00C55420"/>
    <w:rsid w:val="00C5574F"/>
    <w:rsid w:val="00C55A17"/>
    <w:rsid w:val="00C560A8"/>
    <w:rsid w:val="00C57020"/>
    <w:rsid w:val="00C572D1"/>
    <w:rsid w:val="00C60045"/>
    <w:rsid w:val="00C60928"/>
    <w:rsid w:val="00C61B05"/>
    <w:rsid w:val="00C61C9D"/>
    <w:rsid w:val="00C6299B"/>
    <w:rsid w:val="00C63716"/>
    <w:rsid w:val="00C63F49"/>
    <w:rsid w:val="00C6435A"/>
    <w:rsid w:val="00C6472D"/>
    <w:rsid w:val="00C66545"/>
    <w:rsid w:val="00C674D7"/>
    <w:rsid w:val="00C70778"/>
    <w:rsid w:val="00C71858"/>
    <w:rsid w:val="00C72852"/>
    <w:rsid w:val="00C80296"/>
    <w:rsid w:val="00C81569"/>
    <w:rsid w:val="00C81D27"/>
    <w:rsid w:val="00C822E4"/>
    <w:rsid w:val="00C82968"/>
    <w:rsid w:val="00C82B47"/>
    <w:rsid w:val="00C83E81"/>
    <w:rsid w:val="00C85989"/>
    <w:rsid w:val="00C85992"/>
    <w:rsid w:val="00C85EFA"/>
    <w:rsid w:val="00C86263"/>
    <w:rsid w:val="00C86613"/>
    <w:rsid w:val="00C86685"/>
    <w:rsid w:val="00C87068"/>
    <w:rsid w:val="00C87AB9"/>
    <w:rsid w:val="00C90320"/>
    <w:rsid w:val="00C937A6"/>
    <w:rsid w:val="00C9513B"/>
    <w:rsid w:val="00C953A9"/>
    <w:rsid w:val="00C95834"/>
    <w:rsid w:val="00C974AD"/>
    <w:rsid w:val="00C9786D"/>
    <w:rsid w:val="00CA0810"/>
    <w:rsid w:val="00CA0B76"/>
    <w:rsid w:val="00CA1DEB"/>
    <w:rsid w:val="00CA1E63"/>
    <w:rsid w:val="00CA351D"/>
    <w:rsid w:val="00CA61E1"/>
    <w:rsid w:val="00CA66DF"/>
    <w:rsid w:val="00CA6AF3"/>
    <w:rsid w:val="00CA6EC1"/>
    <w:rsid w:val="00CB2EAF"/>
    <w:rsid w:val="00CB3125"/>
    <w:rsid w:val="00CB32B7"/>
    <w:rsid w:val="00CB4AB9"/>
    <w:rsid w:val="00CB53AE"/>
    <w:rsid w:val="00CB5BCB"/>
    <w:rsid w:val="00CB6902"/>
    <w:rsid w:val="00CB7788"/>
    <w:rsid w:val="00CC0303"/>
    <w:rsid w:val="00CC205A"/>
    <w:rsid w:val="00CC2A2F"/>
    <w:rsid w:val="00CC2B21"/>
    <w:rsid w:val="00CC4753"/>
    <w:rsid w:val="00CC47AA"/>
    <w:rsid w:val="00CC686D"/>
    <w:rsid w:val="00CC6F60"/>
    <w:rsid w:val="00CC7003"/>
    <w:rsid w:val="00CC7829"/>
    <w:rsid w:val="00CC783B"/>
    <w:rsid w:val="00CD0450"/>
    <w:rsid w:val="00CD060D"/>
    <w:rsid w:val="00CD08C7"/>
    <w:rsid w:val="00CD2AC4"/>
    <w:rsid w:val="00CD3500"/>
    <w:rsid w:val="00CD4F8B"/>
    <w:rsid w:val="00CD513C"/>
    <w:rsid w:val="00CD56F6"/>
    <w:rsid w:val="00CD59B1"/>
    <w:rsid w:val="00CD7316"/>
    <w:rsid w:val="00CE0DCE"/>
    <w:rsid w:val="00CE1671"/>
    <w:rsid w:val="00CE23A3"/>
    <w:rsid w:val="00CE3C54"/>
    <w:rsid w:val="00CE4173"/>
    <w:rsid w:val="00CE42DB"/>
    <w:rsid w:val="00CE7E4A"/>
    <w:rsid w:val="00CF07ED"/>
    <w:rsid w:val="00CF0D9D"/>
    <w:rsid w:val="00CF36CF"/>
    <w:rsid w:val="00CF3A4C"/>
    <w:rsid w:val="00CF3F21"/>
    <w:rsid w:val="00CF41B6"/>
    <w:rsid w:val="00CF4820"/>
    <w:rsid w:val="00CF58B4"/>
    <w:rsid w:val="00CF6119"/>
    <w:rsid w:val="00CF6401"/>
    <w:rsid w:val="00CF64EC"/>
    <w:rsid w:val="00CF7279"/>
    <w:rsid w:val="00D002D2"/>
    <w:rsid w:val="00D073DA"/>
    <w:rsid w:val="00D07AC2"/>
    <w:rsid w:val="00D07B6C"/>
    <w:rsid w:val="00D07E5C"/>
    <w:rsid w:val="00D104C8"/>
    <w:rsid w:val="00D10D73"/>
    <w:rsid w:val="00D11D1E"/>
    <w:rsid w:val="00D12E2B"/>
    <w:rsid w:val="00D1340E"/>
    <w:rsid w:val="00D13B6F"/>
    <w:rsid w:val="00D15708"/>
    <w:rsid w:val="00D159BD"/>
    <w:rsid w:val="00D169CC"/>
    <w:rsid w:val="00D179AA"/>
    <w:rsid w:val="00D20D32"/>
    <w:rsid w:val="00D21E9A"/>
    <w:rsid w:val="00D236F3"/>
    <w:rsid w:val="00D24451"/>
    <w:rsid w:val="00D2503E"/>
    <w:rsid w:val="00D253CF"/>
    <w:rsid w:val="00D260FA"/>
    <w:rsid w:val="00D266FE"/>
    <w:rsid w:val="00D26A85"/>
    <w:rsid w:val="00D2728C"/>
    <w:rsid w:val="00D278B7"/>
    <w:rsid w:val="00D305D1"/>
    <w:rsid w:val="00D308CD"/>
    <w:rsid w:val="00D315D2"/>
    <w:rsid w:val="00D31C17"/>
    <w:rsid w:val="00D31DFE"/>
    <w:rsid w:val="00D33A1A"/>
    <w:rsid w:val="00D35922"/>
    <w:rsid w:val="00D35A20"/>
    <w:rsid w:val="00D377E7"/>
    <w:rsid w:val="00D37F49"/>
    <w:rsid w:val="00D4082E"/>
    <w:rsid w:val="00D41C8C"/>
    <w:rsid w:val="00D42B75"/>
    <w:rsid w:val="00D437FA"/>
    <w:rsid w:val="00D44D53"/>
    <w:rsid w:val="00D45726"/>
    <w:rsid w:val="00D47176"/>
    <w:rsid w:val="00D47F1F"/>
    <w:rsid w:val="00D52203"/>
    <w:rsid w:val="00D526AA"/>
    <w:rsid w:val="00D54516"/>
    <w:rsid w:val="00D55719"/>
    <w:rsid w:val="00D57146"/>
    <w:rsid w:val="00D57CE6"/>
    <w:rsid w:val="00D57F57"/>
    <w:rsid w:val="00D618C0"/>
    <w:rsid w:val="00D61D25"/>
    <w:rsid w:val="00D63342"/>
    <w:rsid w:val="00D646B9"/>
    <w:rsid w:val="00D64D0D"/>
    <w:rsid w:val="00D6543B"/>
    <w:rsid w:val="00D658A9"/>
    <w:rsid w:val="00D65ACB"/>
    <w:rsid w:val="00D65BE3"/>
    <w:rsid w:val="00D66CFD"/>
    <w:rsid w:val="00D66D80"/>
    <w:rsid w:val="00D7089F"/>
    <w:rsid w:val="00D70AA1"/>
    <w:rsid w:val="00D71730"/>
    <w:rsid w:val="00D72AA3"/>
    <w:rsid w:val="00D74C12"/>
    <w:rsid w:val="00D768A6"/>
    <w:rsid w:val="00D76E3A"/>
    <w:rsid w:val="00D773B9"/>
    <w:rsid w:val="00D77DD7"/>
    <w:rsid w:val="00D801FC"/>
    <w:rsid w:val="00D81E83"/>
    <w:rsid w:val="00D82827"/>
    <w:rsid w:val="00D838C2"/>
    <w:rsid w:val="00D83F2E"/>
    <w:rsid w:val="00D84A38"/>
    <w:rsid w:val="00D84C15"/>
    <w:rsid w:val="00D853BC"/>
    <w:rsid w:val="00D859A7"/>
    <w:rsid w:val="00D85F2A"/>
    <w:rsid w:val="00D86BC3"/>
    <w:rsid w:val="00D87DB4"/>
    <w:rsid w:val="00D9005D"/>
    <w:rsid w:val="00D907F3"/>
    <w:rsid w:val="00D90E15"/>
    <w:rsid w:val="00D90F25"/>
    <w:rsid w:val="00D910B4"/>
    <w:rsid w:val="00D91873"/>
    <w:rsid w:val="00D9194F"/>
    <w:rsid w:val="00D91987"/>
    <w:rsid w:val="00D91C8C"/>
    <w:rsid w:val="00D93C4E"/>
    <w:rsid w:val="00D953E1"/>
    <w:rsid w:val="00D97346"/>
    <w:rsid w:val="00D97790"/>
    <w:rsid w:val="00D97FE4"/>
    <w:rsid w:val="00DA30B0"/>
    <w:rsid w:val="00DA39F5"/>
    <w:rsid w:val="00DA441E"/>
    <w:rsid w:val="00DA72D7"/>
    <w:rsid w:val="00DB0766"/>
    <w:rsid w:val="00DB3234"/>
    <w:rsid w:val="00DB34DA"/>
    <w:rsid w:val="00DB417A"/>
    <w:rsid w:val="00DB61F3"/>
    <w:rsid w:val="00DB630D"/>
    <w:rsid w:val="00DB66F1"/>
    <w:rsid w:val="00DC1B7D"/>
    <w:rsid w:val="00DC4E78"/>
    <w:rsid w:val="00DC4EF7"/>
    <w:rsid w:val="00DC530D"/>
    <w:rsid w:val="00DC54E8"/>
    <w:rsid w:val="00DC570C"/>
    <w:rsid w:val="00DC6AC3"/>
    <w:rsid w:val="00DC7B6C"/>
    <w:rsid w:val="00DC7D55"/>
    <w:rsid w:val="00DD0DF4"/>
    <w:rsid w:val="00DD0F11"/>
    <w:rsid w:val="00DD127D"/>
    <w:rsid w:val="00DD2246"/>
    <w:rsid w:val="00DD23F3"/>
    <w:rsid w:val="00DD3840"/>
    <w:rsid w:val="00DD38A2"/>
    <w:rsid w:val="00DD3E71"/>
    <w:rsid w:val="00DD3F06"/>
    <w:rsid w:val="00DD4D42"/>
    <w:rsid w:val="00DD515F"/>
    <w:rsid w:val="00DD5C12"/>
    <w:rsid w:val="00DD63A2"/>
    <w:rsid w:val="00DD6B7F"/>
    <w:rsid w:val="00DD730B"/>
    <w:rsid w:val="00DE0134"/>
    <w:rsid w:val="00DE0294"/>
    <w:rsid w:val="00DE1CBD"/>
    <w:rsid w:val="00DE1EC8"/>
    <w:rsid w:val="00DE376D"/>
    <w:rsid w:val="00DE3BEA"/>
    <w:rsid w:val="00DE64CE"/>
    <w:rsid w:val="00DF247C"/>
    <w:rsid w:val="00DF3505"/>
    <w:rsid w:val="00DF3C32"/>
    <w:rsid w:val="00DF6734"/>
    <w:rsid w:val="00DF677F"/>
    <w:rsid w:val="00E002B8"/>
    <w:rsid w:val="00E01865"/>
    <w:rsid w:val="00E021EB"/>
    <w:rsid w:val="00E022AB"/>
    <w:rsid w:val="00E025E7"/>
    <w:rsid w:val="00E02B50"/>
    <w:rsid w:val="00E02FE9"/>
    <w:rsid w:val="00E04572"/>
    <w:rsid w:val="00E04A67"/>
    <w:rsid w:val="00E06494"/>
    <w:rsid w:val="00E06F03"/>
    <w:rsid w:val="00E070B0"/>
    <w:rsid w:val="00E07F95"/>
    <w:rsid w:val="00E126F1"/>
    <w:rsid w:val="00E12E9C"/>
    <w:rsid w:val="00E13AFE"/>
    <w:rsid w:val="00E13DDE"/>
    <w:rsid w:val="00E147FB"/>
    <w:rsid w:val="00E15003"/>
    <w:rsid w:val="00E16F9D"/>
    <w:rsid w:val="00E173D3"/>
    <w:rsid w:val="00E17616"/>
    <w:rsid w:val="00E231D8"/>
    <w:rsid w:val="00E2327C"/>
    <w:rsid w:val="00E232E0"/>
    <w:rsid w:val="00E2345A"/>
    <w:rsid w:val="00E2396C"/>
    <w:rsid w:val="00E24A31"/>
    <w:rsid w:val="00E24D91"/>
    <w:rsid w:val="00E25774"/>
    <w:rsid w:val="00E25883"/>
    <w:rsid w:val="00E25BA4"/>
    <w:rsid w:val="00E274C7"/>
    <w:rsid w:val="00E277B0"/>
    <w:rsid w:val="00E27A63"/>
    <w:rsid w:val="00E3080F"/>
    <w:rsid w:val="00E32274"/>
    <w:rsid w:val="00E3265C"/>
    <w:rsid w:val="00E3286F"/>
    <w:rsid w:val="00E334B5"/>
    <w:rsid w:val="00E33DD1"/>
    <w:rsid w:val="00E34704"/>
    <w:rsid w:val="00E350BA"/>
    <w:rsid w:val="00E352A0"/>
    <w:rsid w:val="00E35ED4"/>
    <w:rsid w:val="00E364CF"/>
    <w:rsid w:val="00E40F1A"/>
    <w:rsid w:val="00E41858"/>
    <w:rsid w:val="00E4354F"/>
    <w:rsid w:val="00E43732"/>
    <w:rsid w:val="00E44634"/>
    <w:rsid w:val="00E45F3E"/>
    <w:rsid w:val="00E468D8"/>
    <w:rsid w:val="00E47904"/>
    <w:rsid w:val="00E5020A"/>
    <w:rsid w:val="00E50409"/>
    <w:rsid w:val="00E5141C"/>
    <w:rsid w:val="00E52B04"/>
    <w:rsid w:val="00E52EA2"/>
    <w:rsid w:val="00E5321E"/>
    <w:rsid w:val="00E53AB8"/>
    <w:rsid w:val="00E54EDD"/>
    <w:rsid w:val="00E54EE2"/>
    <w:rsid w:val="00E5551B"/>
    <w:rsid w:val="00E5556D"/>
    <w:rsid w:val="00E55DDF"/>
    <w:rsid w:val="00E578ED"/>
    <w:rsid w:val="00E57A6D"/>
    <w:rsid w:val="00E60A61"/>
    <w:rsid w:val="00E65009"/>
    <w:rsid w:val="00E6529E"/>
    <w:rsid w:val="00E6530B"/>
    <w:rsid w:val="00E65E65"/>
    <w:rsid w:val="00E676FE"/>
    <w:rsid w:val="00E67C76"/>
    <w:rsid w:val="00E7122C"/>
    <w:rsid w:val="00E733E6"/>
    <w:rsid w:val="00E735F4"/>
    <w:rsid w:val="00E74320"/>
    <w:rsid w:val="00E74DE9"/>
    <w:rsid w:val="00E7588E"/>
    <w:rsid w:val="00E75E6E"/>
    <w:rsid w:val="00E7678C"/>
    <w:rsid w:val="00E778A4"/>
    <w:rsid w:val="00E77CAE"/>
    <w:rsid w:val="00E801A0"/>
    <w:rsid w:val="00E81C01"/>
    <w:rsid w:val="00E81F17"/>
    <w:rsid w:val="00E82026"/>
    <w:rsid w:val="00E82BCD"/>
    <w:rsid w:val="00E84E99"/>
    <w:rsid w:val="00E8569F"/>
    <w:rsid w:val="00E86AC0"/>
    <w:rsid w:val="00E877D7"/>
    <w:rsid w:val="00E87C52"/>
    <w:rsid w:val="00E87E3C"/>
    <w:rsid w:val="00E91102"/>
    <w:rsid w:val="00E911A7"/>
    <w:rsid w:val="00E92DD5"/>
    <w:rsid w:val="00E93CF0"/>
    <w:rsid w:val="00E93D92"/>
    <w:rsid w:val="00E952B7"/>
    <w:rsid w:val="00E9585E"/>
    <w:rsid w:val="00E96273"/>
    <w:rsid w:val="00E9665C"/>
    <w:rsid w:val="00E9733E"/>
    <w:rsid w:val="00E9773B"/>
    <w:rsid w:val="00EA0383"/>
    <w:rsid w:val="00EA0448"/>
    <w:rsid w:val="00EA0646"/>
    <w:rsid w:val="00EA0DB1"/>
    <w:rsid w:val="00EA13ED"/>
    <w:rsid w:val="00EA1C48"/>
    <w:rsid w:val="00EA403C"/>
    <w:rsid w:val="00EA4855"/>
    <w:rsid w:val="00EA6B01"/>
    <w:rsid w:val="00EA6F88"/>
    <w:rsid w:val="00EA75C0"/>
    <w:rsid w:val="00EB2947"/>
    <w:rsid w:val="00EB2A43"/>
    <w:rsid w:val="00EB2FAE"/>
    <w:rsid w:val="00EB3597"/>
    <w:rsid w:val="00EB37AC"/>
    <w:rsid w:val="00EB436A"/>
    <w:rsid w:val="00EB4DC6"/>
    <w:rsid w:val="00EB4DD4"/>
    <w:rsid w:val="00EB5497"/>
    <w:rsid w:val="00EB57CA"/>
    <w:rsid w:val="00EB741A"/>
    <w:rsid w:val="00EB77E8"/>
    <w:rsid w:val="00EC0B3C"/>
    <w:rsid w:val="00EC0B60"/>
    <w:rsid w:val="00EC3194"/>
    <w:rsid w:val="00EC4524"/>
    <w:rsid w:val="00EC4668"/>
    <w:rsid w:val="00EC5751"/>
    <w:rsid w:val="00EC575B"/>
    <w:rsid w:val="00EC6166"/>
    <w:rsid w:val="00EC700D"/>
    <w:rsid w:val="00EC77FD"/>
    <w:rsid w:val="00ED0513"/>
    <w:rsid w:val="00ED058A"/>
    <w:rsid w:val="00ED1AD0"/>
    <w:rsid w:val="00ED201A"/>
    <w:rsid w:val="00ED4558"/>
    <w:rsid w:val="00ED4568"/>
    <w:rsid w:val="00ED6286"/>
    <w:rsid w:val="00ED6C3B"/>
    <w:rsid w:val="00EE13D8"/>
    <w:rsid w:val="00EE2C8D"/>
    <w:rsid w:val="00EE69BC"/>
    <w:rsid w:val="00EE70E1"/>
    <w:rsid w:val="00EF024B"/>
    <w:rsid w:val="00EF1867"/>
    <w:rsid w:val="00EF1E30"/>
    <w:rsid w:val="00EF33CB"/>
    <w:rsid w:val="00EF35B6"/>
    <w:rsid w:val="00EF64E8"/>
    <w:rsid w:val="00EF6E9F"/>
    <w:rsid w:val="00EF7282"/>
    <w:rsid w:val="00EF72DF"/>
    <w:rsid w:val="00F00783"/>
    <w:rsid w:val="00F00937"/>
    <w:rsid w:val="00F011AD"/>
    <w:rsid w:val="00F017C7"/>
    <w:rsid w:val="00F01D06"/>
    <w:rsid w:val="00F02C43"/>
    <w:rsid w:val="00F0593E"/>
    <w:rsid w:val="00F0687C"/>
    <w:rsid w:val="00F10B0D"/>
    <w:rsid w:val="00F120DE"/>
    <w:rsid w:val="00F13587"/>
    <w:rsid w:val="00F14208"/>
    <w:rsid w:val="00F1517D"/>
    <w:rsid w:val="00F15345"/>
    <w:rsid w:val="00F155F4"/>
    <w:rsid w:val="00F16A87"/>
    <w:rsid w:val="00F21DB9"/>
    <w:rsid w:val="00F2366B"/>
    <w:rsid w:val="00F237F9"/>
    <w:rsid w:val="00F24C02"/>
    <w:rsid w:val="00F253EA"/>
    <w:rsid w:val="00F27277"/>
    <w:rsid w:val="00F27373"/>
    <w:rsid w:val="00F30A94"/>
    <w:rsid w:val="00F30CCB"/>
    <w:rsid w:val="00F3129D"/>
    <w:rsid w:val="00F31FE8"/>
    <w:rsid w:val="00F326E7"/>
    <w:rsid w:val="00F32E21"/>
    <w:rsid w:val="00F33197"/>
    <w:rsid w:val="00F33239"/>
    <w:rsid w:val="00F33DBC"/>
    <w:rsid w:val="00F34E85"/>
    <w:rsid w:val="00F36CE7"/>
    <w:rsid w:val="00F37092"/>
    <w:rsid w:val="00F37BC6"/>
    <w:rsid w:val="00F40274"/>
    <w:rsid w:val="00F43840"/>
    <w:rsid w:val="00F458A6"/>
    <w:rsid w:val="00F461C5"/>
    <w:rsid w:val="00F46929"/>
    <w:rsid w:val="00F46A32"/>
    <w:rsid w:val="00F46AAC"/>
    <w:rsid w:val="00F46F09"/>
    <w:rsid w:val="00F478AA"/>
    <w:rsid w:val="00F50007"/>
    <w:rsid w:val="00F5141F"/>
    <w:rsid w:val="00F52154"/>
    <w:rsid w:val="00F529B2"/>
    <w:rsid w:val="00F53D80"/>
    <w:rsid w:val="00F5421B"/>
    <w:rsid w:val="00F548E6"/>
    <w:rsid w:val="00F55BB2"/>
    <w:rsid w:val="00F57120"/>
    <w:rsid w:val="00F609FE"/>
    <w:rsid w:val="00F60F23"/>
    <w:rsid w:val="00F61058"/>
    <w:rsid w:val="00F6185C"/>
    <w:rsid w:val="00F63066"/>
    <w:rsid w:val="00F6395E"/>
    <w:rsid w:val="00F64460"/>
    <w:rsid w:val="00F64DCF"/>
    <w:rsid w:val="00F6519D"/>
    <w:rsid w:val="00F652DC"/>
    <w:rsid w:val="00F66972"/>
    <w:rsid w:val="00F67007"/>
    <w:rsid w:val="00F67207"/>
    <w:rsid w:val="00F67E99"/>
    <w:rsid w:val="00F725CA"/>
    <w:rsid w:val="00F75022"/>
    <w:rsid w:val="00F753CC"/>
    <w:rsid w:val="00F75F03"/>
    <w:rsid w:val="00F76C6F"/>
    <w:rsid w:val="00F76F54"/>
    <w:rsid w:val="00F7705A"/>
    <w:rsid w:val="00F77395"/>
    <w:rsid w:val="00F77471"/>
    <w:rsid w:val="00F77978"/>
    <w:rsid w:val="00F8017D"/>
    <w:rsid w:val="00F80566"/>
    <w:rsid w:val="00F80684"/>
    <w:rsid w:val="00F8167E"/>
    <w:rsid w:val="00F823CA"/>
    <w:rsid w:val="00F824AF"/>
    <w:rsid w:val="00F828A5"/>
    <w:rsid w:val="00F836A7"/>
    <w:rsid w:val="00F852E3"/>
    <w:rsid w:val="00F858C5"/>
    <w:rsid w:val="00F85F77"/>
    <w:rsid w:val="00F862F6"/>
    <w:rsid w:val="00F873C9"/>
    <w:rsid w:val="00F903FB"/>
    <w:rsid w:val="00F9120F"/>
    <w:rsid w:val="00F91885"/>
    <w:rsid w:val="00F943F8"/>
    <w:rsid w:val="00F9564C"/>
    <w:rsid w:val="00F962B8"/>
    <w:rsid w:val="00F9658E"/>
    <w:rsid w:val="00F96736"/>
    <w:rsid w:val="00F973E7"/>
    <w:rsid w:val="00F97A40"/>
    <w:rsid w:val="00F97B5F"/>
    <w:rsid w:val="00F97F58"/>
    <w:rsid w:val="00F97F6D"/>
    <w:rsid w:val="00FA1291"/>
    <w:rsid w:val="00FA22C1"/>
    <w:rsid w:val="00FA2F3B"/>
    <w:rsid w:val="00FA30BB"/>
    <w:rsid w:val="00FA4F6A"/>
    <w:rsid w:val="00FA51FB"/>
    <w:rsid w:val="00FA56A0"/>
    <w:rsid w:val="00FA56A9"/>
    <w:rsid w:val="00FA59F9"/>
    <w:rsid w:val="00FA6470"/>
    <w:rsid w:val="00FA6CB4"/>
    <w:rsid w:val="00FB0223"/>
    <w:rsid w:val="00FB1064"/>
    <w:rsid w:val="00FB17B4"/>
    <w:rsid w:val="00FB2091"/>
    <w:rsid w:val="00FB37C9"/>
    <w:rsid w:val="00FB47D9"/>
    <w:rsid w:val="00FB4F69"/>
    <w:rsid w:val="00FB5F31"/>
    <w:rsid w:val="00FB6C10"/>
    <w:rsid w:val="00FC08D1"/>
    <w:rsid w:val="00FC2E46"/>
    <w:rsid w:val="00FC324A"/>
    <w:rsid w:val="00FC61BF"/>
    <w:rsid w:val="00FC6AE2"/>
    <w:rsid w:val="00FD36FB"/>
    <w:rsid w:val="00FD3755"/>
    <w:rsid w:val="00FD3F12"/>
    <w:rsid w:val="00FD6FBA"/>
    <w:rsid w:val="00FD712F"/>
    <w:rsid w:val="00FD7D7E"/>
    <w:rsid w:val="00FE0884"/>
    <w:rsid w:val="00FE0B56"/>
    <w:rsid w:val="00FE31F9"/>
    <w:rsid w:val="00FE3873"/>
    <w:rsid w:val="00FE38F8"/>
    <w:rsid w:val="00FE4A6B"/>
    <w:rsid w:val="00FE5163"/>
    <w:rsid w:val="00FF0A56"/>
    <w:rsid w:val="00FF1B8B"/>
    <w:rsid w:val="00FF26A1"/>
    <w:rsid w:val="00FF6CB0"/>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3E3A54"/>
  <w15:chartTrackingRefBased/>
  <w15:docId w15:val="{CB31151C-DD14-4CA6-9409-4F90B373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EE"/>
    <w:rPr>
      <w:rFonts w:ascii="Garamond" w:hAnsi="Garamond"/>
    </w:rPr>
  </w:style>
  <w:style w:type="paragraph" w:styleId="Heading1">
    <w:name w:val="heading 1"/>
    <w:basedOn w:val="Normal"/>
    <w:next w:val="Normal"/>
    <w:link w:val="Heading1Char"/>
    <w:uiPriority w:val="9"/>
    <w:qFormat/>
    <w:rsid w:val="00E60A61"/>
    <w:pPr>
      <w:keepNext/>
      <w:keepLines/>
      <w:spacing w:before="360" w:after="80"/>
      <w:outlineLvl w:val="0"/>
    </w:pPr>
    <w:rPr>
      <w:rFonts w:eastAsiaTheme="majorEastAsia"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2312A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3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4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A61"/>
    <w:rPr>
      <w:rFonts w:ascii="Garamond" w:eastAsiaTheme="majorEastAsia" w:hAnsi="Garamond" w:cstheme="majorBidi"/>
      <w:color w:val="0F4761" w:themeColor="accent1" w:themeShade="BF"/>
      <w:sz w:val="36"/>
      <w:szCs w:val="40"/>
    </w:rPr>
  </w:style>
  <w:style w:type="character" w:customStyle="1" w:styleId="Heading2Char">
    <w:name w:val="Heading 2 Char"/>
    <w:basedOn w:val="DefaultParagraphFont"/>
    <w:link w:val="Heading2"/>
    <w:uiPriority w:val="9"/>
    <w:rsid w:val="002312A8"/>
    <w:rPr>
      <w:rFonts w:ascii="Garamond" w:eastAsiaTheme="majorEastAsia" w:hAnsi="Garamond" w:cstheme="majorBidi"/>
      <w:color w:val="0F4761" w:themeColor="accent1" w:themeShade="BF"/>
      <w:sz w:val="32"/>
      <w:szCs w:val="32"/>
    </w:rPr>
  </w:style>
  <w:style w:type="character" w:customStyle="1" w:styleId="Heading3Char">
    <w:name w:val="Heading 3 Char"/>
    <w:basedOn w:val="DefaultParagraphFont"/>
    <w:link w:val="Heading3"/>
    <w:uiPriority w:val="9"/>
    <w:rsid w:val="00EB3597"/>
    <w:rPr>
      <w:rFonts w:ascii="Garamond" w:eastAsiaTheme="majorEastAsia" w:hAnsi="Garamond" w:cstheme="majorBidi"/>
      <w:color w:val="0F4761" w:themeColor="accent1" w:themeShade="BF"/>
      <w:sz w:val="28"/>
      <w:szCs w:val="28"/>
    </w:rPr>
  </w:style>
  <w:style w:type="character" w:customStyle="1" w:styleId="Heading4Char">
    <w:name w:val="Heading 4 Char"/>
    <w:basedOn w:val="DefaultParagraphFont"/>
    <w:link w:val="Heading4"/>
    <w:uiPriority w:val="9"/>
    <w:rsid w:val="00027101"/>
    <w:rPr>
      <w:rFonts w:ascii="Garamond" w:eastAsiaTheme="majorEastAsia" w:hAnsi="Garamond" w:cstheme="majorBidi"/>
      <w:i/>
      <w:iCs/>
      <w:color w:val="0F4761" w:themeColor="accent1" w:themeShade="BF"/>
    </w:rPr>
  </w:style>
  <w:style w:type="character" w:customStyle="1" w:styleId="Heading5Char">
    <w:name w:val="Heading 5 Char"/>
    <w:basedOn w:val="DefaultParagraphFont"/>
    <w:link w:val="Heading5"/>
    <w:uiPriority w:val="9"/>
    <w:semiHidden/>
    <w:rsid w:val="00B14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806"/>
    <w:rPr>
      <w:rFonts w:eastAsiaTheme="majorEastAsia" w:cstheme="majorBidi"/>
      <w:color w:val="272727" w:themeColor="text1" w:themeTint="D8"/>
    </w:rPr>
  </w:style>
  <w:style w:type="paragraph" w:styleId="Title">
    <w:name w:val="Title"/>
    <w:basedOn w:val="Normal"/>
    <w:next w:val="Normal"/>
    <w:link w:val="TitleChar"/>
    <w:uiPriority w:val="10"/>
    <w:qFormat/>
    <w:rsid w:val="00B14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806"/>
    <w:pPr>
      <w:spacing w:before="160"/>
      <w:jc w:val="center"/>
    </w:pPr>
    <w:rPr>
      <w:i/>
      <w:iCs/>
      <w:color w:val="404040" w:themeColor="text1" w:themeTint="BF"/>
    </w:rPr>
  </w:style>
  <w:style w:type="character" w:customStyle="1" w:styleId="QuoteChar">
    <w:name w:val="Quote Char"/>
    <w:basedOn w:val="DefaultParagraphFont"/>
    <w:link w:val="Quote"/>
    <w:uiPriority w:val="29"/>
    <w:rsid w:val="00B14806"/>
    <w:rPr>
      <w:i/>
      <w:iCs/>
      <w:color w:val="404040" w:themeColor="text1" w:themeTint="BF"/>
    </w:rPr>
  </w:style>
  <w:style w:type="paragraph" w:styleId="ListParagraph">
    <w:name w:val="List Paragraph"/>
    <w:basedOn w:val="Normal"/>
    <w:uiPriority w:val="34"/>
    <w:qFormat/>
    <w:rsid w:val="00B14806"/>
    <w:pPr>
      <w:ind w:left="720"/>
      <w:contextualSpacing/>
    </w:pPr>
  </w:style>
  <w:style w:type="character" w:styleId="IntenseEmphasis">
    <w:name w:val="Intense Emphasis"/>
    <w:basedOn w:val="DefaultParagraphFont"/>
    <w:uiPriority w:val="21"/>
    <w:qFormat/>
    <w:rsid w:val="00B14806"/>
    <w:rPr>
      <w:i/>
      <w:iCs/>
      <w:color w:val="0F4761" w:themeColor="accent1" w:themeShade="BF"/>
    </w:rPr>
  </w:style>
  <w:style w:type="paragraph" w:styleId="IntenseQuote">
    <w:name w:val="Intense Quote"/>
    <w:basedOn w:val="Normal"/>
    <w:next w:val="Normal"/>
    <w:link w:val="IntenseQuoteChar"/>
    <w:uiPriority w:val="30"/>
    <w:qFormat/>
    <w:rsid w:val="00B1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806"/>
    <w:rPr>
      <w:i/>
      <w:iCs/>
      <w:color w:val="0F4761" w:themeColor="accent1" w:themeShade="BF"/>
    </w:rPr>
  </w:style>
  <w:style w:type="character" w:styleId="IntenseReference">
    <w:name w:val="Intense Reference"/>
    <w:basedOn w:val="DefaultParagraphFont"/>
    <w:uiPriority w:val="32"/>
    <w:qFormat/>
    <w:rsid w:val="00B14806"/>
    <w:rPr>
      <w:b/>
      <w:bCs/>
      <w:smallCaps/>
      <w:color w:val="0F4761" w:themeColor="accent1" w:themeShade="BF"/>
      <w:spacing w:val="5"/>
    </w:rPr>
  </w:style>
  <w:style w:type="paragraph" w:styleId="Revision">
    <w:name w:val="Revision"/>
    <w:hidden/>
    <w:uiPriority w:val="99"/>
    <w:semiHidden/>
    <w:rsid w:val="004D6863"/>
    <w:pPr>
      <w:spacing w:after="0" w:line="240" w:lineRule="auto"/>
    </w:pPr>
    <w:rPr>
      <w:rFonts w:ascii="Garamond" w:hAnsi="Garamond"/>
    </w:rPr>
  </w:style>
  <w:style w:type="character" w:styleId="CommentReference">
    <w:name w:val="annotation reference"/>
    <w:basedOn w:val="DefaultParagraphFont"/>
    <w:uiPriority w:val="99"/>
    <w:semiHidden/>
    <w:unhideWhenUsed/>
    <w:rsid w:val="00E25774"/>
    <w:rPr>
      <w:sz w:val="16"/>
      <w:szCs w:val="16"/>
    </w:rPr>
  </w:style>
  <w:style w:type="paragraph" w:styleId="CommentText">
    <w:name w:val="annotation text"/>
    <w:basedOn w:val="Normal"/>
    <w:link w:val="CommentTextChar"/>
    <w:uiPriority w:val="99"/>
    <w:unhideWhenUsed/>
    <w:rsid w:val="00E25774"/>
    <w:pPr>
      <w:spacing w:line="240" w:lineRule="auto"/>
    </w:pPr>
    <w:rPr>
      <w:sz w:val="20"/>
      <w:szCs w:val="20"/>
    </w:rPr>
  </w:style>
  <w:style w:type="character" w:customStyle="1" w:styleId="CommentTextChar">
    <w:name w:val="Comment Text Char"/>
    <w:basedOn w:val="DefaultParagraphFont"/>
    <w:link w:val="CommentText"/>
    <w:uiPriority w:val="99"/>
    <w:rsid w:val="00E257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25774"/>
    <w:rPr>
      <w:b/>
      <w:bCs/>
    </w:rPr>
  </w:style>
  <w:style w:type="character" w:customStyle="1" w:styleId="CommentSubjectChar">
    <w:name w:val="Comment Subject Char"/>
    <w:basedOn w:val="CommentTextChar"/>
    <w:link w:val="CommentSubject"/>
    <w:uiPriority w:val="99"/>
    <w:semiHidden/>
    <w:rsid w:val="00E25774"/>
    <w:rPr>
      <w:rFonts w:ascii="Garamond" w:hAnsi="Garamond"/>
      <w:b/>
      <w:bCs/>
      <w:sz w:val="20"/>
      <w:szCs w:val="20"/>
    </w:rPr>
  </w:style>
  <w:style w:type="paragraph" w:styleId="Header">
    <w:name w:val="header"/>
    <w:basedOn w:val="Normal"/>
    <w:link w:val="HeaderChar"/>
    <w:uiPriority w:val="99"/>
    <w:unhideWhenUsed/>
    <w:rsid w:val="007D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7ED"/>
    <w:rPr>
      <w:rFonts w:ascii="Garamond" w:hAnsi="Garamond"/>
    </w:rPr>
  </w:style>
  <w:style w:type="paragraph" w:styleId="Footer">
    <w:name w:val="footer"/>
    <w:basedOn w:val="Normal"/>
    <w:link w:val="FooterChar"/>
    <w:uiPriority w:val="99"/>
    <w:unhideWhenUsed/>
    <w:rsid w:val="007D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ED"/>
    <w:rPr>
      <w:rFonts w:ascii="Garamond" w:hAnsi="Garamond"/>
    </w:rPr>
  </w:style>
  <w:style w:type="character" w:styleId="Hyperlink">
    <w:name w:val="Hyperlink"/>
    <w:basedOn w:val="DefaultParagraphFont"/>
    <w:uiPriority w:val="99"/>
    <w:unhideWhenUsed/>
    <w:rsid w:val="00A675C4"/>
    <w:rPr>
      <w:color w:val="467886" w:themeColor="hyperlink"/>
      <w:u w:val="single"/>
    </w:rPr>
  </w:style>
  <w:style w:type="character" w:customStyle="1" w:styleId="UnresolvedMention1">
    <w:name w:val="Unresolved Mention1"/>
    <w:basedOn w:val="DefaultParagraphFont"/>
    <w:uiPriority w:val="99"/>
    <w:semiHidden/>
    <w:unhideWhenUsed/>
    <w:rsid w:val="00A675C4"/>
    <w:rPr>
      <w:color w:val="605E5C"/>
      <w:shd w:val="clear" w:color="auto" w:fill="E1DFDD"/>
    </w:rPr>
  </w:style>
  <w:style w:type="paragraph" w:styleId="FootnoteText">
    <w:name w:val="footnote text"/>
    <w:basedOn w:val="Normal"/>
    <w:link w:val="FootnoteTextChar"/>
    <w:uiPriority w:val="99"/>
    <w:semiHidden/>
    <w:unhideWhenUsed/>
    <w:rsid w:val="00E25BA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25BA4"/>
    <w:rPr>
      <w:sz w:val="20"/>
      <w:szCs w:val="20"/>
    </w:rPr>
  </w:style>
  <w:style w:type="character" w:styleId="FootnoteReference">
    <w:name w:val="footnote reference"/>
    <w:basedOn w:val="DefaultParagraphFont"/>
    <w:uiPriority w:val="99"/>
    <w:semiHidden/>
    <w:unhideWhenUsed/>
    <w:rsid w:val="00E25BA4"/>
    <w:rPr>
      <w:vertAlign w:val="superscript"/>
    </w:rPr>
  </w:style>
  <w:style w:type="character" w:customStyle="1" w:styleId="c-doc-para-italic">
    <w:name w:val="c-doc-para-italic"/>
    <w:basedOn w:val="DefaultParagraphFont"/>
    <w:rsid w:val="00E25BA4"/>
  </w:style>
  <w:style w:type="character" w:styleId="FollowedHyperlink">
    <w:name w:val="FollowedHyperlink"/>
    <w:basedOn w:val="DefaultParagraphFont"/>
    <w:uiPriority w:val="99"/>
    <w:semiHidden/>
    <w:unhideWhenUsed/>
    <w:rsid w:val="00C06987"/>
    <w:rPr>
      <w:color w:val="96607D" w:themeColor="followedHyperlink"/>
      <w:u w:val="single"/>
    </w:rPr>
  </w:style>
  <w:style w:type="paragraph" w:styleId="PlainText">
    <w:name w:val="Plain Text"/>
    <w:basedOn w:val="Normal"/>
    <w:link w:val="PlainTextChar"/>
    <w:uiPriority w:val="99"/>
    <w:unhideWhenUsed/>
    <w:rsid w:val="00C83E81"/>
    <w:pPr>
      <w:spacing w:after="0" w:line="240" w:lineRule="auto"/>
    </w:pPr>
    <w:rPr>
      <w:kern w:val="0"/>
      <w:sz w:val="26"/>
      <w:szCs w:val="21"/>
      <w14:ligatures w14:val="none"/>
    </w:rPr>
  </w:style>
  <w:style w:type="character" w:customStyle="1" w:styleId="PlainTextChar">
    <w:name w:val="Plain Text Char"/>
    <w:basedOn w:val="DefaultParagraphFont"/>
    <w:link w:val="PlainText"/>
    <w:uiPriority w:val="99"/>
    <w:rsid w:val="00C83E81"/>
    <w:rPr>
      <w:rFonts w:ascii="Garamond" w:hAnsi="Garamond"/>
      <w:kern w:val="0"/>
      <w:sz w:val="26"/>
      <w:szCs w:val="21"/>
      <w14:ligatures w14:val="none"/>
    </w:rPr>
  </w:style>
  <w:style w:type="paragraph" w:styleId="NormalWeb">
    <w:name w:val="Normal (Web)"/>
    <w:basedOn w:val="Normal"/>
    <w:uiPriority w:val="99"/>
    <w:unhideWhenUsed/>
    <w:rsid w:val="005A35F3"/>
    <w:pPr>
      <w:spacing w:before="100" w:beforeAutospacing="1" w:after="100" w:afterAutospacing="1" w:line="240" w:lineRule="auto"/>
    </w:pPr>
    <w:rPr>
      <w:rFonts w:ascii="Aptos" w:hAnsi="Aptos" w:cs="Aptos"/>
      <w:kern w:val="0"/>
      <w14:ligatures w14:val="none"/>
    </w:rPr>
  </w:style>
  <w:style w:type="character" w:styleId="UnresolvedMention">
    <w:name w:val="Unresolved Mention"/>
    <w:basedOn w:val="DefaultParagraphFont"/>
    <w:uiPriority w:val="99"/>
    <w:rsid w:val="00986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tc.gov/wp-content/uploads/2025/04/draft-bundling-report-to-work-group_4-3-25.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treamlinedsalestax.org/docs/default-source/agreement/ssuta-rules/governing-board-rules-as-amended-through-5-24-23.pdf?sfvrsn=636d16f6_4" TargetMode="External"/><Relationship Id="rId3" Type="http://schemas.openxmlformats.org/officeDocument/2006/relationships/hyperlink" Target="https://www.streamlinedsalestax.org/docs/default-source/agreement/ssuta/ssuta-as-amended-through-11-7-23-with-hyperlinks-and-compiler-notes-at-end--clean.pdf?sfvrsn=dcb5bef0_4" TargetMode="External"/><Relationship Id="rId7" Type="http://schemas.openxmlformats.org/officeDocument/2006/relationships/hyperlink" Target="https://www.streamlinedsalestax.org/docs/default-source/agreement/ssuta/ssuta-as-amended-through-11-7-23-with-hyperlinks-and-compiler-notes-at-end--clean.pdf?sfvrsn=dcb5bef0_4" TargetMode="External"/><Relationship Id="rId2" Type="http://schemas.openxmlformats.org/officeDocument/2006/relationships/hyperlink" Target="https://www.mtc.gov/wp-content/uploads/2024/04/Digital-Work-Group-Notes-03-7-24.pdf" TargetMode="External"/><Relationship Id="rId1" Type="http://schemas.openxmlformats.org/officeDocument/2006/relationships/hyperlink" Target="https://www.mtc.gov/uniformity/sales-tax-on-digital-products/" TargetMode="External"/><Relationship Id="rId6" Type="http://schemas.openxmlformats.org/officeDocument/2006/relationships/hyperlink" Target="https://www.streamlinedsalestax.org/docs/default-source/agreement/ssuta/ssuta-as-amended-through-11-7-23-with-hyperlinks-and-compiler-notes-at-end--clean.pdf?sfvrsn=dcb5bef0_4" TargetMode="External"/><Relationship Id="rId11" Type="http://schemas.openxmlformats.org/officeDocument/2006/relationships/hyperlink" Target="https://www.mtc.gov/wp-content/uploads/2023/02/Digital-Goods-and-Services-Tax-Fairness-Act-2019-S765.pdf" TargetMode="External"/><Relationship Id="rId5" Type="http://schemas.openxmlformats.org/officeDocument/2006/relationships/hyperlink" Target="https://www.streamlinedsalestax.org/docs/default-source/agreement/ssuta-rules/governing-board-rules-as-amended-through-5-24-23.pdf?sfvrsn=636d16f6_4" TargetMode="External"/><Relationship Id="rId10" Type="http://schemas.openxmlformats.org/officeDocument/2006/relationships/hyperlink" Target="https://www.congress.gov/106/plaws/publ252/PLAW-106publ252.pdf" TargetMode="External"/><Relationship Id="rId4" Type="http://schemas.openxmlformats.org/officeDocument/2006/relationships/hyperlink" Target="https://www.streamlinedsalestax.org/docs/default-source/agreement/ssuta/ssuta-as-amended-through-11-7-23-with-hyperlinks-and-compiler-notes-at-end--clean.pdf?sfvrsn=dcb5bef0_4" TargetMode="External"/><Relationship Id="rId9" Type="http://schemas.openxmlformats.org/officeDocument/2006/relationships/hyperlink" Target="https://uscode.house.gov/view.xhtml?req=(title:47%20section:151%20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DEC6-F46B-489F-92D5-305FE13D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9585</Words>
  <Characters>54640</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Hecht</dc:creator>
  <cp:lastModifiedBy>Helen Hecht</cp:lastModifiedBy>
  <cp:revision>2</cp:revision>
  <dcterms:created xsi:type="dcterms:W3CDTF">2026-04-29T17:02:00Z</dcterms:created>
  <dcterms:modified xsi:type="dcterms:W3CDTF">2026-04-29T17:02:00Z</dcterms:modified>
</cp:coreProperties>
</file>