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68943" w14:textId="77777777" w:rsidR="00F60C1B" w:rsidRDefault="00F60C1B" w:rsidP="00916AA4">
      <w:pPr>
        <w:pStyle w:val="MainHeading"/>
        <w:spacing w:after="0"/>
      </w:pPr>
      <w:bookmarkStart w:id="0" w:name="_Hlk155727665"/>
    </w:p>
    <w:p w14:paraId="1A47ED96" w14:textId="799AC438" w:rsidR="00916AA4" w:rsidRDefault="00F23354" w:rsidP="00916AA4">
      <w:pPr>
        <w:pStyle w:val="MainHeading"/>
        <w:spacing w:after="0"/>
      </w:pPr>
      <w:r w:rsidRPr="00BD61E0">
        <w:t xml:space="preserve">Proposed </w:t>
      </w:r>
      <w:r w:rsidR="00A33AD9">
        <w:t xml:space="preserve">Model </w:t>
      </w:r>
      <w:r w:rsidR="00916AA4">
        <w:t xml:space="preserve">Definition of </w:t>
      </w:r>
      <w:r w:rsidR="00F30979">
        <w:t>“</w:t>
      </w:r>
      <w:r w:rsidR="00E568B4">
        <w:t xml:space="preserve">Automated </w:t>
      </w:r>
      <w:r w:rsidR="00F0129D">
        <w:t>Digital Product</w:t>
      </w:r>
      <w:r w:rsidR="00E568B4">
        <w:t>,</w:t>
      </w:r>
      <w:r w:rsidR="00F30979">
        <w:t>”</w:t>
      </w:r>
      <w:r w:rsidR="00E568B4">
        <w:t xml:space="preserve"> </w:t>
      </w:r>
    </w:p>
    <w:p w14:paraId="7977888D" w14:textId="2932BB4B" w:rsidR="0027141F" w:rsidRPr="00BD61E0" w:rsidRDefault="00E568B4" w:rsidP="00916AA4">
      <w:pPr>
        <w:pStyle w:val="MainHeading"/>
      </w:pPr>
      <w:r>
        <w:t>Regulations,</w:t>
      </w:r>
      <w:r w:rsidR="00352E61">
        <w:t xml:space="preserve"> and Related Exemption</w:t>
      </w:r>
    </w:p>
    <w:p w14:paraId="553694CC" w14:textId="39CA4565" w:rsidR="00E568B4" w:rsidRPr="00931B15" w:rsidRDefault="00E568B4" w:rsidP="00BD61E0">
      <w:pPr>
        <w:rPr>
          <w:b/>
          <w:bCs/>
        </w:rPr>
      </w:pPr>
      <w:r w:rsidRPr="00931B15">
        <w:rPr>
          <w:b/>
          <w:bCs/>
        </w:rPr>
        <w:t>Drafter’s Notes:</w:t>
      </w:r>
    </w:p>
    <w:p w14:paraId="18AF82FE" w14:textId="5CF80F42" w:rsidR="002518B5" w:rsidRDefault="002518B5" w:rsidP="002518B5">
      <w:pPr>
        <w:ind w:firstLine="720"/>
      </w:pPr>
      <w:r>
        <w:t>The statutory definition</w:t>
      </w:r>
      <w:r w:rsidR="00EF3AF9">
        <w:t>s</w:t>
      </w:r>
      <w:r>
        <w:t xml:space="preserve"> of </w:t>
      </w:r>
      <w:r w:rsidR="00293667">
        <w:t xml:space="preserve">“automated digital product,” </w:t>
      </w:r>
      <w:r w:rsidR="001270CF">
        <w:t>“digital asset,”</w:t>
      </w:r>
      <w:r w:rsidR="00293667">
        <w:t xml:space="preserve"> and</w:t>
      </w:r>
      <w:r w:rsidR="001270CF">
        <w:t xml:space="preserve"> “digital product”</w:t>
      </w:r>
      <w:r w:rsidR="00EF3AF9">
        <w:t xml:space="preserve"> are</w:t>
      </w:r>
      <w:r>
        <w:t xml:space="preserve"> intended to be added to existing statutory sales tax definitions.  The definition</w:t>
      </w:r>
      <w:r w:rsidR="00293667">
        <w:t xml:space="preserve">s </w:t>
      </w:r>
      <w:r w:rsidR="00992052">
        <w:t>should b</w:t>
      </w:r>
      <w:r>
        <w:t xml:space="preserve">e </w:t>
      </w:r>
      <w:r w:rsidR="00992052">
        <w:t>implemented</w:t>
      </w:r>
      <w:r>
        <w:t xml:space="preserve"> by an amendment to the existing sales tax imposition statute, such that “automated digital products” are included in the sales tax base with other taxable items. </w:t>
      </w:r>
      <w:r w:rsidR="00B548C2">
        <w:t xml:space="preserve">The </w:t>
      </w:r>
      <w:r w:rsidR="00992052">
        <w:t xml:space="preserve">exemption for business use should also be added to the statute because the exemption </w:t>
      </w:r>
      <w:r w:rsidR="00B548C2" w:rsidRPr="00B548C2">
        <w:t xml:space="preserve">eliminates the taxation of </w:t>
      </w:r>
      <w:r w:rsidR="00B548C2">
        <w:t xml:space="preserve">automated digital products </w:t>
      </w:r>
      <w:r w:rsidR="00B548C2" w:rsidRPr="00B548C2">
        <w:t>traditionally treated as nontaxable intangible rights, such as digital publishing or performing rights.</w:t>
      </w:r>
    </w:p>
    <w:p w14:paraId="17F6A155" w14:textId="77777777" w:rsidR="00167807" w:rsidRDefault="00167807" w:rsidP="00167807">
      <w:pPr>
        <w:pStyle w:val="BodyText1"/>
      </w:pPr>
      <w:r>
        <w:t xml:space="preserve">The model definition is not intended to be a “uniform” definition appropriate for every state sales tax scheme.  Rather, the definition is a model to be used by states that tax most </w:t>
      </w:r>
      <w:r w:rsidRPr="00DE560F">
        <w:t>tangible personal property</w:t>
      </w:r>
      <w:r>
        <w:t>, but tax only a limited number of services</w:t>
      </w:r>
      <w:r w:rsidRPr="00DE560F">
        <w:t xml:space="preserve">.  The model </w:t>
      </w:r>
      <w:r>
        <w:t xml:space="preserve">would </w:t>
      </w:r>
      <w:r w:rsidRPr="00DE560F">
        <w:t xml:space="preserve">expand the tax base to </w:t>
      </w:r>
      <w:r>
        <w:t xml:space="preserve">include </w:t>
      </w:r>
      <w:r w:rsidRPr="00DE560F">
        <w:t>digital products</w:t>
      </w:r>
      <w:r>
        <w:t xml:space="preserve"> that might be otherwise be nontaxable “services,” but</w:t>
      </w:r>
      <w:r w:rsidRPr="00DE560F">
        <w:t xml:space="preserve"> the </w:t>
      </w:r>
      <w:r w:rsidRPr="00CF631A">
        <w:rPr>
          <w:i/>
          <w:iCs/>
        </w:rPr>
        <w:t>human</w:t>
      </w:r>
      <w:r w:rsidRPr="00DE560F">
        <w:t xml:space="preserve"> service component is minimal.</w:t>
      </w:r>
      <w:r>
        <w:t xml:space="preserve">  The tax on automated digital product could be further narrowed by taxing only specific types of automated digital products, or by excluding specific types of automated digital products. The model would not prevent a state from also taxing digital products that are not automated.</w:t>
      </w:r>
    </w:p>
    <w:p w14:paraId="6486062B" w14:textId="014D13C7" w:rsidR="002A746B" w:rsidRPr="00D27AFF" w:rsidRDefault="002A746B" w:rsidP="002A746B">
      <w:pPr>
        <w:ind w:firstLine="720"/>
      </w:pPr>
      <w:r w:rsidRPr="00D27AFF">
        <w:t>Section 332</w:t>
      </w:r>
      <w:r w:rsidR="004A14EC" w:rsidRPr="00D27AFF">
        <w:t>(</w:t>
      </w:r>
      <w:r w:rsidRPr="00D27AFF">
        <w:t>D</w:t>
      </w:r>
      <w:r w:rsidR="004A14EC" w:rsidRPr="00D27AFF">
        <w:t>)(4)</w:t>
      </w:r>
      <w:r w:rsidRPr="00D27AFF">
        <w:t xml:space="preserve"> of the Streamlined Sales Tax Agreement provides: “A member state which imposes a sales or use tax on the sale of a product ‘transferred electronically’ to a person other than end user or on a sale with the right of less than permanent use granted by the seller or which is conditioned upon continued payment from the purchaser shall so indicate in its taxability matrix in a format approved by the Governing Board</w:t>
      </w:r>
      <w:r w:rsidR="004A14EC" w:rsidRPr="00D27AFF">
        <w:t>.</w:t>
      </w:r>
      <w:r w:rsidRPr="00D27AFF">
        <w:t>”</w:t>
      </w:r>
      <w:r w:rsidR="004A14EC" w:rsidRPr="00D27AFF">
        <w:t xml:space="preserve">  Because some automated digital products may be transferred electronically, compliance with this provision may be required for comprehensive application in member states.</w:t>
      </w:r>
    </w:p>
    <w:p w14:paraId="5A300A73" w14:textId="28905E73" w:rsidR="00587CE8" w:rsidRDefault="00587CE8" w:rsidP="008F26C9">
      <w:pPr>
        <w:pStyle w:val="BodyText1"/>
      </w:pPr>
      <w:r>
        <w:lastRenderedPageBreak/>
        <w:t xml:space="preserve">In some instances, the definition </w:t>
      </w:r>
      <w:r w:rsidR="00293667">
        <w:t xml:space="preserve">of “automated digital product” </w:t>
      </w:r>
      <w:r>
        <w:t>may overlap with existing definitions of other taxable products that have a different tax rate, such as communication or telecommunication services.  In those instances, language should be added to exclude the other products from the definition.</w:t>
      </w:r>
    </w:p>
    <w:p w14:paraId="3C802963" w14:textId="2CF6E832" w:rsidR="006D3754" w:rsidRDefault="006D3754" w:rsidP="008F26C9">
      <w:pPr>
        <w:ind w:firstLine="720"/>
      </w:pPr>
      <w:r>
        <w:t xml:space="preserve">The </w:t>
      </w:r>
      <w:r w:rsidR="00293667">
        <w:t xml:space="preserve">model </w:t>
      </w:r>
      <w:r>
        <w:t xml:space="preserve">rules facilitate the determination of whether a product is an “automated digital product.”  The text could be incorporated into the statute </w:t>
      </w:r>
      <w:r w:rsidR="001042AC">
        <w:t>itself</w:t>
      </w:r>
      <w:r>
        <w:t xml:space="preserve">, but the level of detail is typically incorporated into rules, </w:t>
      </w:r>
      <w:r w:rsidR="001042AC">
        <w:t>as is done with the</w:t>
      </w:r>
      <w:r>
        <w:t xml:space="preserve"> detailed descriptions of the “specified digital products” </w:t>
      </w:r>
      <w:r w:rsidR="001042AC">
        <w:t xml:space="preserve">that are </w:t>
      </w:r>
      <w:r>
        <w:t>incorporated into the rules of the Streamlined Sales Tax Agreement.</w:t>
      </w:r>
    </w:p>
    <w:p w14:paraId="67C9B9D0" w14:textId="5182013F" w:rsidR="00E55989" w:rsidRDefault="00E57F01" w:rsidP="008F26C9">
      <w:pPr>
        <w:ind w:firstLine="720"/>
      </w:pPr>
      <w:r>
        <w:t>E</w:t>
      </w:r>
      <w:r w:rsidR="00A24090">
        <w:t>xisting bundling and sourcing provisions should be reviewed and revised</w:t>
      </w:r>
      <w:r w:rsidR="00E55989">
        <w:t xml:space="preserve"> </w:t>
      </w:r>
      <w:r w:rsidR="00A24090">
        <w:t xml:space="preserve">if necessary to accommodate the addition of “automated digital products” to the tax base.  </w:t>
      </w:r>
    </w:p>
    <w:p w14:paraId="77A445B1" w14:textId="5C63E808" w:rsidR="00346668" w:rsidRDefault="00E55989" w:rsidP="00346668">
      <w:pPr>
        <w:ind w:firstLine="720"/>
      </w:pPr>
      <w:r>
        <w:t>E</w:t>
      </w:r>
      <w:r w:rsidR="00A24090">
        <w:t xml:space="preserve">xisting exemptions </w:t>
      </w:r>
      <w:r w:rsidR="00A1670F">
        <w:t xml:space="preserve">and exemption procedures </w:t>
      </w:r>
      <w:r w:rsidR="00A24090">
        <w:t>should be reviewed to determine applicability.</w:t>
      </w:r>
      <w:r>
        <w:t xml:space="preserve">  </w:t>
      </w:r>
      <w:r w:rsidR="00346668">
        <w:t>If a state has other exemptions that are limited to tangible personal property or taxable services, the state should consider expanding the exemptions to explicitly cover automated digital products.</w:t>
      </w:r>
    </w:p>
    <w:p w14:paraId="13878B22" w14:textId="4F3F990B" w:rsidR="00352E61" w:rsidRPr="00931B15" w:rsidRDefault="001042AC" w:rsidP="00916AA4">
      <w:pPr>
        <w:keepNext/>
        <w:rPr>
          <w:b/>
          <w:bCs/>
        </w:rPr>
      </w:pPr>
      <w:r w:rsidRPr="00931B15">
        <w:rPr>
          <w:b/>
          <w:bCs/>
        </w:rPr>
        <w:t>Model Statutes:</w:t>
      </w:r>
    </w:p>
    <w:p w14:paraId="1443FE86" w14:textId="6EC27CD4" w:rsidR="000201A1" w:rsidRPr="000201A1" w:rsidRDefault="000C6027" w:rsidP="000201A1">
      <w:r w:rsidRPr="00897FF9">
        <w:t xml:space="preserve">Definition: </w:t>
      </w:r>
      <w:r w:rsidR="00A95C62" w:rsidRPr="00897FF9">
        <w:t xml:space="preserve">“Automated digital product” - </w:t>
      </w:r>
      <w:r w:rsidR="000201A1" w:rsidRPr="000201A1">
        <w:t xml:space="preserve">a digital product that </w:t>
      </w:r>
      <w:r w:rsidR="00EE6C7B">
        <w:t>can be</w:t>
      </w:r>
      <w:r w:rsidR="000201A1" w:rsidRPr="000201A1">
        <w:t xml:space="preserve"> provided to</w:t>
      </w:r>
      <w:r w:rsidR="00EE6C7B">
        <w:t xml:space="preserve"> multiple</w:t>
      </w:r>
      <w:r w:rsidR="000201A1" w:rsidRPr="000201A1">
        <w:t xml:space="preserve"> customers in the same or substantially similar form with minimal human intervention. </w:t>
      </w:r>
    </w:p>
    <w:p w14:paraId="660C8908" w14:textId="1460FB6B" w:rsidR="00EF3AF9" w:rsidRPr="00897FF9" w:rsidRDefault="00EF3AF9" w:rsidP="00EF3AF9">
      <w:r w:rsidRPr="00897FF9">
        <w:t xml:space="preserve">Definition: “Digital asset” - a digital representation of value </w:t>
      </w:r>
      <w:r w:rsidR="001270CF" w:rsidRPr="00897FF9">
        <w:t>that</w:t>
      </w:r>
      <w:r w:rsidRPr="00897FF9">
        <w:t xml:space="preserve"> is recorded on a cryptographically secured distributed ledger or any similar technology.</w:t>
      </w:r>
    </w:p>
    <w:p w14:paraId="7E32EBC0" w14:textId="77CA2A0E" w:rsidR="00FC3291" w:rsidRPr="00897FF9" w:rsidRDefault="00FC3291" w:rsidP="00FC3291">
      <w:r w:rsidRPr="00897FF9">
        <w:t>Definition:  “Digital product” – an item that is provided in a binary format</w:t>
      </w:r>
      <w:r w:rsidR="00293667" w:rsidRPr="00897FF9">
        <w:t>, or other computer-readable format that may be devised</w:t>
      </w:r>
      <w:r w:rsidRPr="00897FF9">
        <w:t>. The term does not include a digital asset unless the digital asset represents an economic, proprietary, or access right in another taxable item.</w:t>
      </w:r>
    </w:p>
    <w:p w14:paraId="45B5B55D" w14:textId="554A7AB9" w:rsidR="005F4E83" w:rsidRDefault="00992052" w:rsidP="001042AC">
      <w:r>
        <w:t xml:space="preserve">Related </w:t>
      </w:r>
      <w:r w:rsidR="005F4E83">
        <w:t xml:space="preserve">Exemption:  </w:t>
      </w:r>
      <w:bookmarkStart w:id="1" w:name="_Hlk193630927"/>
      <w:r w:rsidR="005F4E83">
        <w:t xml:space="preserve">A product is exempt from taxation as an automated digital product if </w:t>
      </w:r>
      <w:r w:rsidR="007411E7">
        <w:t>the product</w:t>
      </w:r>
      <w:r w:rsidR="005F4E83">
        <w:t xml:space="preserve"> </w:t>
      </w:r>
      <w:bookmarkStart w:id="2" w:name="_Hlk192145930"/>
      <w:r w:rsidR="007411E7">
        <w:t>will be used pr</w:t>
      </w:r>
      <w:r w:rsidR="00704292">
        <w:t>edominantly</w:t>
      </w:r>
      <w:r w:rsidR="007411E7">
        <w:t xml:space="preserve"> </w:t>
      </w:r>
      <w:r w:rsidR="005E2D16">
        <w:t>for</w:t>
      </w:r>
      <w:r w:rsidR="007411E7">
        <w:t xml:space="preserve"> a </w:t>
      </w:r>
      <w:r w:rsidR="00812BD4">
        <w:t xml:space="preserve">trade or </w:t>
      </w:r>
      <w:r w:rsidR="007411E7">
        <w:t>business</w:t>
      </w:r>
      <w:bookmarkEnd w:id="2"/>
      <w:r w:rsidR="005F4E83">
        <w:t>.</w:t>
      </w:r>
      <w:bookmarkEnd w:id="1"/>
      <w:r w:rsidR="00657005">
        <w:t xml:space="preserve"> </w:t>
      </w:r>
    </w:p>
    <w:p w14:paraId="35460E74" w14:textId="3B67B9A3" w:rsidR="001042AC" w:rsidRPr="00931B15" w:rsidRDefault="001042AC" w:rsidP="00B548C2">
      <w:pPr>
        <w:keepNext/>
        <w:rPr>
          <w:b/>
          <w:bCs/>
        </w:rPr>
      </w:pPr>
      <w:r w:rsidRPr="00931B15">
        <w:rPr>
          <w:b/>
          <w:bCs/>
        </w:rPr>
        <w:lastRenderedPageBreak/>
        <w:t>Model Rules:</w:t>
      </w:r>
    </w:p>
    <w:p w14:paraId="7451E22D" w14:textId="1C9D6B9D" w:rsidR="002338E9" w:rsidRDefault="00A24090" w:rsidP="001042AC">
      <w:r>
        <w:t>1.</w:t>
      </w:r>
      <w:r>
        <w:tab/>
      </w:r>
      <w:r w:rsidR="002338E9" w:rsidRPr="002338E9">
        <w:t xml:space="preserve">In determining whether a </w:t>
      </w:r>
      <w:r w:rsidR="002338E9">
        <w:t>product</w:t>
      </w:r>
      <w:r w:rsidR="002338E9" w:rsidRPr="002338E9">
        <w:t xml:space="preserve"> requires minimal human in</w:t>
      </w:r>
      <w:r w:rsidR="005215D0">
        <w:t>tervention</w:t>
      </w:r>
      <w:r w:rsidR="00C054B2">
        <w:t>,</w:t>
      </w:r>
      <w:r w:rsidR="002338E9" w:rsidRPr="002338E9">
        <w:t xml:space="preserve"> the </w:t>
      </w:r>
      <w:r w:rsidR="00614CCB">
        <w:t>definition</w:t>
      </w:r>
      <w:r w:rsidR="002338E9" w:rsidRPr="002338E9">
        <w:t xml:space="preserve"> only looks to the supplier</w:t>
      </w:r>
      <w:r w:rsidR="002338E9">
        <w:t xml:space="preserve"> of the </w:t>
      </w:r>
      <w:r w:rsidR="00EF3FE3">
        <w:t>product</w:t>
      </w:r>
      <w:r w:rsidR="002338E9">
        <w:t xml:space="preserve">, without regard to any human </w:t>
      </w:r>
      <w:r w:rsidR="00D25E69">
        <w:t>intervention</w:t>
      </w:r>
      <w:r w:rsidR="002338E9">
        <w:t xml:space="preserve"> on the side of the user (e.g.</w:t>
      </w:r>
      <w:r w:rsidR="00AC6855">
        <w:t>,</w:t>
      </w:r>
      <w:r w:rsidR="002338E9">
        <w:t xml:space="preserve"> where the user may input certain parameters into an automated system to obtain a customized result). Furthermore, the definition focuses on the </w:t>
      </w:r>
      <w:r w:rsidR="0040108C">
        <w:t xml:space="preserve">human </w:t>
      </w:r>
      <w:r w:rsidR="00441D0D">
        <w:t>effort to pro</w:t>
      </w:r>
      <w:r w:rsidR="00A131EF">
        <w:t>vide</w:t>
      </w:r>
      <w:r w:rsidR="00441D0D">
        <w:t xml:space="preserve"> </w:t>
      </w:r>
      <w:r w:rsidR="002338E9">
        <w:t xml:space="preserve">the </w:t>
      </w:r>
      <w:r w:rsidR="00F63BD1">
        <w:t>product</w:t>
      </w:r>
      <w:r w:rsidR="002338E9">
        <w:t xml:space="preserve"> and therefore does not include human </w:t>
      </w:r>
      <w:r w:rsidR="005215D0">
        <w:t>effort</w:t>
      </w:r>
      <w:r w:rsidR="002338E9">
        <w:t xml:space="preserve"> in creating or supporting the system</w:t>
      </w:r>
      <w:r w:rsidR="00E53B2D">
        <w:t xml:space="preserve"> by which the </w:t>
      </w:r>
      <w:r w:rsidR="00887B6B">
        <w:t>item</w:t>
      </w:r>
      <w:r w:rsidR="00E53B2D">
        <w:t xml:space="preserve"> is provided</w:t>
      </w:r>
      <w:r w:rsidR="002338E9">
        <w:t xml:space="preserve">, such as setting up the system environment needed for the provision of the </w:t>
      </w:r>
      <w:r w:rsidR="00F63BD1">
        <w:t>product</w:t>
      </w:r>
      <w:r w:rsidR="002338E9">
        <w:t xml:space="preserve">, maintaining and updating the system environment, dealing with system errors, or making other generic, non-specific adjustments unrelated to individual user requests. Finally, the threshold of minimal human </w:t>
      </w:r>
      <w:r w:rsidR="00D25E69">
        <w:t>intervention</w:t>
      </w:r>
      <w:r w:rsidR="002338E9">
        <w:t xml:space="preserve"> would not be crossed where the provision of the </w:t>
      </w:r>
      <w:r w:rsidR="0081107A">
        <w:t xml:space="preserve">same or similar </w:t>
      </w:r>
      <w:r w:rsidR="00A131EF">
        <w:t>product</w:t>
      </w:r>
      <w:r w:rsidR="00887B6B">
        <w:t xml:space="preserve"> </w:t>
      </w:r>
      <w:r w:rsidR="002338E9">
        <w:t xml:space="preserve">to new users </w:t>
      </w:r>
      <w:r w:rsidR="00887B6B">
        <w:t xml:space="preserve">generally requires </w:t>
      </w:r>
      <w:r w:rsidR="002338E9">
        <w:t>very limited human response to individual user requests / input or where in individual cases involving particular, more complex problems, the program running the system direct</w:t>
      </w:r>
      <w:r w:rsidR="00C054B2">
        <w:t>s</w:t>
      </w:r>
      <w:r w:rsidR="002338E9">
        <w:t xml:space="preserve"> the customer to a staff member.</w:t>
      </w:r>
    </w:p>
    <w:p w14:paraId="49AF644B" w14:textId="196921BD" w:rsidR="000D571D" w:rsidRDefault="00812BD4" w:rsidP="008F26C9">
      <w:pPr>
        <w:pStyle w:val="Heading4"/>
        <w:numPr>
          <w:ilvl w:val="0"/>
          <w:numId w:val="0"/>
        </w:numPr>
        <w:spacing w:after="240" w:line="240" w:lineRule="auto"/>
        <w:ind w:left="720"/>
      </w:pPr>
      <w:r>
        <w:t>Source</w:t>
      </w:r>
      <w:r w:rsidR="00385218">
        <w:t xml:space="preserve"> - </w:t>
      </w:r>
      <w:r w:rsidR="000D571D">
        <w:t xml:space="preserve">The text is based on </w:t>
      </w:r>
      <w:hyperlink r:id="rId8" w:history="1">
        <w:r w:rsidR="000D571D" w:rsidRPr="005E7B5B">
          <w:rPr>
            <w:rStyle w:val="Hyperlink"/>
          </w:rPr>
          <w:t>United Nations Model Double Taxation Convention Between Developed and Developing Countries</w:t>
        </w:r>
      </w:hyperlink>
      <w:r w:rsidR="000D571D">
        <w:t xml:space="preserve"> (2021) </w:t>
      </w:r>
      <w:r w:rsidR="005E7B5B">
        <w:t xml:space="preserve">Commentary on Article 12B </w:t>
      </w:r>
      <w:r w:rsidR="000D571D">
        <w:t>¶ 5</w:t>
      </w:r>
      <w:r w:rsidR="001F5ABD">
        <w:t>3</w:t>
      </w:r>
      <w:r w:rsidR="000D571D">
        <w:t xml:space="preserve"> and </w:t>
      </w:r>
      <w:hyperlink r:id="rId9" w:history="1">
        <w:r w:rsidR="00DC6A4F" w:rsidRPr="002719D4">
          <w:rPr>
            <w:rStyle w:val="Hyperlink"/>
          </w:rPr>
          <w:t xml:space="preserve">OECD, “Tax Challenges Arising from </w:t>
        </w:r>
        <w:proofErr w:type="spellStart"/>
        <w:r w:rsidR="00DC6A4F" w:rsidRPr="002719D4">
          <w:rPr>
            <w:rStyle w:val="Hyperlink"/>
          </w:rPr>
          <w:t>Digitalisation</w:t>
        </w:r>
        <w:proofErr w:type="spellEnd"/>
        <w:r w:rsidR="00DC6A4F" w:rsidRPr="002719D4">
          <w:rPr>
            <w:rStyle w:val="Hyperlink"/>
          </w:rPr>
          <w:t xml:space="preserve"> – Report on Pillar One Blueprint: Inclusive Framework on BEPS”</w:t>
        </w:r>
      </w:hyperlink>
      <w:r w:rsidR="00DC6A4F">
        <w:t xml:space="preserve"> </w:t>
      </w:r>
      <w:r w:rsidR="000D571D">
        <w:t>Box 2.2.</w:t>
      </w:r>
    </w:p>
    <w:p w14:paraId="4CE83D03" w14:textId="335C7A4D" w:rsidR="002E1FF5" w:rsidRDefault="00A24090" w:rsidP="001042AC">
      <w:r>
        <w:t>2.</w:t>
      </w:r>
      <w:r>
        <w:tab/>
      </w:r>
      <w:r w:rsidR="002E1FF5">
        <w:t>A</w:t>
      </w:r>
      <w:r w:rsidR="00C054B2">
        <w:t>n indicator</w:t>
      </w:r>
      <w:r w:rsidR="002E1FF5">
        <w:t xml:space="preserve"> of </w:t>
      </w:r>
      <w:r w:rsidR="00C054B2">
        <w:t>an</w:t>
      </w:r>
      <w:r w:rsidR="002E1FF5">
        <w:t xml:space="preserve"> “automated</w:t>
      </w:r>
      <w:r w:rsidR="00C054B2">
        <w:t xml:space="preserve"> digital product</w:t>
      </w:r>
      <w:r w:rsidR="002E1FF5">
        <w:t>”</w:t>
      </w:r>
      <w:r w:rsidR="005215D0">
        <w:t xml:space="preserve"> is</w:t>
      </w:r>
      <w:r w:rsidR="002E1FF5">
        <w:t xml:space="preserve"> the ability to scale up and provide the same type of </w:t>
      </w:r>
      <w:r w:rsidR="00F63BD1">
        <w:t>product</w:t>
      </w:r>
      <w:r w:rsidR="002E1FF5">
        <w:t xml:space="preserve"> to new users with minimal human </w:t>
      </w:r>
      <w:r w:rsidR="00D25E69">
        <w:t>intervention</w:t>
      </w:r>
      <w:r w:rsidR="002E1FF5">
        <w:t xml:space="preserve">. This </w:t>
      </w:r>
      <w:r w:rsidR="005215D0">
        <w:t>aspect</w:t>
      </w:r>
      <w:r w:rsidR="002E1FF5">
        <w:t xml:space="preserve"> aims to identify products that benefit from significant economies of scale, rather than to suggest that there is no human </w:t>
      </w:r>
      <w:r w:rsidR="00035D9B">
        <w:t>involvement</w:t>
      </w:r>
      <w:r w:rsidR="002E1FF5">
        <w:t xml:space="preserve"> required</w:t>
      </w:r>
      <w:r w:rsidR="00E53B2D">
        <w:t xml:space="preserve"> </w:t>
      </w:r>
      <w:r w:rsidR="00035D9B">
        <w:t>in the business</w:t>
      </w:r>
      <w:r w:rsidR="002E1FF5">
        <w:t xml:space="preserve">. For many businesses with automated digital products, developing the system that delivers the </w:t>
      </w:r>
      <w:r w:rsidR="00F63BD1">
        <w:t>product</w:t>
      </w:r>
      <w:r w:rsidR="002E1FF5">
        <w:t xml:space="preserve"> may require a large degree of upfront human </w:t>
      </w:r>
      <w:r w:rsidR="005215D0">
        <w:t>effort</w:t>
      </w:r>
      <w:r w:rsidR="002E1FF5">
        <w:t xml:space="preserve"> and capital inputs (such as creating algorithms to deliver the automated </w:t>
      </w:r>
      <w:r w:rsidR="00F63BD1">
        <w:t>product</w:t>
      </w:r>
      <w:r w:rsidR="00C054B2">
        <w:t>,</w:t>
      </w:r>
      <w:r w:rsidR="002E1FF5">
        <w:t xml:space="preserve"> including tailoring the offering to the user’s preferences). The definition distinguishes products by looking to whether the marginal cost in terms of additional human </w:t>
      </w:r>
      <w:r w:rsidR="005215D0">
        <w:t xml:space="preserve">effort to </w:t>
      </w:r>
      <w:r w:rsidR="002E1FF5">
        <w:t>provid</w:t>
      </w:r>
      <w:r w:rsidR="005215D0">
        <w:t>e</w:t>
      </w:r>
      <w:r w:rsidR="002E1FF5">
        <w:t xml:space="preserve"> the same </w:t>
      </w:r>
      <w:r w:rsidR="007A5AC2">
        <w:t xml:space="preserve">or substantially similar </w:t>
      </w:r>
      <w:r w:rsidR="002E1FF5">
        <w:t xml:space="preserve">product to additional users is nil or almost nil. In other words, </w:t>
      </w:r>
      <w:r w:rsidR="00C054B2">
        <w:t>after</w:t>
      </w:r>
      <w:r w:rsidR="002E1FF5">
        <w:t xml:space="preserve"> the product is developed (such as the music catalogue or social media platform), the business can provide that product to one use</w:t>
      </w:r>
      <w:r w:rsidR="00091DB8">
        <w:t>r</w:t>
      </w:r>
      <w:r w:rsidR="002E1FF5">
        <w:t xml:space="preserve"> or to </w:t>
      </w:r>
      <w:r w:rsidR="00C054B2">
        <w:t>many</w:t>
      </w:r>
      <w:r w:rsidR="002E1FF5">
        <w:t xml:space="preserve"> users with the same basic process; </w:t>
      </w:r>
      <w:r w:rsidR="002E1FF5">
        <w:lastRenderedPageBreak/>
        <w:t xml:space="preserve">whereas a business with a nonautomated product would see a proportionate increase in the costs per unit in connection with providing the </w:t>
      </w:r>
      <w:r w:rsidR="00AC6855">
        <w:t>product</w:t>
      </w:r>
      <w:r w:rsidR="002E1FF5">
        <w:t xml:space="preserve"> to new customers.</w:t>
      </w:r>
    </w:p>
    <w:p w14:paraId="4852744A" w14:textId="4E58E650" w:rsidR="000D571D" w:rsidRDefault="00812BD4" w:rsidP="008F26C9">
      <w:pPr>
        <w:pStyle w:val="Heading4"/>
        <w:numPr>
          <w:ilvl w:val="0"/>
          <w:numId w:val="0"/>
        </w:numPr>
        <w:spacing w:after="240" w:line="240" w:lineRule="auto"/>
        <w:ind w:left="720"/>
      </w:pPr>
      <w:r>
        <w:t>Source</w:t>
      </w:r>
      <w:r w:rsidR="00385218">
        <w:t xml:space="preserve"> - </w:t>
      </w:r>
      <w:r w:rsidR="000D571D">
        <w:t xml:space="preserve">The text is based on </w:t>
      </w:r>
      <w:hyperlink r:id="rId10" w:history="1">
        <w:r w:rsidR="000D571D" w:rsidRPr="005E7B5B">
          <w:rPr>
            <w:rStyle w:val="Hyperlink"/>
          </w:rPr>
          <w:t>United Nations Model Double Taxation Convention Between Developed and Developing Countries</w:t>
        </w:r>
      </w:hyperlink>
      <w:r w:rsidR="000D571D">
        <w:t xml:space="preserve"> (2021) </w:t>
      </w:r>
      <w:r w:rsidR="005E7B5B">
        <w:t xml:space="preserve">Commentary on Article 12B </w:t>
      </w:r>
      <w:r w:rsidR="000D571D">
        <w:t xml:space="preserve">¶ 54 and </w:t>
      </w:r>
      <w:hyperlink r:id="rId11" w:history="1">
        <w:r w:rsidR="00DC6A4F" w:rsidRPr="002719D4">
          <w:rPr>
            <w:rStyle w:val="Hyperlink"/>
          </w:rPr>
          <w:t xml:space="preserve">OECD, “Tax Challenges Arising from </w:t>
        </w:r>
        <w:proofErr w:type="spellStart"/>
        <w:r w:rsidR="00DC6A4F" w:rsidRPr="002719D4">
          <w:rPr>
            <w:rStyle w:val="Hyperlink"/>
          </w:rPr>
          <w:t>Digitalisation</w:t>
        </w:r>
        <w:proofErr w:type="spellEnd"/>
        <w:r w:rsidR="00DC6A4F" w:rsidRPr="002719D4">
          <w:rPr>
            <w:rStyle w:val="Hyperlink"/>
          </w:rPr>
          <w:t xml:space="preserve"> – Report on Pillar One Blueprint: Inclusive Framework on BEPS”</w:t>
        </w:r>
      </w:hyperlink>
      <w:r w:rsidR="000D571D">
        <w:t xml:space="preserve"> Box 2.2.</w:t>
      </w:r>
    </w:p>
    <w:p w14:paraId="003BB00F" w14:textId="0DAC5B06" w:rsidR="00AA072E" w:rsidRDefault="00A24090" w:rsidP="001042AC">
      <w:r>
        <w:t>3.</w:t>
      </w:r>
      <w:r>
        <w:tab/>
      </w:r>
      <w:r w:rsidR="001042AC">
        <w:t>S</w:t>
      </w:r>
      <w:r w:rsidR="0055239A">
        <w:t xml:space="preserve">ome </w:t>
      </w:r>
      <w:r w:rsidR="00CD5E0D">
        <w:t xml:space="preserve">transactions involving </w:t>
      </w:r>
      <w:r w:rsidR="0055239A">
        <w:t xml:space="preserve">automated digital products </w:t>
      </w:r>
      <w:r w:rsidR="00CD5E0D">
        <w:t xml:space="preserve">may be </w:t>
      </w:r>
      <w:r w:rsidR="0055239A">
        <w:t>preempted by the Internet Tax Freedom Act.</w:t>
      </w:r>
    </w:p>
    <w:p w14:paraId="1AC947E7" w14:textId="68E4A528" w:rsidR="00A24B1A" w:rsidRPr="00931B15" w:rsidRDefault="00931B15" w:rsidP="001042AC">
      <w:pPr>
        <w:rPr>
          <w:b/>
          <w:bCs/>
        </w:rPr>
      </w:pPr>
      <w:r>
        <w:rPr>
          <w:b/>
          <w:bCs/>
        </w:rPr>
        <w:t>Explanation</w:t>
      </w:r>
      <w:r w:rsidR="00A24B1A" w:rsidRPr="00931B15">
        <w:rPr>
          <w:b/>
          <w:bCs/>
        </w:rPr>
        <w:t>:</w:t>
      </w:r>
    </w:p>
    <w:p w14:paraId="5FDD0E8F" w14:textId="26DC03EB" w:rsidR="00155782" w:rsidRDefault="00144819" w:rsidP="001762C8">
      <w:pPr>
        <w:pStyle w:val="BodyText1"/>
      </w:pPr>
      <w:r w:rsidRPr="006D256B">
        <w:t>In principle, a retail sales tax should be a broad-based single-stage levy on consumer expenditures</w:t>
      </w:r>
      <w:r>
        <w:t xml:space="preserve"> with a low tax rate</w:t>
      </w:r>
      <w:r w:rsidRPr="006D256B">
        <w:t>.</w:t>
      </w:r>
      <w:r>
        <w:t xml:space="preserve">  In practice, in most states, the sale of tangible personal property is generally taxed, while only the sale of specific services is taxed.</w:t>
      </w:r>
      <w:r w:rsidR="001762C8">
        <w:t xml:space="preserve">  The model statute is intended to expand the tax base to digital products in which the human service component is minimal.  In some cases, the </w:t>
      </w:r>
      <w:r w:rsidR="00155782">
        <w:t xml:space="preserve">definition may overlap with existing definitions of taxable tangible personal property, taxable computer programs or software, and taxable services.  For example, a compact disc of recorded music </w:t>
      </w:r>
      <w:r w:rsidR="00065895">
        <w:t>may</w:t>
      </w:r>
      <w:r w:rsidR="00155782">
        <w:t xml:space="preserve"> be</w:t>
      </w:r>
      <w:r w:rsidR="00065895">
        <w:t xml:space="preserve"> taxable</w:t>
      </w:r>
      <w:r w:rsidR="00155782">
        <w:t xml:space="preserve"> tangible personal property and an automated digital product.  A music “streaming service” may be a taxable service and an automated digital product. The overlap should be inconsequential if the tax rate is the same.  </w:t>
      </w:r>
    </w:p>
    <w:p w14:paraId="3E847C96" w14:textId="6024480C" w:rsidR="00155782" w:rsidRDefault="00155782" w:rsidP="00155782">
      <w:pPr>
        <w:ind w:firstLine="720"/>
      </w:pPr>
      <w:r>
        <w:t xml:space="preserve">In some instances, the definition may overlap with existing definitions of other taxable products that have a different tax rate, such as communication or telecommunication services.  In those instances, language should be added to exclude the other products from the definition.  </w:t>
      </w:r>
    </w:p>
    <w:p w14:paraId="5633E82F" w14:textId="64C08450" w:rsidR="00C0398D" w:rsidRDefault="00C0398D" w:rsidP="00C0398D">
      <w:pPr>
        <w:ind w:firstLine="720"/>
      </w:pPr>
      <w:r>
        <w:t xml:space="preserve">Unlike the Streamlined Sales Tax Agreement definitions for “specified digital products,” the definition of “automated digital product” does not require that the product be transferred electronically.  The method of transfer is not a criterion because it might facilitate arguments that the </w:t>
      </w:r>
      <w:r w:rsidR="00346668">
        <w:t>model</w:t>
      </w:r>
      <w:r>
        <w:t xml:space="preserve"> discriminates against products transferred over the Internet, in violation of the Internet Tax Freedom Act.</w:t>
      </w:r>
    </w:p>
    <w:p w14:paraId="5E9DDC09" w14:textId="3380E1DC" w:rsidR="001042AC" w:rsidRDefault="004D1DDE" w:rsidP="00144819">
      <w:pPr>
        <w:pStyle w:val="BodyText1"/>
      </w:pPr>
      <w:r>
        <w:lastRenderedPageBreak/>
        <w:t xml:space="preserve">One </w:t>
      </w:r>
      <w:r w:rsidR="00091DB8">
        <w:t>criterion</w:t>
      </w:r>
      <w:r w:rsidR="009B7526">
        <w:t xml:space="preserve"> </w:t>
      </w:r>
      <w:r w:rsidR="00293667">
        <w:t xml:space="preserve">for an automated digital product </w:t>
      </w:r>
      <w:r w:rsidR="00144819">
        <w:t xml:space="preserve">is that the </w:t>
      </w:r>
      <w:r w:rsidR="00293667">
        <w:t>product</w:t>
      </w:r>
      <w:r w:rsidR="00144819">
        <w:t xml:space="preserve"> must be in a binary format</w:t>
      </w:r>
      <w:r w:rsidR="00293667" w:rsidRPr="00293667">
        <w:t>, or other computer-readable format that may be devised.</w:t>
      </w:r>
      <w:r w:rsidR="00144819" w:rsidRPr="00293667">
        <w:t xml:space="preserve"> </w:t>
      </w:r>
      <w:r w:rsidR="00144819">
        <w:t xml:space="preserve"> Binary format is the </w:t>
      </w:r>
      <w:r w:rsidR="00792A52">
        <w:t xml:space="preserve">current, </w:t>
      </w:r>
      <w:r w:rsidR="00144819">
        <w:t>basic characteristic of a product that is digital.</w:t>
      </w:r>
    </w:p>
    <w:p w14:paraId="50624520" w14:textId="17C3A1C7" w:rsidR="00144819" w:rsidRDefault="004D1DDE" w:rsidP="00144819">
      <w:pPr>
        <w:pStyle w:val="BodyText1"/>
      </w:pPr>
      <w:r>
        <w:t>A</w:t>
      </w:r>
      <w:r w:rsidR="008703CF">
        <w:t xml:space="preserve"> second criterion </w:t>
      </w:r>
      <w:r w:rsidR="009B7526">
        <w:t xml:space="preserve">considers the degree of human </w:t>
      </w:r>
      <w:r w:rsidR="008703CF" w:rsidRPr="000A511A">
        <w:t xml:space="preserve">intervention </w:t>
      </w:r>
      <w:r w:rsidR="008703CF">
        <w:t>by the service provider</w:t>
      </w:r>
      <w:r w:rsidR="009B7526">
        <w:t xml:space="preserve"> </w:t>
      </w:r>
      <w:r w:rsidR="00792A52">
        <w:t>to provide the product</w:t>
      </w:r>
      <w:r w:rsidR="009B7526">
        <w:t xml:space="preserve"> for use by other customers</w:t>
      </w:r>
      <w:r w:rsidR="008703CF" w:rsidRPr="000A511A">
        <w:t>.</w:t>
      </w:r>
      <w:r w:rsidR="008703CF">
        <w:t xml:space="preserve"> The objective is to make the definition more compatible with the selective tax systems of the many states that do not broadly tax </w:t>
      </w:r>
      <w:r w:rsidR="000A5242">
        <w:t xml:space="preserve">personal or </w:t>
      </w:r>
      <w:r w:rsidR="008703CF">
        <w:t>professional services.</w:t>
      </w:r>
      <w:r w:rsidR="00155782" w:rsidRPr="00155782">
        <w:t xml:space="preserve"> </w:t>
      </w:r>
      <w:r w:rsidR="00155782">
        <w:t>If human</w:t>
      </w:r>
      <w:r w:rsidR="000A5242">
        <w:t>s</w:t>
      </w:r>
      <w:r w:rsidR="00155782">
        <w:t xml:space="preserve"> are </w:t>
      </w:r>
      <w:r w:rsidR="000A5242">
        <w:t xml:space="preserve">more than minimally </w:t>
      </w:r>
      <w:r w:rsidR="00155782">
        <w:t>involved in providing the digital product to individual customers, the product will not be included in the tax base as an automated digital product.</w:t>
      </w:r>
    </w:p>
    <w:p w14:paraId="1D9BFCCE" w14:textId="07C694E5" w:rsidR="007C07CC" w:rsidRPr="00897FF9" w:rsidRDefault="00EF3AF9" w:rsidP="007C07CC">
      <w:pPr>
        <w:ind w:firstLine="720"/>
      </w:pPr>
      <w:r w:rsidRPr="00897FF9">
        <w:t xml:space="preserve">A third criterion </w:t>
      </w:r>
      <w:r w:rsidR="00F8483D" w:rsidRPr="00897FF9">
        <w:t>deals with “digital assets.”</w:t>
      </w:r>
      <w:r w:rsidR="0066459C" w:rsidRPr="00897FF9">
        <w:t xml:space="preserve"> </w:t>
      </w:r>
      <w:r w:rsidR="007C07CC" w:rsidRPr="00897FF9">
        <w:t xml:space="preserve">The definition </w:t>
      </w:r>
      <w:r w:rsidR="00293667" w:rsidRPr="00897FF9">
        <w:t xml:space="preserve">of “digital asset” </w:t>
      </w:r>
      <w:r w:rsidR="007C07CC" w:rsidRPr="00897FF9">
        <w:t>is taken from Internal Revenue Code §</w:t>
      </w:r>
      <w:r w:rsidR="00CC2910" w:rsidRPr="00897FF9">
        <w:t xml:space="preserve"> 6045(g)(3).</w:t>
      </w:r>
      <w:r w:rsidR="007C07CC" w:rsidRPr="00897FF9">
        <w:t xml:space="preserve"> Many digital products, even if encrypted, are not “digital assets” because their value is not</w:t>
      </w:r>
      <w:r w:rsidR="0066459C" w:rsidRPr="00897FF9">
        <w:t xml:space="preserve"> recorded on </w:t>
      </w:r>
      <w:r w:rsidR="00897FF9">
        <w:t>blockchain or other</w:t>
      </w:r>
      <w:r w:rsidR="0066459C" w:rsidRPr="00897FF9">
        <w:t xml:space="preserve"> cryptographically secured distributed ledger. </w:t>
      </w:r>
      <w:r w:rsidR="007C07CC" w:rsidRPr="00897FF9">
        <w:t>Examples include downloaded or cloud-based software, compact discs, and digital streaming services.  The digital asset criterion has no application to these products.</w:t>
      </w:r>
    </w:p>
    <w:p w14:paraId="1540E29C" w14:textId="39921F78" w:rsidR="00EF3AF9" w:rsidRPr="00897FF9" w:rsidRDefault="0066459C" w:rsidP="00A95C62">
      <w:pPr>
        <w:ind w:firstLine="720"/>
      </w:pPr>
      <w:r w:rsidRPr="00897FF9">
        <w:t xml:space="preserve">The </w:t>
      </w:r>
      <w:r w:rsidR="00B2343A">
        <w:t xml:space="preserve">exclusion of certain </w:t>
      </w:r>
      <w:r w:rsidRPr="00897FF9">
        <w:t>“digital asset</w:t>
      </w:r>
      <w:r w:rsidR="00B2343A">
        <w:t>s</w:t>
      </w:r>
      <w:r w:rsidRPr="00897FF9">
        <w:t xml:space="preserve">” </w:t>
      </w:r>
      <w:r w:rsidR="00B2343A">
        <w:t>from the definition of “digital product”</w:t>
      </w:r>
      <w:r w:rsidRPr="00897FF9">
        <w:t xml:space="preserve"> is intended to exclude the digital equivalent of intangible assets that are typically not subject to sales tax, such as currency, securities, commodity futures, debt, and other financial instruments.  However, “digital assets” are included when they are tokens of value in another taxable item, such as</w:t>
      </w:r>
      <w:r w:rsidR="00EF3AF9" w:rsidRPr="00897FF9">
        <w:t xml:space="preserve"> digital tokens representing the ownership of digital artwork</w:t>
      </w:r>
      <w:r w:rsidRPr="00897FF9">
        <w:t>,</w:t>
      </w:r>
      <w:r w:rsidR="00EF3AF9" w:rsidRPr="00897FF9">
        <w:t xml:space="preserve"> or taxable tangible personal property, or the right to access a taxable service. </w:t>
      </w:r>
      <w:r w:rsidR="007C07CC" w:rsidRPr="00897FF9">
        <w:t>D</w:t>
      </w:r>
      <w:r w:rsidR="00EF3AF9" w:rsidRPr="00897FF9">
        <w:t xml:space="preserve">igital tokens used in video gaming </w:t>
      </w:r>
      <w:r w:rsidR="00B36E55" w:rsidRPr="00897FF9">
        <w:t>a</w:t>
      </w:r>
      <w:r w:rsidR="00CC2910" w:rsidRPr="00897FF9">
        <w:t>re</w:t>
      </w:r>
      <w:r w:rsidR="00B36E55" w:rsidRPr="00897FF9">
        <w:t xml:space="preserve"> included</w:t>
      </w:r>
      <w:r w:rsidR="007C07CC" w:rsidRPr="00897FF9">
        <w:t xml:space="preserve"> because they give access rights </w:t>
      </w:r>
      <w:r w:rsidR="00CC2910" w:rsidRPr="00897FF9">
        <w:t>in</w:t>
      </w:r>
      <w:r w:rsidR="007C07CC" w:rsidRPr="00897FF9">
        <w:t xml:space="preserve"> a video game, which is a digital product</w:t>
      </w:r>
      <w:r w:rsidR="00B36E55" w:rsidRPr="00897FF9">
        <w:t>.</w:t>
      </w:r>
    </w:p>
    <w:p w14:paraId="248DAC88" w14:textId="18BEB78C" w:rsidR="005928E4" w:rsidRDefault="00BA404D" w:rsidP="00394FCC">
      <w:pPr>
        <w:pStyle w:val="BodyText1"/>
      </w:pPr>
      <w:r>
        <w:t xml:space="preserve">A </w:t>
      </w:r>
      <w:r w:rsidR="00EF3AF9">
        <w:t>fourth</w:t>
      </w:r>
      <w:r>
        <w:t xml:space="preserve"> criterion</w:t>
      </w:r>
      <w:r w:rsidR="00657005">
        <w:t>, expressed as an exemption,</w:t>
      </w:r>
      <w:r w:rsidR="009B7526">
        <w:t xml:space="preserve"> </w:t>
      </w:r>
      <w:r w:rsidR="00657005">
        <w:t xml:space="preserve">is that the </w:t>
      </w:r>
      <w:r>
        <w:t xml:space="preserve">automated digital product </w:t>
      </w:r>
      <w:r w:rsidRPr="00BA404D">
        <w:t>be used predominantly for a trade or business</w:t>
      </w:r>
      <w:r>
        <w:t xml:space="preserve">.  </w:t>
      </w:r>
      <w:r w:rsidR="005928E4">
        <w:t xml:space="preserve">The term “trade or business” is used in federal Internal Revenue Code and Treasury Regulations, and </w:t>
      </w:r>
      <w:r w:rsidR="00D900DB">
        <w:t>federal interpretations</w:t>
      </w:r>
      <w:r w:rsidR="005928E4">
        <w:t xml:space="preserve"> could be used for guidance.  T</w:t>
      </w:r>
      <w:r w:rsidR="00122B47">
        <w:t xml:space="preserve">he objective </w:t>
      </w:r>
      <w:r w:rsidR="005928E4">
        <w:t xml:space="preserve">of the </w:t>
      </w:r>
      <w:r w:rsidR="009B7526">
        <w:t>exemption</w:t>
      </w:r>
      <w:r w:rsidR="005928E4">
        <w:t xml:space="preserve"> </w:t>
      </w:r>
      <w:r w:rsidR="00122B47">
        <w:t>is to prevent the pyramiding of taxes</w:t>
      </w:r>
      <w:r w:rsidR="00657005">
        <w:t xml:space="preserve">.  The criterion </w:t>
      </w:r>
      <w:r w:rsidR="009B7526">
        <w:t xml:space="preserve">is </w:t>
      </w:r>
      <w:r>
        <w:t xml:space="preserve">drafted as an exemption because it depends upon the use of the product, a characteristic that is determined by the buyer.  </w:t>
      </w:r>
    </w:p>
    <w:p w14:paraId="0AB6CEE7" w14:textId="23616912" w:rsidR="00C0398D" w:rsidRDefault="00C0398D" w:rsidP="00C0398D">
      <w:pPr>
        <w:ind w:firstLine="720"/>
      </w:pPr>
      <w:bookmarkStart w:id="3" w:name="_Hlk193355931"/>
      <w:r>
        <w:lastRenderedPageBreak/>
        <w:t xml:space="preserve">Since the exempt use is determined by the customer, the customer will have to declare the exempt use by using existing state procedures, such as submitting an exemption certificate, or by a new procedure drafted to complement the exemption. The need for customers to provide documentation to sellers could be reduced </w:t>
      </w:r>
      <w:r w:rsidR="009F2CD2">
        <w:t>by</w:t>
      </w:r>
      <w:r>
        <w:t xml:space="preserve"> the use of rebuttable presumptions for products that would only have a business purpose.</w:t>
      </w:r>
    </w:p>
    <w:p w14:paraId="5B0C40C6" w14:textId="77777777" w:rsidR="00155782" w:rsidRDefault="00155782" w:rsidP="00155782">
      <w:pPr>
        <w:ind w:firstLine="720"/>
      </w:pPr>
      <w:r>
        <w:t>The exemption for predominant use in a trade or business is limited to the sale of products as automated digital products, and is not intended as an expansion of the exemption to the sale of other types of taxable items</w:t>
      </w:r>
      <w:bookmarkEnd w:id="3"/>
      <w:r>
        <w:t>.  For example, if the sale of an automated digital product used in a trade of business would be taxable in a state as the non-exempt sale of tangible personal property or the non-exempt sale of a taxable service, it would remain taxable.</w:t>
      </w:r>
    </w:p>
    <w:p w14:paraId="025042A6" w14:textId="7302C673" w:rsidR="00394FCC" w:rsidRDefault="00394FCC" w:rsidP="00394FCC">
      <w:pPr>
        <w:pStyle w:val="BodyText1"/>
      </w:pPr>
      <w:r>
        <w:t>The business purpose exemption is an essential complement to the definition of “automated digital product” because t</w:t>
      </w:r>
      <w:r w:rsidRPr="00394FCC">
        <w:t>he exemption eliminates the taxation of transactions traditionally treated as the nontaxable sale of intangible rights, such as the sale of digital publishing or performing rights.</w:t>
      </w:r>
      <w:r>
        <w:t xml:space="preserve">  Section 332 of the Streamlined Sales Tax Agreement achieves a similar result for </w:t>
      </w:r>
      <w:r w:rsidR="005928E4">
        <w:t xml:space="preserve">the taxation of </w:t>
      </w:r>
      <w:r>
        <w:t>“specified digital products” by only imposing the tax on an “end user” unless specified otherwise. Under the Agreement, an “end user” includes any person other than a person who receives by contract a product for further commercial broadcast, rebroadcast, transmission, retransmission, licensing, relicensing, distribution, redistribution or exhibition of the product, in whole or in part, to another person or persons.</w:t>
      </w:r>
    </w:p>
    <w:p w14:paraId="1F8F1C69" w14:textId="77777777" w:rsidR="00F50B01" w:rsidRDefault="00F50B01" w:rsidP="00F50B01">
      <w:pPr>
        <w:ind w:firstLine="720"/>
      </w:pPr>
      <w:r w:rsidRPr="004D1DDE">
        <w:t>The definition of “automated digital product” would include some services preempted by the Internet Tax Freedom Act.</w:t>
      </w:r>
      <w:r>
        <w:t xml:space="preserve">  A model rule acknowledges that possibility but does not articulate specific products that would be preempted because of the uncertainty regarding the scope of the moratorium on discriminatory taxes, because of the complex definitions relating to the moratorium on “internet access,” and because of the complex requirements of the exceptions to the moratorium.</w:t>
      </w:r>
      <w:r w:rsidRPr="004D1DDE">
        <w:t xml:space="preserve"> </w:t>
      </w:r>
      <w:r>
        <w:t>A state would be free to adopt a more elaborate explanation.</w:t>
      </w:r>
    </w:p>
    <w:p w14:paraId="099EC0E6" w14:textId="7DC53F74" w:rsidR="00C0398D" w:rsidRPr="00C0398D" w:rsidRDefault="00C0398D" w:rsidP="00B548C2">
      <w:pPr>
        <w:keepNext/>
        <w:rPr>
          <w:b/>
          <w:bCs/>
        </w:rPr>
      </w:pPr>
      <w:r w:rsidRPr="00C0398D">
        <w:rPr>
          <w:b/>
          <w:bCs/>
        </w:rPr>
        <w:lastRenderedPageBreak/>
        <w:t>Application of the Definition:</w:t>
      </w:r>
    </w:p>
    <w:p w14:paraId="249117FC" w14:textId="2FA04036" w:rsidR="00BA404D" w:rsidRDefault="00BA404D" w:rsidP="00BA404D">
      <w:pPr>
        <w:ind w:firstLine="720"/>
      </w:pPr>
      <w:r>
        <w:t>The publication or public performance of a copyrighted work in a digital format for a fee would generally constitute the sale of an automated digital product.  Examples include the sale of downloaded digital books or music, the sale of music or video streaming service subscriptions, the sale of digital access to a live-streamed event, and the sale of digital recordings on tangible storage media such as compact discs.  However, t</w:t>
      </w:r>
      <w:r w:rsidRPr="00C95A31">
        <w:t>he sale of publishing</w:t>
      </w:r>
      <w:r>
        <w:t xml:space="preserve"> or performance</w:t>
      </w:r>
      <w:r w:rsidRPr="00C95A31">
        <w:t xml:space="preserve"> rights </w:t>
      </w:r>
      <w:r>
        <w:t>to a business would be exempt</w:t>
      </w:r>
      <w:r w:rsidRPr="00C95A31">
        <w:t>.</w:t>
      </w:r>
    </w:p>
    <w:p w14:paraId="48A23A38" w14:textId="1A5D51CF" w:rsidR="002E31AC" w:rsidRDefault="00AE3CE7" w:rsidP="00831A23">
      <w:pPr>
        <w:ind w:firstLine="720"/>
      </w:pPr>
      <w:r>
        <w:t xml:space="preserve">In many cases, the determination of </w:t>
      </w:r>
      <w:r w:rsidR="00D25E69">
        <w:t>minim</w:t>
      </w:r>
      <w:r>
        <w:t>al</w:t>
      </w:r>
      <w:r w:rsidR="00D25E69">
        <w:t xml:space="preserve"> human </w:t>
      </w:r>
      <w:r w:rsidR="00B502CF">
        <w:t>intervention</w:t>
      </w:r>
      <w:r>
        <w:t xml:space="preserve"> will be clear. But, the concept could be difficult to apply in some situations.  In those situations, states could look to guidance from organizations that have used the concept in other contexts, including</w:t>
      </w:r>
      <w:r w:rsidR="0051437E">
        <w:t>:</w:t>
      </w:r>
    </w:p>
    <w:p w14:paraId="7E63DC2C" w14:textId="6877CF29" w:rsidR="002E31AC" w:rsidRDefault="0051437E" w:rsidP="005341EA">
      <w:pPr>
        <w:pStyle w:val="ListParagraph"/>
        <w:numPr>
          <w:ilvl w:val="0"/>
          <w:numId w:val="4"/>
        </w:numPr>
        <w:spacing w:line="240" w:lineRule="auto"/>
        <w:contextualSpacing w:val="0"/>
      </w:pPr>
      <w:r>
        <w:t>the definition of “automated digital service” in the</w:t>
      </w:r>
      <w:r w:rsidR="00035D9B">
        <w:t xml:space="preserve"> </w:t>
      </w:r>
      <w:hyperlink r:id="rId12" w:history="1">
        <w:r w:rsidR="00922EED" w:rsidRPr="005E7B5B">
          <w:rPr>
            <w:rStyle w:val="Hyperlink"/>
          </w:rPr>
          <w:t>United Nations Model Double Taxation Convention Between Developed and Developing Countries</w:t>
        </w:r>
      </w:hyperlink>
      <w:r w:rsidR="002E31AC">
        <w:t xml:space="preserve"> (2021) </w:t>
      </w:r>
      <w:r w:rsidR="00724D61">
        <w:t xml:space="preserve">Article 12B </w:t>
      </w:r>
      <w:r w:rsidR="002E31AC">
        <w:t>¶ 5.</w:t>
      </w:r>
    </w:p>
    <w:p w14:paraId="74DC9B5C" w14:textId="44879D4A" w:rsidR="002E31AC" w:rsidRDefault="0051437E" w:rsidP="005341EA">
      <w:pPr>
        <w:pStyle w:val="ListParagraph"/>
        <w:numPr>
          <w:ilvl w:val="0"/>
          <w:numId w:val="4"/>
        </w:numPr>
        <w:spacing w:line="240" w:lineRule="auto"/>
        <w:contextualSpacing w:val="0"/>
      </w:pPr>
      <w:r>
        <w:t xml:space="preserve">the definition of “automated digital service” in the </w:t>
      </w:r>
      <w:hyperlink r:id="rId13" w:history="1">
        <w:r w:rsidR="002E31AC" w:rsidRPr="002719D4">
          <w:rPr>
            <w:rStyle w:val="Hyperlink"/>
          </w:rPr>
          <w:t xml:space="preserve">OECD, “Tax Challenges Arising from </w:t>
        </w:r>
        <w:proofErr w:type="spellStart"/>
        <w:r w:rsidR="002E31AC" w:rsidRPr="002719D4">
          <w:rPr>
            <w:rStyle w:val="Hyperlink"/>
          </w:rPr>
          <w:t>Digitalisation</w:t>
        </w:r>
        <w:proofErr w:type="spellEnd"/>
        <w:r w:rsidR="002E31AC" w:rsidRPr="002719D4">
          <w:rPr>
            <w:rStyle w:val="Hyperlink"/>
          </w:rPr>
          <w:t xml:space="preserve"> – Report on Pillar One Blueprint: Inclusive Framework on BEPS”</w:t>
        </w:r>
      </w:hyperlink>
      <w:r w:rsidR="00091DB8">
        <w:t xml:space="preserve"> (2020)</w:t>
      </w:r>
      <w:r w:rsidR="002E31AC">
        <w:t xml:space="preserve"> Box 2.1</w:t>
      </w:r>
      <w:r>
        <w:t>, and</w:t>
      </w:r>
    </w:p>
    <w:p w14:paraId="05640435" w14:textId="5F461B01" w:rsidR="003B61C1" w:rsidRDefault="0051437E" w:rsidP="008F26C9">
      <w:pPr>
        <w:pStyle w:val="ListParagraph"/>
        <w:numPr>
          <w:ilvl w:val="0"/>
          <w:numId w:val="4"/>
        </w:numPr>
        <w:spacing w:after="240" w:line="240" w:lineRule="auto"/>
        <w:contextualSpacing w:val="0"/>
      </w:pPr>
      <w:r>
        <w:t xml:space="preserve">the definition of “electronically supplied service” in </w:t>
      </w:r>
      <w:r w:rsidR="003B61C1">
        <w:t xml:space="preserve">the </w:t>
      </w:r>
      <w:hyperlink r:id="rId14" w:history="1">
        <w:r w:rsidR="003B61C1" w:rsidRPr="003B61C1">
          <w:rPr>
            <w:rStyle w:val="Hyperlink"/>
          </w:rPr>
          <w:t>Council of</w:t>
        </w:r>
        <w:r w:rsidR="003B61C1">
          <w:rPr>
            <w:rStyle w:val="Hyperlink"/>
          </w:rPr>
          <w:t xml:space="preserve"> the</w:t>
        </w:r>
        <w:r w:rsidR="003B61C1" w:rsidRPr="003B61C1">
          <w:rPr>
            <w:rStyle w:val="Hyperlink"/>
          </w:rPr>
          <w:t xml:space="preserve"> European Union Implementing Regulation No. 282/2011</w:t>
        </w:r>
      </w:hyperlink>
      <w:r w:rsidR="003B61C1">
        <w:t xml:space="preserve"> (2011) Article 7.</w:t>
      </w:r>
    </w:p>
    <w:p w14:paraId="69022A30" w14:textId="1412FD8E" w:rsidR="003B61C1" w:rsidRDefault="00812BD4" w:rsidP="00AE3CE7">
      <w:r>
        <w:t>States</w:t>
      </w:r>
      <w:r w:rsidR="001042FB">
        <w:t xml:space="preserve"> </w:t>
      </w:r>
      <w:r w:rsidR="001E0771">
        <w:t xml:space="preserve">would not be bound by </w:t>
      </w:r>
      <w:r w:rsidR="00AE3CE7">
        <w:t xml:space="preserve">published </w:t>
      </w:r>
      <w:r w:rsidR="001042FB">
        <w:t>guidance</w:t>
      </w:r>
      <w:r w:rsidR="001E0771">
        <w:t>, but could use published guidance</w:t>
      </w:r>
      <w:r w:rsidR="001042FB">
        <w:t xml:space="preserve"> as reference material for interpreting “minimal human in</w:t>
      </w:r>
      <w:r w:rsidR="00D25E69">
        <w:t>tervention</w:t>
      </w:r>
      <w:r w:rsidR="001042FB">
        <w:t>.”</w:t>
      </w:r>
      <w:r w:rsidR="00182F97">
        <w:t xml:space="preserve">  E.g.:</w:t>
      </w:r>
    </w:p>
    <w:p w14:paraId="1B84DC82" w14:textId="7C0E9494" w:rsidR="00182F97" w:rsidRDefault="00C26482" w:rsidP="005341EA">
      <w:pPr>
        <w:pStyle w:val="ListParagraph"/>
        <w:numPr>
          <w:ilvl w:val="0"/>
          <w:numId w:val="5"/>
        </w:numPr>
        <w:spacing w:line="240" w:lineRule="auto"/>
        <w:contextualSpacing w:val="0"/>
      </w:pPr>
      <w:hyperlink r:id="rId15" w:history="1">
        <w:r w:rsidRPr="005E7B5B">
          <w:rPr>
            <w:rStyle w:val="Hyperlink"/>
          </w:rPr>
          <w:t>United Nations Model Double Taxation Convention Between Developed and Developing Countries</w:t>
        </w:r>
      </w:hyperlink>
      <w:r w:rsidR="00182F97">
        <w:t xml:space="preserve"> (2021) </w:t>
      </w:r>
      <w:r w:rsidR="005E7B5B">
        <w:t xml:space="preserve">Commentary on Article 12B </w:t>
      </w:r>
      <w:r w:rsidR="00182F97">
        <w:t>¶ 53, 54.</w:t>
      </w:r>
    </w:p>
    <w:p w14:paraId="4AF0CFC1" w14:textId="77777777" w:rsidR="00182044" w:rsidRDefault="00182044" w:rsidP="005341EA">
      <w:pPr>
        <w:pStyle w:val="ListParagraph"/>
        <w:numPr>
          <w:ilvl w:val="0"/>
          <w:numId w:val="5"/>
        </w:numPr>
        <w:spacing w:line="240" w:lineRule="auto"/>
        <w:contextualSpacing w:val="0"/>
      </w:pPr>
      <w:hyperlink r:id="rId16" w:history="1">
        <w:r w:rsidRPr="002719D4">
          <w:rPr>
            <w:rStyle w:val="Hyperlink"/>
          </w:rPr>
          <w:t xml:space="preserve">OECD, “Tax Challenges Arising from </w:t>
        </w:r>
        <w:proofErr w:type="spellStart"/>
        <w:r w:rsidRPr="002719D4">
          <w:rPr>
            <w:rStyle w:val="Hyperlink"/>
          </w:rPr>
          <w:t>Digitalisation</w:t>
        </w:r>
        <w:proofErr w:type="spellEnd"/>
        <w:r w:rsidRPr="002719D4">
          <w:rPr>
            <w:rStyle w:val="Hyperlink"/>
          </w:rPr>
          <w:t xml:space="preserve"> – Report on Pillar One Blueprint: Inclusive Framework on BEPS”</w:t>
        </w:r>
      </w:hyperlink>
      <w:r>
        <w:t>, Box 2.2</w:t>
      </w:r>
    </w:p>
    <w:p w14:paraId="5A1BB7BC" w14:textId="0B091F77" w:rsidR="00182044" w:rsidRDefault="00182044" w:rsidP="005341EA">
      <w:pPr>
        <w:pStyle w:val="ListParagraph"/>
        <w:numPr>
          <w:ilvl w:val="0"/>
          <w:numId w:val="5"/>
        </w:numPr>
        <w:spacing w:line="240" w:lineRule="auto"/>
        <w:contextualSpacing w:val="0"/>
      </w:pPr>
      <w:hyperlink r:id="rId17" w:history="1">
        <w:r w:rsidRPr="00DC72F2">
          <w:rPr>
            <w:rStyle w:val="Hyperlink"/>
          </w:rPr>
          <w:t xml:space="preserve">Value Added Tax Committee Working Paper No. </w:t>
        </w:r>
        <w:r>
          <w:rPr>
            <w:rStyle w:val="Hyperlink"/>
          </w:rPr>
          <w:t>843</w:t>
        </w:r>
      </w:hyperlink>
      <w:r>
        <w:t xml:space="preserve"> (2015).</w:t>
      </w:r>
    </w:p>
    <w:p w14:paraId="4AA19C54" w14:textId="0079DAB2" w:rsidR="00182044" w:rsidRDefault="00182044" w:rsidP="005341EA">
      <w:pPr>
        <w:pStyle w:val="ListParagraph"/>
        <w:numPr>
          <w:ilvl w:val="0"/>
          <w:numId w:val="5"/>
        </w:numPr>
        <w:spacing w:line="240" w:lineRule="auto"/>
        <w:contextualSpacing w:val="0"/>
      </w:pPr>
      <w:hyperlink r:id="rId18" w:history="1">
        <w:r w:rsidRPr="00DC72F2">
          <w:rPr>
            <w:rStyle w:val="Hyperlink"/>
          </w:rPr>
          <w:t xml:space="preserve">Value Added Tax Committee Working Paper No. </w:t>
        </w:r>
        <w:r>
          <w:rPr>
            <w:rStyle w:val="Hyperlink"/>
          </w:rPr>
          <w:t>896</w:t>
        </w:r>
      </w:hyperlink>
      <w:r>
        <w:t xml:space="preserve"> (2016).</w:t>
      </w:r>
    </w:p>
    <w:bookmarkStart w:id="4" w:name="_Hlk187675277"/>
    <w:p w14:paraId="1647DBA4" w14:textId="73B04D9D" w:rsidR="00182F97" w:rsidRDefault="00982E43" w:rsidP="005341EA">
      <w:pPr>
        <w:pStyle w:val="ListParagraph"/>
        <w:numPr>
          <w:ilvl w:val="0"/>
          <w:numId w:val="5"/>
        </w:numPr>
        <w:spacing w:line="240" w:lineRule="auto"/>
        <w:contextualSpacing w:val="0"/>
      </w:pPr>
      <w:r>
        <w:fldChar w:fldCharType="begin"/>
      </w:r>
      <w:r>
        <w:instrText>HYPERLINK "https://circabc.europa.eu/sd/a/d3e89803-eecf-4b1a-87d2-2ccf342ee346/919%20-%20Minimal"</w:instrText>
      </w:r>
      <w:r>
        <w:fldChar w:fldCharType="separate"/>
      </w:r>
      <w:r w:rsidR="00DC72F2" w:rsidRPr="00DC72F2">
        <w:rPr>
          <w:rStyle w:val="Hyperlink"/>
        </w:rPr>
        <w:t>Value Added Tax Committee Working Paper No. 919</w:t>
      </w:r>
      <w:r>
        <w:rPr>
          <w:rStyle w:val="Hyperlink"/>
        </w:rPr>
        <w:fldChar w:fldCharType="end"/>
      </w:r>
      <w:r w:rsidR="00DC72F2">
        <w:t xml:space="preserve"> (2017)</w:t>
      </w:r>
      <w:bookmarkEnd w:id="4"/>
      <w:r w:rsidR="00DC72F2">
        <w:t>.</w:t>
      </w:r>
    </w:p>
    <w:p w14:paraId="2D49747D" w14:textId="4A1B2320" w:rsidR="00AD195C" w:rsidRDefault="00AD195C" w:rsidP="008F26C9">
      <w:pPr>
        <w:pStyle w:val="ListParagraph"/>
        <w:numPr>
          <w:ilvl w:val="0"/>
          <w:numId w:val="5"/>
        </w:numPr>
        <w:spacing w:after="240" w:line="240" w:lineRule="auto"/>
        <w:contextualSpacing w:val="0"/>
      </w:pPr>
      <w:hyperlink r:id="rId19" w:history="1">
        <w:r w:rsidRPr="00DC72F2">
          <w:rPr>
            <w:rStyle w:val="Hyperlink"/>
          </w:rPr>
          <w:t>Value Added Tax Committee Working Paper No. 9</w:t>
        </w:r>
        <w:r>
          <w:rPr>
            <w:rStyle w:val="Hyperlink"/>
          </w:rPr>
          <w:t>90</w:t>
        </w:r>
      </w:hyperlink>
      <w:r>
        <w:t xml:space="preserve"> (2020).</w:t>
      </w:r>
    </w:p>
    <w:p w14:paraId="4C6C1C73" w14:textId="6646217C" w:rsidR="00BA404D" w:rsidRDefault="00BA404D" w:rsidP="002518B5">
      <w:pPr>
        <w:keepNext/>
        <w:ind w:firstLine="360"/>
      </w:pPr>
      <w:r>
        <w:lastRenderedPageBreak/>
        <w:t>Examples:</w:t>
      </w:r>
    </w:p>
    <w:p w14:paraId="5CEC1231" w14:textId="77777777" w:rsidR="00BA404D" w:rsidRDefault="00BA404D" w:rsidP="00BA404D">
      <w:pPr>
        <w:pStyle w:val="ListParagraph"/>
        <w:numPr>
          <w:ilvl w:val="0"/>
          <w:numId w:val="7"/>
        </w:numPr>
        <w:contextualSpacing w:val="0"/>
      </w:pPr>
      <w:r>
        <w:t xml:space="preserve">An online seminar in which the customer can ask questions and receive feedback during the seminar would not be an “automated digital product” because the human intervention in providing the product for individual customers would be more than minimal. See, </w:t>
      </w:r>
      <w:r w:rsidRPr="00D25E69">
        <w:t>Value Added Tax Committee Working Paper No. 919</w:t>
      </w:r>
      <w:r>
        <w:t xml:space="preserve"> § 3.1.3</w:t>
      </w:r>
      <w:r w:rsidRPr="00D25E69">
        <w:t xml:space="preserve"> (2017)</w:t>
      </w:r>
      <w:r>
        <w:t>.</w:t>
      </w:r>
    </w:p>
    <w:p w14:paraId="6782C89A" w14:textId="11A67412" w:rsidR="00BA404D" w:rsidRDefault="00BA404D" w:rsidP="00BA404D">
      <w:pPr>
        <w:pStyle w:val="ListParagraph"/>
        <w:numPr>
          <w:ilvl w:val="0"/>
          <w:numId w:val="7"/>
        </w:numPr>
        <w:contextualSpacing w:val="0"/>
      </w:pPr>
      <w:r>
        <w:t xml:space="preserve">The charge for an attorney’s title opinion received by the customer in a binary format, such as Portable Document Format (PDF), would not constitute the sale of an automated digital product because the title opinion is customized for each individual customer by the attorney. See, </w:t>
      </w:r>
      <w:r w:rsidRPr="00F57034">
        <w:t>Value Added Tax Committee Working Paper No. 919</w:t>
      </w:r>
      <w:r>
        <w:t xml:space="preserve"> § 3.1.5</w:t>
      </w:r>
      <w:r w:rsidRPr="00F57034">
        <w:t xml:space="preserve"> (2017).</w:t>
      </w:r>
    </w:p>
    <w:p w14:paraId="5770DA8D" w14:textId="558A28D8" w:rsidR="00BA404D" w:rsidRDefault="00BA404D" w:rsidP="00DA09CC">
      <w:pPr>
        <w:pStyle w:val="ListParagraph"/>
        <w:numPr>
          <w:ilvl w:val="0"/>
          <w:numId w:val="7"/>
        </w:numPr>
        <w:contextualSpacing w:val="0"/>
      </w:pPr>
      <w:r>
        <w:t xml:space="preserve">A supply of services by a website providing automatic search and filter functions for dating purposes stays within the limits of “minimal human intervention.” However, if individual advice/assessment of the chances to succeed in the relationship/etc., is performed by a human being at the request of the customer, “minimal human intervention” is exceeded. Where the consideration paid includes the automatic search and the possibility for the customer to have individual assessment, then this is not an automated digital product, even if the customer does not use this possibility of individual assessment. Where there are two different services, with different considerations, the automatic search service will be an automated digital product and the search service that includes a human assessment will not be an automated digital product. See, </w:t>
      </w:r>
      <w:r w:rsidRPr="00F57034">
        <w:t xml:space="preserve">Value Added Tax Committee Working Paper No. 919 </w:t>
      </w:r>
      <w:r>
        <w:t>§ 3.1.5</w:t>
      </w:r>
      <w:r w:rsidRPr="00F57034">
        <w:t xml:space="preserve"> (2017).</w:t>
      </w:r>
    </w:p>
    <w:p w14:paraId="6925BA97" w14:textId="0178E612" w:rsidR="00DA09CC" w:rsidRDefault="00391F37" w:rsidP="00193598">
      <w:pPr>
        <w:ind w:firstLine="720"/>
      </w:pPr>
      <w:r>
        <w:t>A</w:t>
      </w:r>
      <w:r w:rsidR="00DA09CC">
        <w:t xml:space="preserve"> state</w:t>
      </w:r>
      <w:r w:rsidR="00193598">
        <w:t xml:space="preserve"> should review its</w:t>
      </w:r>
      <w:r w:rsidR="00DA09CC">
        <w:t xml:space="preserve"> bund</w:t>
      </w:r>
      <w:r w:rsidR="00E2039F">
        <w:t>l</w:t>
      </w:r>
      <w:r w:rsidR="00DA09CC">
        <w:t xml:space="preserve">ing rules </w:t>
      </w:r>
      <w:r w:rsidR="00193598">
        <w:t>to determine how they will impact taxability</w:t>
      </w:r>
      <w:r w:rsidR="00DA09CC">
        <w:t>.</w:t>
      </w:r>
      <w:r w:rsidR="0078340E">
        <w:t xml:space="preserve">  For example, </w:t>
      </w:r>
      <w:r w:rsidR="006E151E">
        <w:t xml:space="preserve">in the preceding dating illustration, </w:t>
      </w:r>
      <w:r w:rsidR="00B73E2F">
        <w:t>i</w:t>
      </w:r>
      <w:r w:rsidR="0078340E">
        <w:t>f the automated search function and the human assessment were sold for one non-itemized price, and it was determined that the functions were distinct and identifiable, and one function was not essential to the other, a state bundling rule might unbundle the transaction.</w:t>
      </w:r>
    </w:p>
    <w:p w14:paraId="7FB76918" w14:textId="1B96E34D" w:rsidR="00A806BE" w:rsidRDefault="00AA2F5D" w:rsidP="00B548C2">
      <w:pPr>
        <w:keepLines/>
        <w:ind w:firstLine="720"/>
      </w:pPr>
      <w:r>
        <w:lastRenderedPageBreak/>
        <w:t>The Streamlined Sales Tax Agreement Library of Definitions defines a “bundled transaction” as “the retail sale of two or more products, except real property and services to real property, where (1) the products are otherwise distinct and identifiable, and</w:t>
      </w:r>
      <w:r w:rsidR="00A806BE">
        <w:t xml:space="preserve"> </w:t>
      </w:r>
      <w:r>
        <w:t xml:space="preserve">(2) the products are sold for one non-itemized price.” </w:t>
      </w:r>
      <w:r w:rsidR="00A806BE">
        <w:t xml:space="preserve">Because the definition refers to “products,” the general definition should be applicable to “automated digital products.”  </w:t>
      </w:r>
      <w:r w:rsidR="00790263">
        <w:t>Section 330 of the Agreement provides that member states “are not restricted in their tax treatment of bundled transactions except as otherwise provided in the Agreement.”</w:t>
      </w:r>
    </w:p>
    <w:p w14:paraId="5E307182" w14:textId="3DDBB4DC" w:rsidR="00AA2F5D" w:rsidRDefault="00A806BE" w:rsidP="007A2E24">
      <w:pPr>
        <w:ind w:firstLine="720"/>
      </w:pPr>
      <w:r>
        <w:t xml:space="preserve">Part C of the </w:t>
      </w:r>
      <w:r w:rsidR="00694C33">
        <w:t xml:space="preserve">Streamlined </w:t>
      </w:r>
      <w:r>
        <w:t>definition</w:t>
      </w:r>
      <w:r w:rsidR="00C16AD4">
        <w:t xml:space="preserve"> of “bundled transaction”</w:t>
      </w:r>
      <w:r>
        <w:t xml:space="preserve"> </w:t>
      </w:r>
      <w:r w:rsidR="00C16AD4">
        <w:t>could be problematic because</w:t>
      </w:r>
      <w:r>
        <w:t xml:space="preserve"> it refers to “tangible personal property” and “services</w:t>
      </w:r>
      <w:r w:rsidR="00790263">
        <w:t>,</w:t>
      </w:r>
      <w:r>
        <w:t>”</w:t>
      </w:r>
      <w:r w:rsidR="00790263" w:rsidRPr="00790263">
        <w:t xml:space="preserve"> </w:t>
      </w:r>
      <w:r w:rsidR="00790263">
        <w:t>with the term “service</w:t>
      </w:r>
      <w:r w:rsidR="00D940B6">
        <w:t>s</w:t>
      </w:r>
      <w:r w:rsidR="00790263">
        <w:t xml:space="preserve">” being undefined in the Agreement. </w:t>
      </w:r>
      <w:r>
        <w:t xml:space="preserve"> </w:t>
      </w:r>
      <w:r w:rsidR="00C16AD4">
        <w:t>A</w:t>
      </w:r>
      <w:r>
        <w:t xml:space="preserve">n </w:t>
      </w:r>
      <w:r w:rsidR="00C16AD4">
        <w:t>“</w:t>
      </w:r>
      <w:r>
        <w:t>automated digital product</w:t>
      </w:r>
      <w:r w:rsidR="00C16AD4">
        <w:t>” is a separate classificatio</w:t>
      </w:r>
      <w:r w:rsidR="00790263">
        <w:t>n that is not dependent upon the product being tangible personal property or a service.  However, it may be assumed that an “automated digital product” is either tangible personal property or a service, such that Part C applies.</w:t>
      </w:r>
      <w:r w:rsidR="00AA2F5D">
        <w:t xml:space="preserve">  </w:t>
      </w:r>
    </w:p>
    <w:p w14:paraId="521CEC90" w14:textId="119854B5" w:rsidR="00587E1F" w:rsidRDefault="00587E1F" w:rsidP="00587E1F">
      <w:pPr>
        <w:ind w:firstLine="720"/>
      </w:pPr>
      <w:r>
        <w:t>The exemption</w:t>
      </w:r>
      <w:r w:rsidRPr="005928E4">
        <w:t xml:space="preserve"> </w:t>
      </w:r>
      <w:r>
        <w:t xml:space="preserve">for automated digital products that </w:t>
      </w:r>
      <w:r w:rsidRPr="00BA404D">
        <w:t>will be used predominantly for a trade or business</w:t>
      </w:r>
      <w:r>
        <w:t xml:space="preserve"> should reduce sourcing difficulties </w:t>
      </w:r>
      <w:r w:rsidR="004763C7">
        <w:t>arising</w:t>
      </w:r>
      <w:r>
        <w:t xml:space="preserve"> from commercial transactions that involve multiple business users at multiple locations. However, depending upon the state, sourcing may need to be clarified or specified.  The general sourcing rules in section 309 of the Streamlined Sales Tax Agreement should be sufficient because the sourcing rules apply to “all sales regardless of the characterization of a product as tangible personal property, a digital good, or a service.”</w:t>
      </w:r>
    </w:p>
    <w:bookmarkEnd w:id="0"/>
    <w:p w14:paraId="30914056" w14:textId="5DC6BD54" w:rsidR="004D1DDE" w:rsidRDefault="004D1DDE" w:rsidP="004D1DDE">
      <w:pPr>
        <w:ind w:firstLine="720"/>
      </w:pPr>
    </w:p>
    <w:sectPr w:rsidR="004D1DDE" w:rsidSect="009F2CD2">
      <w:headerReference w:type="even" r:id="rId20"/>
      <w:headerReference w:type="default" r:id="rId21"/>
      <w:footerReference w:type="even" r:id="rId22"/>
      <w:footerReference w:type="default" r:id="rId23"/>
      <w:headerReference w:type="first" r:id="rId24"/>
      <w:footerReference w:type="first" r:id="rId25"/>
      <w:pgSz w:w="12240" w:h="15840" w:code="1"/>
      <w:pgMar w:top="1152" w:right="1440" w:bottom="1152" w:left="1440"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E9DDA" w14:textId="77777777" w:rsidR="009D089F" w:rsidRDefault="009D089F">
      <w:pPr>
        <w:spacing w:after="0"/>
      </w:pPr>
      <w:r>
        <w:separator/>
      </w:r>
    </w:p>
  </w:endnote>
  <w:endnote w:type="continuationSeparator" w:id="0">
    <w:p w14:paraId="5B4C0124" w14:textId="77777777" w:rsidR="009D089F" w:rsidRDefault="009D08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BDCA" w14:textId="77777777" w:rsidR="00053715" w:rsidRDefault="000537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E0E692" w14:textId="77777777" w:rsidR="00053715" w:rsidRDefault="000537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195665"/>
      <w:docPartObj>
        <w:docPartGallery w:val="Page Numbers (Bottom of Page)"/>
        <w:docPartUnique/>
      </w:docPartObj>
    </w:sdtPr>
    <w:sdtEndPr>
      <w:rPr>
        <w:noProof/>
      </w:rPr>
    </w:sdtEndPr>
    <w:sdtContent>
      <w:p w14:paraId="779BF5DA" w14:textId="19A61F99" w:rsidR="008A1575" w:rsidRDefault="008A15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DFFBDA" w14:textId="77777777" w:rsidR="008A1575" w:rsidRDefault="008A15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0FF7" w14:textId="77777777" w:rsidR="008C57C0" w:rsidRDefault="008C5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91350" w14:textId="77777777" w:rsidR="009D089F" w:rsidRDefault="009D089F">
      <w:pPr>
        <w:spacing w:after="0"/>
      </w:pPr>
      <w:r>
        <w:separator/>
      </w:r>
    </w:p>
  </w:footnote>
  <w:footnote w:type="continuationSeparator" w:id="0">
    <w:p w14:paraId="634E8CBF" w14:textId="77777777" w:rsidR="009D089F" w:rsidRDefault="009D08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3B29E" w14:textId="77777777" w:rsidR="008C57C0" w:rsidRDefault="008C57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32C9" w14:textId="631F1556" w:rsidR="00916AA4" w:rsidRDefault="00916AA4" w:rsidP="00916AA4">
    <w:pPr>
      <w:pStyle w:val="Header"/>
      <w:jc w:val="right"/>
    </w:pPr>
    <w:r>
      <w:t xml:space="preserve">Draft </w:t>
    </w:r>
    <w:r w:rsidR="00AD7E2D">
      <w:t>–</w:t>
    </w:r>
    <w:r>
      <w:t xml:space="preserve"> 20250</w:t>
    </w:r>
    <w:r w:rsidR="00EF3AF9">
      <w:t>8</w:t>
    </w:r>
    <w:r w:rsidR="00F60C1B">
      <w:t>30</w:t>
    </w:r>
  </w:p>
  <w:p w14:paraId="68657BD3" w14:textId="77777777" w:rsidR="00916AA4" w:rsidRDefault="00916A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5C21" w14:textId="77777777" w:rsidR="008C57C0" w:rsidRDefault="008C57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7358C"/>
    <w:multiLevelType w:val="hybridMultilevel"/>
    <w:tmpl w:val="FB78F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C11A0"/>
    <w:multiLevelType w:val="hybridMultilevel"/>
    <w:tmpl w:val="96582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CBA219D"/>
    <w:multiLevelType w:val="multilevel"/>
    <w:tmpl w:val="48623BD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decimal"/>
      <w:pStyle w:val="Heading6"/>
      <w:lvlText w:val="(%6)"/>
      <w:lvlJc w:val="left"/>
      <w:pPr>
        <w:tabs>
          <w:tab w:val="num" w:pos="4248"/>
        </w:tabs>
        <w:ind w:left="4248" w:hanging="648"/>
      </w:pPr>
    </w:lvl>
    <w:lvl w:ilvl="6">
      <w:start w:val="1"/>
      <w:numFmt w:val="lowerLetter"/>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upperLetter"/>
      <w:pStyle w:val="Heading9"/>
      <w:lvlText w:val="(%9)"/>
      <w:lvlJc w:val="left"/>
      <w:pPr>
        <w:tabs>
          <w:tab w:val="num" w:pos="6120"/>
        </w:tabs>
        <w:ind w:left="5760" w:firstLine="0"/>
      </w:pPr>
    </w:lvl>
  </w:abstractNum>
  <w:abstractNum w:abstractNumId="3" w15:restartNumberingAfterBreak="0">
    <w:nsid w:val="44025037"/>
    <w:multiLevelType w:val="hybridMultilevel"/>
    <w:tmpl w:val="0D0CC6F4"/>
    <w:lvl w:ilvl="0" w:tplc="E8886C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E4158E"/>
    <w:multiLevelType w:val="hybridMultilevel"/>
    <w:tmpl w:val="2EF85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54F45F0"/>
    <w:multiLevelType w:val="hybridMultilevel"/>
    <w:tmpl w:val="9CAC1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27101548">
    <w:abstractNumId w:val="2"/>
  </w:num>
  <w:num w:numId="2" w16cid:durableId="695691243">
    <w:abstractNumId w:val="0"/>
  </w:num>
  <w:num w:numId="3" w16cid:durableId="8500707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4513399">
    <w:abstractNumId w:val="4"/>
  </w:num>
  <w:num w:numId="5" w16cid:durableId="955600710">
    <w:abstractNumId w:val="5"/>
  </w:num>
  <w:num w:numId="6" w16cid:durableId="18368739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4173676">
    <w:abstractNumId w:val="1"/>
  </w:num>
  <w:num w:numId="8" w16cid:durableId="315498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FED"/>
    <w:rsid w:val="00011A78"/>
    <w:rsid w:val="00012BDE"/>
    <w:rsid w:val="000148EE"/>
    <w:rsid w:val="000201A1"/>
    <w:rsid w:val="000235E5"/>
    <w:rsid w:val="000247E2"/>
    <w:rsid w:val="00034FC1"/>
    <w:rsid w:val="00035D9B"/>
    <w:rsid w:val="0003779B"/>
    <w:rsid w:val="000514BA"/>
    <w:rsid w:val="00053715"/>
    <w:rsid w:val="00065895"/>
    <w:rsid w:val="00083384"/>
    <w:rsid w:val="00091DB8"/>
    <w:rsid w:val="000A511A"/>
    <w:rsid w:val="000A5242"/>
    <w:rsid w:val="000A5D6D"/>
    <w:rsid w:val="000C1E8B"/>
    <w:rsid w:val="000C2C2F"/>
    <w:rsid w:val="000C6027"/>
    <w:rsid w:val="000D3B14"/>
    <w:rsid w:val="000D571D"/>
    <w:rsid w:val="000E1248"/>
    <w:rsid w:val="000E2B3B"/>
    <w:rsid w:val="000E2FB2"/>
    <w:rsid w:val="000E4459"/>
    <w:rsid w:val="000E67DE"/>
    <w:rsid w:val="000F0E77"/>
    <w:rsid w:val="000F384A"/>
    <w:rsid w:val="000F4B8C"/>
    <w:rsid w:val="001042AC"/>
    <w:rsid w:val="001042FB"/>
    <w:rsid w:val="0011187F"/>
    <w:rsid w:val="00112314"/>
    <w:rsid w:val="00112E95"/>
    <w:rsid w:val="00113FDD"/>
    <w:rsid w:val="00122B47"/>
    <w:rsid w:val="00123492"/>
    <w:rsid w:val="001270CF"/>
    <w:rsid w:val="00127289"/>
    <w:rsid w:val="001319F1"/>
    <w:rsid w:val="001324DD"/>
    <w:rsid w:val="00140B81"/>
    <w:rsid w:val="00144819"/>
    <w:rsid w:val="001503FD"/>
    <w:rsid w:val="00155782"/>
    <w:rsid w:val="00157F50"/>
    <w:rsid w:val="0016220F"/>
    <w:rsid w:val="00162E3E"/>
    <w:rsid w:val="00167807"/>
    <w:rsid w:val="00172B05"/>
    <w:rsid w:val="00173DCE"/>
    <w:rsid w:val="001747F9"/>
    <w:rsid w:val="001762C8"/>
    <w:rsid w:val="001775CE"/>
    <w:rsid w:val="00182044"/>
    <w:rsid w:val="00182F97"/>
    <w:rsid w:val="00193598"/>
    <w:rsid w:val="001947A7"/>
    <w:rsid w:val="001D262D"/>
    <w:rsid w:val="001D42CE"/>
    <w:rsid w:val="001E0771"/>
    <w:rsid w:val="001E3E42"/>
    <w:rsid w:val="001E5769"/>
    <w:rsid w:val="001F2BC7"/>
    <w:rsid w:val="001F5ABD"/>
    <w:rsid w:val="00201078"/>
    <w:rsid w:val="00203850"/>
    <w:rsid w:val="002338E9"/>
    <w:rsid w:val="00237903"/>
    <w:rsid w:val="00237D45"/>
    <w:rsid w:val="002421F1"/>
    <w:rsid w:val="002434D3"/>
    <w:rsid w:val="00245834"/>
    <w:rsid w:val="00250CE3"/>
    <w:rsid w:val="00251043"/>
    <w:rsid w:val="002518B5"/>
    <w:rsid w:val="00253521"/>
    <w:rsid w:val="00254B02"/>
    <w:rsid w:val="0025521D"/>
    <w:rsid w:val="0025524B"/>
    <w:rsid w:val="00256F9C"/>
    <w:rsid w:val="00257050"/>
    <w:rsid w:val="00267D22"/>
    <w:rsid w:val="0027141F"/>
    <w:rsid w:val="002719D4"/>
    <w:rsid w:val="00273D68"/>
    <w:rsid w:val="00287D04"/>
    <w:rsid w:val="00293667"/>
    <w:rsid w:val="002973FC"/>
    <w:rsid w:val="002A1555"/>
    <w:rsid w:val="002A3199"/>
    <w:rsid w:val="002A746B"/>
    <w:rsid w:val="002B1ADB"/>
    <w:rsid w:val="002B3876"/>
    <w:rsid w:val="002B7162"/>
    <w:rsid w:val="002C1B64"/>
    <w:rsid w:val="002C6303"/>
    <w:rsid w:val="002C6FDC"/>
    <w:rsid w:val="002C78F8"/>
    <w:rsid w:val="002C7CA4"/>
    <w:rsid w:val="002D2FD4"/>
    <w:rsid w:val="002D4E50"/>
    <w:rsid w:val="002D77EE"/>
    <w:rsid w:val="002E1FF5"/>
    <w:rsid w:val="002E31AC"/>
    <w:rsid w:val="002E497F"/>
    <w:rsid w:val="002F0C83"/>
    <w:rsid w:val="002F1595"/>
    <w:rsid w:val="00300A5D"/>
    <w:rsid w:val="003011EC"/>
    <w:rsid w:val="00310DFF"/>
    <w:rsid w:val="00311565"/>
    <w:rsid w:val="00321129"/>
    <w:rsid w:val="00325F83"/>
    <w:rsid w:val="00327B83"/>
    <w:rsid w:val="003308B5"/>
    <w:rsid w:val="00331C5F"/>
    <w:rsid w:val="003374C8"/>
    <w:rsid w:val="003446EF"/>
    <w:rsid w:val="00346668"/>
    <w:rsid w:val="00346A9E"/>
    <w:rsid w:val="00347BF3"/>
    <w:rsid w:val="00347FD6"/>
    <w:rsid w:val="00350CC3"/>
    <w:rsid w:val="00352E61"/>
    <w:rsid w:val="00353A8D"/>
    <w:rsid w:val="00353F2B"/>
    <w:rsid w:val="0035609C"/>
    <w:rsid w:val="00363F5A"/>
    <w:rsid w:val="00364919"/>
    <w:rsid w:val="00364DD6"/>
    <w:rsid w:val="0036504D"/>
    <w:rsid w:val="0036653F"/>
    <w:rsid w:val="0038514F"/>
    <w:rsid w:val="00385218"/>
    <w:rsid w:val="00387F9E"/>
    <w:rsid w:val="00391F37"/>
    <w:rsid w:val="00393CC0"/>
    <w:rsid w:val="00394FCC"/>
    <w:rsid w:val="0039629F"/>
    <w:rsid w:val="003A04B4"/>
    <w:rsid w:val="003A0816"/>
    <w:rsid w:val="003A15D2"/>
    <w:rsid w:val="003A1702"/>
    <w:rsid w:val="003A7FE7"/>
    <w:rsid w:val="003B13B8"/>
    <w:rsid w:val="003B30C3"/>
    <w:rsid w:val="003B61C1"/>
    <w:rsid w:val="003C10FC"/>
    <w:rsid w:val="003C44AB"/>
    <w:rsid w:val="003D2A1D"/>
    <w:rsid w:val="003E5997"/>
    <w:rsid w:val="003E6237"/>
    <w:rsid w:val="003F4AE5"/>
    <w:rsid w:val="003F6239"/>
    <w:rsid w:val="0040108C"/>
    <w:rsid w:val="00406521"/>
    <w:rsid w:val="00407246"/>
    <w:rsid w:val="0042490E"/>
    <w:rsid w:val="004416D0"/>
    <w:rsid w:val="00441D0D"/>
    <w:rsid w:val="004440FF"/>
    <w:rsid w:val="00445C94"/>
    <w:rsid w:val="00446994"/>
    <w:rsid w:val="004472E3"/>
    <w:rsid w:val="00447DF7"/>
    <w:rsid w:val="004557B9"/>
    <w:rsid w:val="0046260A"/>
    <w:rsid w:val="00464AD9"/>
    <w:rsid w:val="00465A59"/>
    <w:rsid w:val="00466A80"/>
    <w:rsid w:val="00472582"/>
    <w:rsid w:val="004748CB"/>
    <w:rsid w:val="004750DF"/>
    <w:rsid w:val="004763C7"/>
    <w:rsid w:val="004812A9"/>
    <w:rsid w:val="004825E2"/>
    <w:rsid w:val="00490E1D"/>
    <w:rsid w:val="00491008"/>
    <w:rsid w:val="00496CFC"/>
    <w:rsid w:val="004A14EC"/>
    <w:rsid w:val="004A32AD"/>
    <w:rsid w:val="004A5957"/>
    <w:rsid w:val="004B4249"/>
    <w:rsid w:val="004B50E7"/>
    <w:rsid w:val="004C311B"/>
    <w:rsid w:val="004C792C"/>
    <w:rsid w:val="004C7ACE"/>
    <w:rsid w:val="004D11C5"/>
    <w:rsid w:val="004D1DDE"/>
    <w:rsid w:val="004D4B84"/>
    <w:rsid w:val="004D5A64"/>
    <w:rsid w:val="004D6526"/>
    <w:rsid w:val="004E2382"/>
    <w:rsid w:val="004E37BB"/>
    <w:rsid w:val="004F12C7"/>
    <w:rsid w:val="004F5865"/>
    <w:rsid w:val="004F738B"/>
    <w:rsid w:val="00505BC6"/>
    <w:rsid w:val="0051003A"/>
    <w:rsid w:val="00512733"/>
    <w:rsid w:val="0051437E"/>
    <w:rsid w:val="00516323"/>
    <w:rsid w:val="005215D0"/>
    <w:rsid w:val="005228AC"/>
    <w:rsid w:val="00525256"/>
    <w:rsid w:val="005341EA"/>
    <w:rsid w:val="0053733E"/>
    <w:rsid w:val="00540C78"/>
    <w:rsid w:val="00544D10"/>
    <w:rsid w:val="00550519"/>
    <w:rsid w:val="0055239A"/>
    <w:rsid w:val="005524FC"/>
    <w:rsid w:val="00564FCA"/>
    <w:rsid w:val="00572BEE"/>
    <w:rsid w:val="00580480"/>
    <w:rsid w:val="00580F4C"/>
    <w:rsid w:val="00587CE8"/>
    <w:rsid w:val="00587D98"/>
    <w:rsid w:val="00587E1F"/>
    <w:rsid w:val="005928E4"/>
    <w:rsid w:val="00595AEC"/>
    <w:rsid w:val="00596CD2"/>
    <w:rsid w:val="005A0A8C"/>
    <w:rsid w:val="005A2041"/>
    <w:rsid w:val="005A2BAC"/>
    <w:rsid w:val="005A51EA"/>
    <w:rsid w:val="005B0B1E"/>
    <w:rsid w:val="005B2F17"/>
    <w:rsid w:val="005B46AF"/>
    <w:rsid w:val="005B6D34"/>
    <w:rsid w:val="005C3450"/>
    <w:rsid w:val="005C4C40"/>
    <w:rsid w:val="005C575A"/>
    <w:rsid w:val="005C7A61"/>
    <w:rsid w:val="005D1359"/>
    <w:rsid w:val="005D5DAE"/>
    <w:rsid w:val="005E0C9A"/>
    <w:rsid w:val="005E2D16"/>
    <w:rsid w:val="005E3DA3"/>
    <w:rsid w:val="005E4BD7"/>
    <w:rsid w:val="005E753B"/>
    <w:rsid w:val="005E7B5B"/>
    <w:rsid w:val="005F1DE5"/>
    <w:rsid w:val="005F3EDE"/>
    <w:rsid w:val="005F4E83"/>
    <w:rsid w:val="006047DD"/>
    <w:rsid w:val="00614CCB"/>
    <w:rsid w:val="00651055"/>
    <w:rsid w:val="00657005"/>
    <w:rsid w:val="0066459C"/>
    <w:rsid w:val="00670B8B"/>
    <w:rsid w:val="006837AD"/>
    <w:rsid w:val="00694C33"/>
    <w:rsid w:val="006A0546"/>
    <w:rsid w:val="006A525A"/>
    <w:rsid w:val="006A7192"/>
    <w:rsid w:val="006C2668"/>
    <w:rsid w:val="006C492F"/>
    <w:rsid w:val="006C5301"/>
    <w:rsid w:val="006D1F09"/>
    <w:rsid w:val="006D256B"/>
    <w:rsid w:val="006D3754"/>
    <w:rsid w:val="006D45F0"/>
    <w:rsid w:val="006D4649"/>
    <w:rsid w:val="006D4753"/>
    <w:rsid w:val="006D4DEF"/>
    <w:rsid w:val="006D528E"/>
    <w:rsid w:val="006D787F"/>
    <w:rsid w:val="006E151E"/>
    <w:rsid w:val="006E4861"/>
    <w:rsid w:val="006E7702"/>
    <w:rsid w:val="006F2028"/>
    <w:rsid w:val="006F6516"/>
    <w:rsid w:val="00702D62"/>
    <w:rsid w:val="00704292"/>
    <w:rsid w:val="007054C3"/>
    <w:rsid w:val="007118AA"/>
    <w:rsid w:val="00711C68"/>
    <w:rsid w:val="0071515F"/>
    <w:rsid w:val="00716270"/>
    <w:rsid w:val="007200CC"/>
    <w:rsid w:val="00724D61"/>
    <w:rsid w:val="00732A0B"/>
    <w:rsid w:val="00734248"/>
    <w:rsid w:val="00735B30"/>
    <w:rsid w:val="007411E7"/>
    <w:rsid w:val="00746C04"/>
    <w:rsid w:val="00747DB4"/>
    <w:rsid w:val="00752260"/>
    <w:rsid w:val="00752DFC"/>
    <w:rsid w:val="00767E8B"/>
    <w:rsid w:val="00771BE7"/>
    <w:rsid w:val="007768C8"/>
    <w:rsid w:val="007778A6"/>
    <w:rsid w:val="00780DE1"/>
    <w:rsid w:val="00781AA9"/>
    <w:rsid w:val="0078340E"/>
    <w:rsid w:val="00790263"/>
    <w:rsid w:val="00792232"/>
    <w:rsid w:val="00792A52"/>
    <w:rsid w:val="00793CC5"/>
    <w:rsid w:val="007A2E24"/>
    <w:rsid w:val="007A53BF"/>
    <w:rsid w:val="007A5631"/>
    <w:rsid w:val="007A5AC2"/>
    <w:rsid w:val="007B1151"/>
    <w:rsid w:val="007B46F2"/>
    <w:rsid w:val="007B5FC6"/>
    <w:rsid w:val="007B7427"/>
    <w:rsid w:val="007C07CC"/>
    <w:rsid w:val="007C20B9"/>
    <w:rsid w:val="007C685A"/>
    <w:rsid w:val="007D155F"/>
    <w:rsid w:val="007E0908"/>
    <w:rsid w:val="007F03B1"/>
    <w:rsid w:val="008042AD"/>
    <w:rsid w:val="00804C65"/>
    <w:rsid w:val="00810F86"/>
    <w:rsid w:val="0081107A"/>
    <w:rsid w:val="00812BD4"/>
    <w:rsid w:val="00813A61"/>
    <w:rsid w:val="00813EB5"/>
    <w:rsid w:val="00821859"/>
    <w:rsid w:val="00822758"/>
    <w:rsid w:val="0082438A"/>
    <w:rsid w:val="008306DB"/>
    <w:rsid w:val="00831A23"/>
    <w:rsid w:val="00844D5B"/>
    <w:rsid w:val="00847ED2"/>
    <w:rsid w:val="0085763C"/>
    <w:rsid w:val="00864CB9"/>
    <w:rsid w:val="008703CF"/>
    <w:rsid w:val="00875238"/>
    <w:rsid w:val="00875D20"/>
    <w:rsid w:val="00876F2E"/>
    <w:rsid w:val="00883D55"/>
    <w:rsid w:val="00884C30"/>
    <w:rsid w:val="00886167"/>
    <w:rsid w:val="00887B6B"/>
    <w:rsid w:val="00894296"/>
    <w:rsid w:val="00897FF9"/>
    <w:rsid w:val="008A1575"/>
    <w:rsid w:val="008A5819"/>
    <w:rsid w:val="008A6701"/>
    <w:rsid w:val="008B1101"/>
    <w:rsid w:val="008B3C23"/>
    <w:rsid w:val="008C0435"/>
    <w:rsid w:val="008C079B"/>
    <w:rsid w:val="008C57C0"/>
    <w:rsid w:val="008C5DC2"/>
    <w:rsid w:val="008C6916"/>
    <w:rsid w:val="008D362A"/>
    <w:rsid w:val="008D5746"/>
    <w:rsid w:val="008E09CC"/>
    <w:rsid w:val="008F26C9"/>
    <w:rsid w:val="008F5250"/>
    <w:rsid w:val="008F5B3E"/>
    <w:rsid w:val="00902735"/>
    <w:rsid w:val="00905BE0"/>
    <w:rsid w:val="00916AA4"/>
    <w:rsid w:val="009205C9"/>
    <w:rsid w:val="00922EED"/>
    <w:rsid w:val="0092328D"/>
    <w:rsid w:val="00931AC8"/>
    <w:rsid w:val="00931B15"/>
    <w:rsid w:val="00931E61"/>
    <w:rsid w:val="00932415"/>
    <w:rsid w:val="00943101"/>
    <w:rsid w:val="00945F65"/>
    <w:rsid w:val="00947844"/>
    <w:rsid w:val="00952CB9"/>
    <w:rsid w:val="009553A9"/>
    <w:rsid w:val="00960409"/>
    <w:rsid w:val="00963A46"/>
    <w:rsid w:val="0096468F"/>
    <w:rsid w:val="009652E9"/>
    <w:rsid w:val="00965A7E"/>
    <w:rsid w:val="00966DC3"/>
    <w:rsid w:val="009758E7"/>
    <w:rsid w:val="00982E43"/>
    <w:rsid w:val="00983E05"/>
    <w:rsid w:val="009849AE"/>
    <w:rsid w:val="00985F4E"/>
    <w:rsid w:val="00985FED"/>
    <w:rsid w:val="00992052"/>
    <w:rsid w:val="00992670"/>
    <w:rsid w:val="00993FD8"/>
    <w:rsid w:val="00994ADA"/>
    <w:rsid w:val="009A020F"/>
    <w:rsid w:val="009A2A90"/>
    <w:rsid w:val="009A2E09"/>
    <w:rsid w:val="009A5681"/>
    <w:rsid w:val="009B0F6A"/>
    <w:rsid w:val="009B4540"/>
    <w:rsid w:val="009B7526"/>
    <w:rsid w:val="009C5D23"/>
    <w:rsid w:val="009D089F"/>
    <w:rsid w:val="009E7BD5"/>
    <w:rsid w:val="009F2CD2"/>
    <w:rsid w:val="009F70F1"/>
    <w:rsid w:val="00A12C1C"/>
    <w:rsid w:val="00A131EF"/>
    <w:rsid w:val="00A1670F"/>
    <w:rsid w:val="00A16752"/>
    <w:rsid w:val="00A22CE5"/>
    <w:rsid w:val="00A24090"/>
    <w:rsid w:val="00A2412D"/>
    <w:rsid w:val="00A24B1A"/>
    <w:rsid w:val="00A268BD"/>
    <w:rsid w:val="00A33AD9"/>
    <w:rsid w:val="00A50141"/>
    <w:rsid w:val="00A50885"/>
    <w:rsid w:val="00A60DBB"/>
    <w:rsid w:val="00A7371E"/>
    <w:rsid w:val="00A73AFE"/>
    <w:rsid w:val="00A75575"/>
    <w:rsid w:val="00A806BE"/>
    <w:rsid w:val="00A82C0F"/>
    <w:rsid w:val="00A850BC"/>
    <w:rsid w:val="00A95C62"/>
    <w:rsid w:val="00A96167"/>
    <w:rsid w:val="00AA072E"/>
    <w:rsid w:val="00AA2340"/>
    <w:rsid w:val="00AA2F5D"/>
    <w:rsid w:val="00AA3963"/>
    <w:rsid w:val="00AB438A"/>
    <w:rsid w:val="00AB46D9"/>
    <w:rsid w:val="00AC2708"/>
    <w:rsid w:val="00AC3658"/>
    <w:rsid w:val="00AC6855"/>
    <w:rsid w:val="00AD195C"/>
    <w:rsid w:val="00AD3C08"/>
    <w:rsid w:val="00AD6D26"/>
    <w:rsid w:val="00AD7E2D"/>
    <w:rsid w:val="00AE3994"/>
    <w:rsid w:val="00AE3CE7"/>
    <w:rsid w:val="00AE6673"/>
    <w:rsid w:val="00AF1CE1"/>
    <w:rsid w:val="00AF32C4"/>
    <w:rsid w:val="00AF4E5A"/>
    <w:rsid w:val="00B01CB2"/>
    <w:rsid w:val="00B02017"/>
    <w:rsid w:val="00B0362C"/>
    <w:rsid w:val="00B13AAE"/>
    <w:rsid w:val="00B15325"/>
    <w:rsid w:val="00B23361"/>
    <w:rsid w:val="00B2343A"/>
    <w:rsid w:val="00B24DDF"/>
    <w:rsid w:val="00B34336"/>
    <w:rsid w:val="00B36E55"/>
    <w:rsid w:val="00B502CF"/>
    <w:rsid w:val="00B545FD"/>
    <w:rsid w:val="00B548C2"/>
    <w:rsid w:val="00B573D6"/>
    <w:rsid w:val="00B67548"/>
    <w:rsid w:val="00B73E2F"/>
    <w:rsid w:val="00B759D7"/>
    <w:rsid w:val="00B80698"/>
    <w:rsid w:val="00B83823"/>
    <w:rsid w:val="00B90874"/>
    <w:rsid w:val="00B91EA0"/>
    <w:rsid w:val="00B94DC3"/>
    <w:rsid w:val="00BA404D"/>
    <w:rsid w:val="00BA54D3"/>
    <w:rsid w:val="00BB03C0"/>
    <w:rsid w:val="00BB41C0"/>
    <w:rsid w:val="00BB4A06"/>
    <w:rsid w:val="00BB7761"/>
    <w:rsid w:val="00BC1A24"/>
    <w:rsid w:val="00BC4790"/>
    <w:rsid w:val="00BD61E0"/>
    <w:rsid w:val="00BD7373"/>
    <w:rsid w:val="00BE3554"/>
    <w:rsid w:val="00BE522D"/>
    <w:rsid w:val="00C03315"/>
    <w:rsid w:val="00C0398D"/>
    <w:rsid w:val="00C054B2"/>
    <w:rsid w:val="00C105AD"/>
    <w:rsid w:val="00C16AD4"/>
    <w:rsid w:val="00C20BB6"/>
    <w:rsid w:val="00C20C09"/>
    <w:rsid w:val="00C2612D"/>
    <w:rsid w:val="00C26482"/>
    <w:rsid w:val="00C32A29"/>
    <w:rsid w:val="00C35735"/>
    <w:rsid w:val="00C35974"/>
    <w:rsid w:val="00C47056"/>
    <w:rsid w:val="00C51112"/>
    <w:rsid w:val="00C552B0"/>
    <w:rsid w:val="00C6010A"/>
    <w:rsid w:val="00C73EA3"/>
    <w:rsid w:val="00C7400F"/>
    <w:rsid w:val="00C81C06"/>
    <w:rsid w:val="00C8450C"/>
    <w:rsid w:val="00C84D71"/>
    <w:rsid w:val="00C95A31"/>
    <w:rsid w:val="00C96DDA"/>
    <w:rsid w:val="00CA116A"/>
    <w:rsid w:val="00CB0075"/>
    <w:rsid w:val="00CB0EA4"/>
    <w:rsid w:val="00CC1572"/>
    <w:rsid w:val="00CC2910"/>
    <w:rsid w:val="00CC7375"/>
    <w:rsid w:val="00CD0294"/>
    <w:rsid w:val="00CD5984"/>
    <w:rsid w:val="00CD5E0D"/>
    <w:rsid w:val="00CE0731"/>
    <w:rsid w:val="00CE1E73"/>
    <w:rsid w:val="00CE36BB"/>
    <w:rsid w:val="00CE3A4F"/>
    <w:rsid w:val="00CE3E67"/>
    <w:rsid w:val="00CF1408"/>
    <w:rsid w:val="00CF513F"/>
    <w:rsid w:val="00CF62EE"/>
    <w:rsid w:val="00CF631A"/>
    <w:rsid w:val="00CF660D"/>
    <w:rsid w:val="00D15AF4"/>
    <w:rsid w:val="00D21601"/>
    <w:rsid w:val="00D25E69"/>
    <w:rsid w:val="00D27AFF"/>
    <w:rsid w:val="00D30F1F"/>
    <w:rsid w:val="00D33628"/>
    <w:rsid w:val="00D34AF5"/>
    <w:rsid w:val="00D37E2C"/>
    <w:rsid w:val="00D56225"/>
    <w:rsid w:val="00D609EC"/>
    <w:rsid w:val="00D611DC"/>
    <w:rsid w:val="00D6220E"/>
    <w:rsid w:val="00D7004E"/>
    <w:rsid w:val="00D70607"/>
    <w:rsid w:val="00D729F6"/>
    <w:rsid w:val="00D73BC2"/>
    <w:rsid w:val="00D74D82"/>
    <w:rsid w:val="00D81744"/>
    <w:rsid w:val="00D8192E"/>
    <w:rsid w:val="00D83AF0"/>
    <w:rsid w:val="00D83E6F"/>
    <w:rsid w:val="00D900DB"/>
    <w:rsid w:val="00D915A7"/>
    <w:rsid w:val="00D940B6"/>
    <w:rsid w:val="00D96F54"/>
    <w:rsid w:val="00DA052A"/>
    <w:rsid w:val="00DA09CC"/>
    <w:rsid w:val="00DA2594"/>
    <w:rsid w:val="00DA4BEC"/>
    <w:rsid w:val="00DC0B12"/>
    <w:rsid w:val="00DC1014"/>
    <w:rsid w:val="00DC29CC"/>
    <w:rsid w:val="00DC375C"/>
    <w:rsid w:val="00DC6A4F"/>
    <w:rsid w:val="00DC6D62"/>
    <w:rsid w:val="00DC72F2"/>
    <w:rsid w:val="00DD26DF"/>
    <w:rsid w:val="00DD7B62"/>
    <w:rsid w:val="00DE3F42"/>
    <w:rsid w:val="00DE42B7"/>
    <w:rsid w:val="00DE560F"/>
    <w:rsid w:val="00E06BE9"/>
    <w:rsid w:val="00E07F4E"/>
    <w:rsid w:val="00E2039F"/>
    <w:rsid w:val="00E30146"/>
    <w:rsid w:val="00E328AC"/>
    <w:rsid w:val="00E33236"/>
    <w:rsid w:val="00E470C2"/>
    <w:rsid w:val="00E47167"/>
    <w:rsid w:val="00E4721E"/>
    <w:rsid w:val="00E53B2D"/>
    <w:rsid w:val="00E55989"/>
    <w:rsid w:val="00E568B4"/>
    <w:rsid w:val="00E57F01"/>
    <w:rsid w:val="00E60AD4"/>
    <w:rsid w:val="00E64364"/>
    <w:rsid w:val="00E748A0"/>
    <w:rsid w:val="00E753B2"/>
    <w:rsid w:val="00E856F6"/>
    <w:rsid w:val="00E953E2"/>
    <w:rsid w:val="00EA09D1"/>
    <w:rsid w:val="00EA0A5C"/>
    <w:rsid w:val="00EA1850"/>
    <w:rsid w:val="00EA1939"/>
    <w:rsid w:val="00EA2CB2"/>
    <w:rsid w:val="00EB6ED7"/>
    <w:rsid w:val="00EC380F"/>
    <w:rsid w:val="00EE6C7B"/>
    <w:rsid w:val="00EF0B05"/>
    <w:rsid w:val="00EF3AF9"/>
    <w:rsid w:val="00EF3FE3"/>
    <w:rsid w:val="00EF4837"/>
    <w:rsid w:val="00EF4C82"/>
    <w:rsid w:val="00EF57FF"/>
    <w:rsid w:val="00F0129D"/>
    <w:rsid w:val="00F0244D"/>
    <w:rsid w:val="00F1031C"/>
    <w:rsid w:val="00F17CF1"/>
    <w:rsid w:val="00F23354"/>
    <w:rsid w:val="00F30979"/>
    <w:rsid w:val="00F330B6"/>
    <w:rsid w:val="00F35700"/>
    <w:rsid w:val="00F42BFA"/>
    <w:rsid w:val="00F50B01"/>
    <w:rsid w:val="00F560C8"/>
    <w:rsid w:val="00F57034"/>
    <w:rsid w:val="00F60C1B"/>
    <w:rsid w:val="00F63BD1"/>
    <w:rsid w:val="00F64D1D"/>
    <w:rsid w:val="00F66AA9"/>
    <w:rsid w:val="00F72120"/>
    <w:rsid w:val="00F80781"/>
    <w:rsid w:val="00F80D3A"/>
    <w:rsid w:val="00F81ECE"/>
    <w:rsid w:val="00F8483D"/>
    <w:rsid w:val="00F85BC5"/>
    <w:rsid w:val="00F860E5"/>
    <w:rsid w:val="00F86A9F"/>
    <w:rsid w:val="00F86E88"/>
    <w:rsid w:val="00F925ED"/>
    <w:rsid w:val="00F92D3A"/>
    <w:rsid w:val="00F94260"/>
    <w:rsid w:val="00FA134F"/>
    <w:rsid w:val="00FA5B1B"/>
    <w:rsid w:val="00FB019F"/>
    <w:rsid w:val="00FB0821"/>
    <w:rsid w:val="00FB0F99"/>
    <w:rsid w:val="00FC3178"/>
    <w:rsid w:val="00FC3291"/>
    <w:rsid w:val="00FC4320"/>
    <w:rsid w:val="00FC73DA"/>
    <w:rsid w:val="00FC746B"/>
    <w:rsid w:val="00FC7CBA"/>
    <w:rsid w:val="00FD2ECB"/>
    <w:rsid w:val="00FE20C8"/>
    <w:rsid w:val="00FF0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12C7F"/>
  <w15:chartTrackingRefBased/>
  <w15:docId w15:val="{70D488C5-1628-4939-9123-9E211342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B15"/>
    <w:pPr>
      <w:spacing w:after="120" w:line="360" w:lineRule="auto"/>
    </w:pPr>
    <w:rPr>
      <w:rFonts w:ascii="Arial" w:hAnsi="Arial"/>
      <w:sz w:val="24"/>
    </w:rPr>
  </w:style>
  <w:style w:type="paragraph" w:styleId="Heading1">
    <w:name w:val="heading 1"/>
    <w:basedOn w:val="Normal"/>
    <w:next w:val="Heading2"/>
    <w:link w:val="Heading1Char"/>
    <w:qFormat/>
    <w:rsid w:val="00123492"/>
    <w:pPr>
      <w:keepNext/>
      <w:numPr>
        <w:numId w:val="1"/>
      </w:numPr>
      <w:tabs>
        <w:tab w:val="num" w:pos="360"/>
      </w:tabs>
      <w:ind w:left="360" w:hanging="360"/>
      <w:outlineLvl w:val="0"/>
    </w:pPr>
    <w:rPr>
      <w:kern w:val="28"/>
    </w:rPr>
  </w:style>
  <w:style w:type="paragraph" w:styleId="Heading2">
    <w:name w:val="heading 2"/>
    <w:basedOn w:val="Normal"/>
    <w:qFormat/>
    <w:rsid w:val="00BB03C0"/>
    <w:pPr>
      <w:numPr>
        <w:ilvl w:val="1"/>
        <w:numId w:val="1"/>
      </w:numPr>
      <w:tabs>
        <w:tab w:val="clear" w:pos="1440"/>
      </w:tabs>
      <w:ind w:left="720" w:hanging="360"/>
      <w:outlineLvl w:val="1"/>
    </w:pPr>
  </w:style>
  <w:style w:type="paragraph" w:styleId="Heading3">
    <w:name w:val="heading 3"/>
    <w:basedOn w:val="Heading1"/>
    <w:link w:val="Heading3Char"/>
    <w:qFormat/>
    <w:rsid w:val="00BB03C0"/>
    <w:pPr>
      <w:keepNext w:val="0"/>
      <w:numPr>
        <w:ilvl w:val="2"/>
      </w:numPr>
      <w:tabs>
        <w:tab w:val="clear" w:pos="2160"/>
        <w:tab w:val="num" w:pos="720"/>
      </w:tabs>
      <w:ind w:left="1080" w:hanging="360"/>
      <w:outlineLvl w:val="2"/>
    </w:pPr>
  </w:style>
  <w:style w:type="paragraph" w:styleId="Heading4">
    <w:name w:val="heading 4"/>
    <w:basedOn w:val="Normal"/>
    <w:qFormat/>
    <w:rsid w:val="00BB03C0"/>
    <w:pPr>
      <w:numPr>
        <w:ilvl w:val="3"/>
        <w:numId w:val="1"/>
      </w:numPr>
      <w:tabs>
        <w:tab w:val="clear" w:pos="2880"/>
      </w:tabs>
      <w:ind w:left="1440" w:hanging="360"/>
      <w:outlineLvl w:val="3"/>
    </w:pPr>
  </w:style>
  <w:style w:type="paragraph" w:styleId="Heading5">
    <w:name w:val="heading 5"/>
    <w:basedOn w:val="Normal"/>
    <w:qFormat/>
    <w:rsid w:val="00BB03C0"/>
    <w:pPr>
      <w:numPr>
        <w:ilvl w:val="4"/>
        <w:numId w:val="1"/>
      </w:numPr>
      <w:tabs>
        <w:tab w:val="clear" w:pos="3600"/>
      </w:tabs>
      <w:ind w:left="1800" w:hanging="360"/>
      <w:outlineLvl w:val="4"/>
    </w:pPr>
  </w:style>
  <w:style w:type="paragraph" w:styleId="Heading6">
    <w:name w:val="heading 6"/>
    <w:basedOn w:val="Normal"/>
    <w:qFormat/>
    <w:rsid w:val="00BB03C0"/>
    <w:pPr>
      <w:numPr>
        <w:ilvl w:val="5"/>
        <w:numId w:val="1"/>
      </w:numPr>
      <w:tabs>
        <w:tab w:val="clear" w:pos="4248"/>
      </w:tabs>
      <w:ind w:left="2160" w:hanging="360"/>
      <w:outlineLvl w:val="5"/>
    </w:pPr>
  </w:style>
  <w:style w:type="paragraph" w:styleId="Heading7">
    <w:name w:val="heading 7"/>
    <w:basedOn w:val="Normal"/>
    <w:qFormat/>
    <w:rsid w:val="00BB03C0"/>
    <w:pPr>
      <w:numPr>
        <w:ilvl w:val="6"/>
        <w:numId w:val="1"/>
      </w:numPr>
      <w:tabs>
        <w:tab w:val="clear" w:pos="5040"/>
      </w:tabs>
      <w:ind w:left="2520" w:hanging="360"/>
      <w:outlineLvl w:val="6"/>
    </w:pPr>
  </w:style>
  <w:style w:type="paragraph" w:styleId="Heading8">
    <w:name w:val="heading 8"/>
    <w:basedOn w:val="Normal"/>
    <w:qFormat/>
    <w:rsid w:val="00BB03C0"/>
    <w:pPr>
      <w:numPr>
        <w:ilvl w:val="7"/>
        <w:numId w:val="1"/>
      </w:numPr>
      <w:tabs>
        <w:tab w:val="clear" w:pos="5760"/>
      </w:tabs>
      <w:ind w:left="2880" w:hanging="360"/>
      <w:outlineLvl w:val="7"/>
    </w:pPr>
  </w:style>
  <w:style w:type="paragraph" w:styleId="Heading9">
    <w:name w:val="heading 9"/>
    <w:basedOn w:val="Normal"/>
    <w:qFormat/>
    <w:rsid w:val="00BB03C0"/>
    <w:pPr>
      <w:numPr>
        <w:ilvl w:val="8"/>
        <w:numId w:val="1"/>
      </w:numPr>
      <w:tabs>
        <w:tab w:val="clear" w:pos="6120"/>
      </w:tabs>
      <w:ind w:left="3240"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uiPriority w:val="99"/>
    <w:pPr>
      <w:tabs>
        <w:tab w:val="center" w:pos="4320"/>
        <w:tab w:val="right" w:pos="8640"/>
      </w:tabs>
    </w:pPr>
  </w:style>
  <w:style w:type="paragraph" w:customStyle="1" w:styleId="MainHeading">
    <w:name w:val="Main Heading"/>
    <w:basedOn w:val="Normal"/>
    <w:next w:val="Heading1"/>
    <w:rsid w:val="00916AA4"/>
    <w:pPr>
      <w:spacing w:after="240" w:line="240" w:lineRule="auto"/>
      <w:jc w:val="center"/>
    </w:pPr>
    <w:rPr>
      <w:b/>
    </w:rPr>
  </w:style>
  <w:style w:type="paragraph" w:styleId="Footer">
    <w:name w:val="footer"/>
    <w:basedOn w:val="Normal"/>
    <w:link w:val="FooterChar"/>
    <w:uiPriority w:val="99"/>
    <w:pPr>
      <w:tabs>
        <w:tab w:val="center" w:pos="4320"/>
        <w:tab w:val="right" w:pos="8640"/>
      </w:tabs>
    </w:pPr>
  </w:style>
  <w:style w:type="character" w:styleId="Hyperlink">
    <w:name w:val="Hyperlink"/>
    <w:semiHidden/>
    <w:rPr>
      <w:color w:val="0000FF"/>
      <w:u w:val="single"/>
    </w:rPr>
  </w:style>
  <w:style w:type="character" w:styleId="PageNumber">
    <w:name w:val="page number"/>
    <w:basedOn w:val="DefaultParagraphFont"/>
    <w:semiHidden/>
  </w:style>
  <w:style w:type="paragraph" w:styleId="Quote">
    <w:name w:val="Quote"/>
    <w:basedOn w:val="Normal"/>
    <w:next w:val="Normal"/>
    <w:link w:val="QuoteChar"/>
    <w:uiPriority w:val="29"/>
    <w:qFormat/>
    <w:rsid w:val="006D528E"/>
    <w:pPr>
      <w:ind w:left="720" w:right="720"/>
    </w:pPr>
    <w:rPr>
      <w:iCs/>
      <w:color w:val="000000"/>
      <w:sz w:val="22"/>
    </w:rPr>
  </w:style>
  <w:style w:type="character" w:customStyle="1" w:styleId="QuoteChar">
    <w:name w:val="Quote Char"/>
    <w:link w:val="Quote"/>
    <w:uiPriority w:val="29"/>
    <w:rsid w:val="006D528E"/>
    <w:rPr>
      <w:rFonts w:ascii="Arial" w:hAnsi="Arial"/>
      <w:iCs/>
      <w:color w:val="000000"/>
      <w:sz w:val="22"/>
    </w:rPr>
  </w:style>
  <w:style w:type="character" w:customStyle="1" w:styleId="FooterChar">
    <w:name w:val="Footer Char"/>
    <w:basedOn w:val="DefaultParagraphFont"/>
    <w:link w:val="Footer"/>
    <w:uiPriority w:val="99"/>
    <w:rsid w:val="008A1575"/>
    <w:rPr>
      <w:rFonts w:ascii="Arial" w:hAnsi="Arial"/>
      <w:sz w:val="24"/>
    </w:rPr>
  </w:style>
  <w:style w:type="paragraph" w:styleId="ListParagraph">
    <w:name w:val="List Paragraph"/>
    <w:basedOn w:val="Normal"/>
    <w:uiPriority w:val="34"/>
    <w:qFormat/>
    <w:rsid w:val="00140B81"/>
    <w:pPr>
      <w:ind w:left="720"/>
      <w:contextualSpacing/>
    </w:pPr>
  </w:style>
  <w:style w:type="character" w:styleId="UnresolvedMention">
    <w:name w:val="Unresolved Mention"/>
    <w:basedOn w:val="DefaultParagraphFont"/>
    <w:uiPriority w:val="99"/>
    <w:semiHidden/>
    <w:unhideWhenUsed/>
    <w:rsid w:val="004C311B"/>
    <w:rPr>
      <w:color w:val="605E5C"/>
      <w:shd w:val="clear" w:color="auto" w:fill="E1DFDD"/>
    </w:rPr>
  </w:style>
  <w:style w:type="character" w:styleId="CommentReference">
    <w:name w:val="annotation reference"/>
    <w:basedOn w:val="DefaultParagraphFont"/>
    <w:uiPriority w:val="99"/>
    <w:semiHidden/>
    <w:unhideWhenUsed/>
    <w:rsid w:val="003C44AB"/>
    <w:rPr>
      <w:sz w:val="16"/>
      <w:szCs w:val="16"/>
    </w:rPr>
  </w:style>
  <w:style w:type="paragraph" w:styleId="CommentText">
    <w:name w:val="annotation text"/>
    <w:basedOn w:val="Normal"/>
    <w:link w:val="CommentTextChar"/>
    <w:uiPriority w:val="99"/>
    <w:unhideWhenUsed/>
    <w:rsid w:val="003C44AB"/>
    <w:rPr>
      <w:sz w:val="20"/>
    </w:rPr>
  </w:style>
  <w:style w:type="character" w:customStyle="1" w:styleId="CommentTextChar">
    <w:name w:val="Comment Text Char"/>
    <w:basedOn w:val="DefaultParagraphFont"/>
    <w:link w:val="CommentText"/>
    <w:uiPriority w:val="99"/>
    <w:rsid w:val="003C44AB"/>
    <w:rPr>
      <w:rFonts w:ascii="Arial" w:hAnsi="Arial"/>
    </w:rPr>
  </w:style>
  <w:style w:type="paragraph" w:styleId="CommentSubject">
    <w:name w:val="annotation subject"/>
    <w:basedOn w:val="CommentText"/>
    <w:next w:val="CommentText"/>
    <w:link w:val="CommentSubjectChar"/>
    <w:uiPriority w:val="99"/>
    <w:semiHidden/>
    <w:unhideWhenUsed/>
    <w:rsid w:val="003C44AB"/>
    <w:rPr>
      <w:b/>
      <w:bCs/>
    </w:rPr>
  </w:style>
  <w:style w:type="character" w:customStyle="1" w:styleId="CommentSubjectChar">
    <w:name w:val="Comment Subject Char"/>
    <w:basedOn w:val="CommentTextChar"/>
    <w:link w:val="CommentSubject"/>
    <w:uiPriority w:val="99"/>
    <w:semiHidden/>
    <w:rsid w:val="003C44AB"/>
    <w:rPr>
      <w:rFonts w:ascii="Arial" w:hAnsi="Arial"/>
      <w:b/>
      <w:bCs/>
    </w:rPr>
  </w:style>
  <w:style w:type="character" w:styleId="FollowedHyperlink">
    <w:name w:val="FollowedHyperlink"/>
    <w:basedOn w:val="DefaultParagraphFont"/>
    <w:uiPriority w:val="99"/>
    <w:semiHidden/>
    <w:unhideWhenUsed/>
    <w:rsid w:val="00393CC0"/>
    <w:rPr>
      <w:color w:val="954F72" w:themeColor="followedHyperlink"/>
      <w:u w:val="single"/>
    </w:rPr>
  </w:style>
  <w:style w:type="character" w:customStyle="1" w:styleId="Heading1Char">
    <w:name w:val="Heading 1 Char"/>
    <w:basedOn w:val="DefaultParagraphFont"/>
    <w:link w:val="Heading1"/>
    <w:rsid w:val="0027141F"/>
    <w:rPr>
      <w:rFonts w:ascii="Arial" w:hAnsi="Arial"/>
      <w:kern w:val="28"/>
      <w:sz w:val="24"/>
    </w:rPr>
  </w:style>
  <w:style w:type="character" w:customStyle="1" w:styleId="Heading3Char">
    <w:name w:val="Heading 3 Char"/>
    <w:basedOn w:val="DefaultParagraphFont"/>
    <w:link w:val="Heading3"/>
    <w:rsid w:val="00A50885"/>
    <w:rPr>
      <w:rFonts w:ascii="Arial" w:hAnsi="Arial"/>
      <w:kern w:val="28"/>
      <w:sz w:val="24"/>
    </w:rPr>
  </w:style>
  <w:style w:type="paragraph" w:customStyle="1" w:styleId="BodyText1">
    <w:name w:val="Body Text 1"/>
    <w:basedOn w:val="Normal"/>
    <w:link w:val="BodyText1Char"/>
    <w:qFormat/>
    <w:rsid w:val="00406521"/>
    <w:pPr>
      <w:ind w:firstLine="720"/>
    </w:pPr>
  </w:style>
  <w:style w:type="character" w:customStyle="1" w:styleId="BodyText1Char">
    <w:name w:val="Body Text 1 Char"/>
    <w:basedOn w:val="DefaultParagraphFont"/>
    <w:link w:val="BodyText1"/>
    <w:rsid w:val="00406521"/>
    <w:rPr>
      <w:rFonts w:ascii="Arial" w:hAnsi="Arial"/>
      <w:sz w:val="24"/>
    </w:rPr>
  </w:style>
  <w:style w:type="character" w:customStyle="1" w:styleId="coconcept127">
    <w:name w:val="co_concept_1_27"/>
    <w:basedOn w:val="DefaultParagraphFont"/>
    <w:rsid w:val="00780DE1"/>
  </w:style>
  <w:style w:type="paragraph" w:styleId="Revision">
    <w:name w:val="Revision"/>
    <w:hidden/>
    <w:uiPriority w:val="99"/>
    <w:semiHidden/>
    <w:rsid w:val="00352E61"/>
    <w:rPr>
      <w:rFonts w:ascii="Arial" w:hAnsi="Arial"/>
      <w:sz w:val="24"/>
    </w:rPr>
  </w:style>
  <w:style w:type="character" w:customStyle="1" w:styleId="HeaderChar">
    <w:name w:val="Header Char"/>
    <w:basedOn w:val="DefaultParagraphFont"/>
    <w:link w:val="Header"/>
    <w:uiPriority w:val="99"/>
    <w:rsid w:val="00916AA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979355">
      <w:bodyDiv w:val="1"/>
      <w:marLeft w:val="0"/>
      <w:marRight w:val="0"/>
      <w:marTop w:val="0"/>
      <w:marBottom w:val="0"/>
      <w:divBdr>
        <w:top w:val="none" w:sz="0" w:space="0" w:color="auto"/>
        <w:left w:val="none" w:sz="0" w:space="0" w:color="auto"/>
        <w:bottom w:val="none" w:sz="0" w:space="0" w:color="auto"/>
        <w:right w:val="none" w:sz="0" w:space="0" w:color="auto"/>
      </w:divBdr>
    </w:div>
    <w:div w:id="737290315">
      <w:bodyDiv w:val="1"/>
      <w:marLeft w:val="0"/>
      <w:marRight w:val="0"/>
      <w:marTop w:val="0"/>
      <w:marBottom w:val="0"/>
      <w:divBdr>
        <w:top w:val="none" w:sz="0" w:space="0" w:color="auto"/>
        <w:left w:val="none" w:sz="0" w:space="0" w:color="auto"/>
        <w:bottom w:val="none" w:sz="0" w:space="0" w:color="auto"/>
        <w:right w:val="none" w:sz="0" w:space="0" w:color="auto"/>
      </w:divBdr>
    </w:div>
    <w:div w:id="1440099597">
      <w:bodyDiv w:val="1"/>
      <w:marLeft w:val="0"/>
      <w:marRight w:val="0"/>
      <w:marTop w:val="0"/>
      <w:marBottom w:val="0"/>
      <w:divBdr>
        <w:top w:val="none" w:sz="0" w:space="0" w:color="auto"/>
        <w:left w:val="none" w:sz="0" w:space="0" w:color="auto"/>
        <w:bottom w:val="none" w:sz="0" w:space="0" w:color="auto"/>
        <w:right w:val="none" w:sz="0" w:space="0" w:color="auto"/>
      </w:divBdr>
    </w:div>
    <w:div w:id="1580746898">
      <w:bodyDiv w:val="1"/>
      <w:marLeft w:val="0"/>
      <w:marRight w:val="0"/>
      <w:marTop w:val="0"/>
      <w:marBottom w:val="0"/>
      <w:divBdr>
        <w:top w:val="none" w:sz="0" w:space="0" w:color="auto"/>
        <w:left w:val="none" w:sz="0" w:space="0" w:color="auto"/>
        <w:bottom w:val="none" w:sz="0" w:space="0" w:color="auto"/>
        <w:right w:val="none" w:sz="0" w:space="0" w:color="auto"/>
      </w:divBdr>
    </w:div>
    <w:div w:id="1914512245">
      <w:bodyDiv w:val="1"/>
      <w:marLeft w:val="0"/>
      <w:marRight w:val="0"/>
      <w:marTop w:val="0"/>
      <w:marBottom w:val="0"/>
      <w:divBdr>
        <w:top w:val="none" w:sz="0" w:space="0" w:color="auto"/>
        <w:left w:val="none" w:sz="0" w:space="0" w:color="auto"/>
        <w:bottom w:val="none" w:sz="0" w:space="0" w:color="auto"/>
        <w:right w:val="none" w:sz="0" w:space="0" w:color="auto"/>
      </w:divBdr>
      <w:divsChild>
        <w:div w:id="1798333980">
          <w:marLeft w:val="0"/>
          <w:marRight w:val="0"/>
          <w:marTop w:val="0"/>
          <w:marBottom w:val="0"/>
          <w:divBdr>
            <w:top w:val="none" w:sz="0" w:space="0" w:color="3D3D3D"/>
            <w:left w:val="none" w:sz="0" w:space="0" w:color="3D3D3D"/>
            <w:bottom w:val="none" w:sz="0" w:space="0" w:color="3D3D3D"/>
            <w:right w:val="none" w:sz="0" w:space="0" w:color="3D3D3D"/>
          </w:divBdr>
          <w:divsChild>
            <w:div w:id="272175987">
              <w:marLeft w:val="0"/>
              <w:marRight w:val="0"/>
              <w:marTop w:val="0"/>
              <w:marBottom w:val="0"/>
              <w:divBdr>
                <w:top w:val="none" w:sz="0" w:space="0" w:color="3D3D3D"/>
                <w:left w:val="none" w:sz="0" w:space="0" w:color="3D3D3D"/>
                <w:bottom w:val="none" w:sz="0" w:space="0" w:color="3D3D3D"/>
                <w:right w:val="none" w:sz="0" w:space="0" w:color="3D3D3D"/>
              </w:divBdr>
            </w:div>
            <w:div w:id="71971959">
              <w:marLeft w:val="0"/>
              <w:marRight w:val="0"/>
              <w:marTop w:val="0"/>
              <w:marBottom w:val="0"/>
              <w:divBdr>
                <w:top w:val="none" w:sz="0" w:space="0" w:color="3D3D3D"/>
                <w:left w:val="none" w:sz="0" w:space="0" w:color="3D3D3D"/>
                <w:bottom w:val="none" w:sz="0" w:space="0" w:color="3D3D3D"/>
                <w:right w:val="none" w:sz="0" w:space="0" w:color="3D3D3D"/>
              </w:divBdr>
              <w:divsChild>
                <w:div w:id="686371987">
                  <w:marLeft w:val="0"/>
                  <w:marRight w:val="0"/>
                  <w:marTop w:val="0"/>
                  <w:marBottom w:val="0"/>
                  <w:divBdr>
                    <w:top w:val="none" w:sz="0" w:space="0" w:color="3D3D3D"/>
                    <w:left w:val="none" w:sz="0" w:space="0" w:color="3D3D3D"/>
                    <w:bottom w:val="none" w:sz="0" w:space="0" w:color="3D3D3D"/>
                    <w:right w:val="none" w:sz="0" w:space="0" w:color="3D3D3D"/>
                  </w:divBdr>
                </w:div>
              </w:divsChild>
            </w:div>
            <w:div w:id="889003178">
              <w:marLeft w:val="0"/>
              <w:marRight w:val="0"/>
              <w:marTop w:val="209"/>
              <w:marBottom w:val="0"/>
              <w:divBdr>
                <w:top w:val="none" w:sz="0" w:space="0" w:color="3D3D3D"/>
                <w:left w:val="none" w:sz="0" w:space="0" w:color="3D3D3D"/>
                <w:bottom w:val="none" w:sz="0" w:space="0" w:color="3D3D3D"/>
                <w:right w:val="none" w:sz="0" w:space="0" w:color="3D3D3D"/>
              </w:divBdr>
              <w:divsChild>
                <w:div w:id="1597640473">
                  <w:marLeft w:val="0"/>
                  <w:marRight w:val="0"/>
                  <w:marTop w:val="0"/>
                  <w:marBottom w:val="0"/>
                  <w:divBdr>
                    <w:top w:val="none" w:sz="0" w:space="0" w:color="3D3D3D"/>
                    <w:left w:val="none" w:sz="0" w:space="0" w:color="3D3D3D"/>
                    <w:bottom w:val="none" w:sz="0" w:space="0" w:color="3D3D3D"/>
                    <w:right w:val="none" w:sz="0" w:space="0" w:color="3D3D3D"/>
                  </w:divBdr>
                </w:div>
              </w:divsChild>
            </w:div>
            <w:div w:id="6296256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2553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ing.desa.un.org/sites/default/files/2023-05/UN%20Model_2021.pdf" TargetMode="External"/><Relationship Id="rId13" Type="http://schemas.openxmlformats.org/officeDocument/2006/relationships/hyperlink" Target="https://www.oecd.org/tax/beps/tax-challenges-arising-from-digitalisation-report-on-pillar-one-blueprint-beba0634-en.htm" TargetMode="External"/><Relationship Id="rId18" Type="http://schemas.openxmlformats.org/officeDocument/2006/relationships/hyperlink" Target="https://circabc.europa.eu/sd/a/e263d4ea-78b8-426b-a548-e5d2d73ae4f6/896%20-%20Electronically%20supplied%20services;%20minimal%20human%20intervention.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financing.desa.un.org/sites/default/files/2023-05/UN%20Model_2021.pdf" TargetMode="External"/><Relationship Id="rId17" Type="http://schemas.openxmlformats.org/officeDocument/2006/relationships/hyperlink" Target="https://circabc.europa.eu/sd/a/e346e09e-f06e-44cc-8f39-4334fb99c841/843%20-%20scope%20of%20notion%20of%20electronically%20supplied%20services.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oecd.org/tax/beps/tax-challenges-arising-from-digitalisation-report-on-pillar-one-blueprint-beba0634-en.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ecd.org/tax/beps/tax-challenges-arising-from-digitalisation-report-on-pillar-one-blueprint-beba0634-en.htm"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financing.desa.un.org/sites/default/files/2023-05/UN%20Model_2021.pdf" TargetMode="External"/><Relationship Id="rId23" Type="http://schemas.openxmlformats.org/officeDocument/2006/relationships/footer" Target="footer2.xml"/><Relationship Id="rId10" Type="http://schemas.openxmlformats.org/officeDocument/2006/relationships/hyperlink" Target="https://financing.desa.un.org/sites/default/files/2023-05/UN%20Model_2021.pdf" TargetMode="External"/><Relationship Id="rId19" Type="http://schemas.openxmlformats.org/officeDocument/2006/relationships/hyperlink" Target="https://www.vatupdate.com/wp-content/uploads/2020/06/WP-990-Sharing-economy-platforms-immovable-property.pdf" TargetMode="External"/><Relationship Id="rId4" Type="http://schemas.openxmlformats.org/officeDocument/2006/relationships/settings" Target="settings.xml"/><Relationship Id="rId9" Type="http://schemas.openxmlformats.org/officeDocument/2006/relationships/hyperlink" Target="https://www.oecd.org/tax/beps/tax-challenges-arising-from-digitalisation-report-on-pillar-one-blueprint-beba0634-en.htm" TargetMode="External"/><Relationship Id="rId14" Type="http://schemas.openxmlformats.org/officeDocument/2006/relationships/hyperlink" Target="https://eur-lex.europa.eu/legal-content/EN/TXT/?uri=CELEX%3A02011R0282-20220701" TargetMode="Externa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RL%20Outline%20Profi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7EE9E-04F5-4DAD-B075-F08F75615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RL Outline Profile</Template>
  <TotalTime>2</TotalTime>
  <Pages>9</Pages>
  <Words>2860</Words>
  <Characters>17370</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This is the title</vt:lpstr>
    </vt:vector>
  </TitlesOfParts>
  <Company>Texas Comptroller of Public Accounts</Company>
  <LinksUpToDate>false</LinksUpToDate>
  <CharactersWithSpaces>20190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title</dc:title>
  <dc:subject/>
  <dc:creator>Ray Langenberg</dc:creator>
  <cp:keywords/>
  <cp:lastModifiedBy>Helen Hecht</cp:lastModifiedBy>
  <cp:revision>2</cp:revision>
  <cp:lastPrinted>2025-08-26T18:23:00Z</cp:lastPrinted>
  <dcterms:created xsi:type="dcterms:W3CDTF">2025-09-05T13:27:00Z</dcterms:created>
  <dcterms:modified xsi:type="dcterms:W3CDTF">2025-09-05T13:27:00Z</dcterms:modified>
</cp:coreProperties>
</file>