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26ED" w14:textId="1E4DE332" w:rsidR="0077048B" w:rsidRPr="006161B5" w:rsidRDefault="0077048B" w:rsidP="006161B5">
      <w:pPr>
        <w:spacing w:after="0"/>
        <w:jc w:val="center"/>
        <w:rPr>
          <w:b/>
          <w:bCs/>
        </w:rPr>
      </w:pPr>
      <w:r w:rsidRPr="006161B5">
        <w:rPr>
          <w:b/>
          <w:bCs/>
        </w:rPr>
        <w:t>Report of the Chair of the Digital Products Definition Study Group</w:t>
      </w:r>
    </w:p>
    <w:p w14:paraId="3501AC4C" w14:textId="0D62BE9E" w:rsidR="0081208D" w:rsidRPr="006161B5" w:rsidRDefault="006161B5" w:rsidP="006161B5">
      <w:pPr>
        <w:spacing w:after="0"/>
        <w:jc w:val="center"/>
        <w:rPr>
          <w:b/>
          <w:bCs/>
        </w:rPr>
      </w:pPr>
      <w:r w:rsidRPr="006161B5">
        <w:rPr>
          <w:b/>
          <w:bCs/>
        </w:rPr>
        <w:t>By Ray Langenberg</w:t>
      </w:r>
    </w:p>
    <w:p w14:paraId="07F9B67B" w14:textId="3AF1EA88" w:rsidR="006161B5" w:rsidRPr="006161B5" w:rsidRDefault="006161B5" w:rsidP="006161B5">
      <w:pPr>
        <w:jc w:val="center"/>
        <w:rPr>
          <w:b/>
          <w:bCs/>
        </w:rPr>
      </w:pPr>
      <w:r w:rsidRPr="006161B5">
        <w:rPr>
          <w:b/>
          <w:bCs/>
        </w:rPr>
        <w:t>August __, 2025</w:t>
      </w:r>
    </w:p>
    <w:p w14:paraId="13F188C4" w14:textId="4D6D8A3D" w:rsidR="00304BD6" w:rsidRDefault="00304BD6" w:rsidP="0006749E">
      <w:r w:rsidRPr="00304BD6">
        <w:rPr>
          <w:b/>
          <w:bCs/>
        </w:rPr>
        <w:t>The Study Group</w:t>
      </w:r>
      <w:r>
        <w:t xml:space="preserve">: </w:t>
      </w:r>
      <w:r w:rsidR="0006749E">
        <w:t xml:space="preserve">Tim Jennrich – Washington, Mia Strong – Louisiana, Ray Langenberg – Texas, Michael Fatale – Massachusetts, Shivangee Pandya – Michigan, Michael Hardtke and/or Tracey Mueller (alternate) – Wisconsin, Brooks Hemphill – North Carolina, John Gortakowski – Vermont, Ben Miller – Maryland, </w:t>
      </w:r>
      <w:r w:rsidR="0006749E">
        <w:tab/>
        <w:t xml:space="preserve">Craig Johnson and/or Alison Jares (alternate) – Streamlined, Scott Peterson and/or Brian Smith (alternate) – Avalara, Diane Yetter – Yetter Tax, Edward (Ted) Bernert – affiliated with the Capital University Law School, Karl Frieden and/or Fred Nicely (alternate) – COST, Olga Kourdova and/or Brandi Drake (alternate) – Charter Communications, Nikki Dobay – Greenberg </w:t>
      </w:r>
      <w:proofErr w:type="spellStart"/>
      <w:r w:rsidR="0006749E">
        <w:t>Taurig</w:t>
      </w:r>
      <w:proofErr w:type="spellEnd"/>
      <w:r w:rsidR="0006749E">
        <w:t xml:space="preserve">, Aaron Johnson – Ballard Spahr, Jay Jetter - </w:t>
      </w:r>
      <w:proofErr w:type="spellStart"/>
      <w:r w:rsidR="0006749E">
        <w:t>Stoel</w:t>
      </w:r>
      <w:proofErr w:type="spellEnd"/>
      <w:r w:rsidR="0006749E">
        <w:t xml:space="preserve"> Rives LLP,  Zachary Atkins and/or Aruna Chittiappa (alternate) – Pillsbury, Marc Simonetti – State Tax Law, Stephen Kranz and/or Jonathan Hague (alternate) – McDermott, Mark Nebergall - Software Finance and Tax Executives Council, Christopher Potter – Ryan, LLC, Charlie Kearns and/or Michele Borens – Eversheds Sutherland, Debora Bierbaum – Multistate Associates, Margaret Wilson - Wilson Law Group LLC</w:t>
      </w:r>
    </w:p>
    <w:p w14:paraId="56EA8332" w14:textId="50A07496" w:rsidR="00140F81" w:rsidRDefault="006161B5">
      <w:r w:rsidRPr="00304BD6">
        <w:rPr>
          <w:b/>
          <w:bCs/>
        </w:rPr>
        <w:t>The task</w:t>
      </w:r>
      <w:r>
        <w:t xml:space="preserve">: </w:t>
      </w:r>
      <w:r w:rsidR="00140F81">
        <w:t>The Definition Study Group was tasked with e</w:t>
      </w:r>
      <w:r>
        <w:t>valuating</w:t>
      </w:r>
      <w:r w:rsidR="00140F81">
        <w:t xml:space="preserve"> methods </w:t>
      </w:r>
      <w:r w:rsidR="002E7D60">
        <w:t>to</w:t>
      </w:r>
      <w:r w:rsidR="00140F81">
        <w:t xml:space="preserve"> broadly define a digital products tax base.  </w:t>
      </w:r>
    </w:p>
    <w:p w14:paraId="52374F32" w14:textId="21DF094A" w:rsidR="00140F81" w:rsidRDefault="006161B5">
      <w:r w:rsidRPr="00304BD6">
        <w:rPr>
          <w:b/>
          <w:bCs/>
        </w:rPr>
        <w:t>Evaluations</w:t>
      </w:r>
      <w:r>
        <w:t xml:space="preserve">: </w:t>
      </w:r>
      <w:r w:rsidR="00561C95">
        <w:t xml:space="preserve">The Chair invited members of the Group to identify existing methods for evaluation, to propose new methods, to discuss the criteria for evaluation, and to evaluate.  </w:t>
      </w:r>
      <w:r w:rsidR="00140F81">
        <w:t>The Group</w:t>
      </w:r>
      <w:r w:rsidR="00304BD6">
        <w:t xml:space="preserve"> </w:t>
      </w:r>
      <w:r w:rsidR="00140F81">
        <w:t>evaluate</w:t>
      </w:r>
      <w:r w:rsidR="00561C95">
        <w:t>d</w:t>
      </w:r>
      <w:r w:rsidR="00304BD6">
        <w:t xml:space="preserve">, but </w:t>
      </w:r>
      <w:r w:rsidR="00561C95">
        <w:t xml:space="preserve">did </w:t>
      </w:r>
      <w:r w:rsidR="00304BD6">
        <w:t>not endorse or reject</w:t>
      </w:r>
      <w:r w:rsidR="00561C95">
        <w:t>,</w:t>
      </w:r>
      <w:r w:rsidR="00304BD6">
        <w:t xml:space="preserve"> the following existing approaches:</w:t>
      </w:r>
      <w:r w:rsidR="00140F81">
        <w:t xml:space="preserve"> Washington, South Dakota, Ohio,</w:t>
      </w:r>
      <w:r w:rsidR="006E5AF0">
        <w:t xml:space="preserve"> and</w:t>
      </w:r>
      <w:r w:rsidR="00140F81">
        <w:t xml:space="preserve"> Utah.  </w:t>
      </w:r>
      <w:r w:rsidR="00304BD6">
        <w:t>The Study Group received one propose</w:t>
      </w:r>
      <w:r w:rsidR="00561C95">
        <w:t>d</w:t>
      </w:r>
      <w:r w:rsidR="00304BD6">
        <w:t xml:space="preserve"> new method</w:t>
      </w:r>
      <w:r w:rsidR="00180B9C">
        <w:t>,</w:t>
      </w:r>
      <w:r w:rsidR="00E10547">
        <w:t xml:space="preserve"> for the taxation of “automated digital products</w:t>
      </w:r>
      <w:r w:rsidR="00304BD6">
        <w:t>.</w:t>
      </w:r>
      <w:r w:rsidR="00E10547">
        <w:t>”</w:t>
      </w:r>
      <w:r w:rsidR="00304BD6">
        <w:t xml:space="preserve"> </w:t>
      </w:r>
      <w:r w:rsidR="00140F81">
        <w:t>The</w:t>
      </w:r>
      <w:r w:rsidR="009D09E1">
        <w:t xml:space="preserve"> Appendix contains</w:t>
      </w:r>
      <w:r w:rsidR="00140F81">
        <w:t xml:space="preserve"> a lead document for each </w:t>
      </w:r>
      <w:r w:rsidR="00180B9C">
        <w:t>method</w:t>
      </w:r>
      <w:r w:rsidR="00140F81">
        <w:t xml:space="preserve"> and other written comments submitted by </w:t>
      </w:r>
      <w:r w:rsidR="009D09E1">
        <w:t>G</w:t>
      </w:r>
      <w:r w:rsidR="00140F81">
        <w:t>roup members.</w:t>
      </w:r>
      <w:r>
        <w:t xml:space="preserve"> </w:t>
      </w:r>
    </w:p>
    <w:p w14:paraId="3749A4DA" w14:textId="3418943B" w:rsidR="0081208D" w:rsidRDefault="00DC21B2" w:rsidP="00140F81">
      <w:r w:rsidRPr="00304BD6">
        <w:rPr>
          <w:b/>
          <w:bCs/>
        </w:rPr>
        <w:t xml:space="preserve">Criteria </w:t>
      </w:r>
      <w:r w:rsidR="006161B5" w:rsidRPr="00304BD6">
        <w:rPr>
          <w:b/>
          <w:bCs/>
        </w:rPr>
        <w:t>for evaluation</w:t>
      </w:r>
      <w:r w:rsidR="006161B5">
        <w:t>:</w:t>
      </w:r>
    </w:p>
    <w:p w14:paraId="38AE96B3" w14:textId="63D91FDF" w:rsidR="0081208D" w:rsidRDefault="0081208D" w:rsidP="006161B5">
      <w:pPr>
        <w:pStyle w:val="ListParagraph"/>
        <w:numPr>
          <w:ilvl w:val="0"/>
          <w:numId w:val="6"/>
        </w:numPr>
        <w:spacing w:after="0"/>
      </w:pPr>
      <w:r>
        <w:t>Clarity and ease of application</w:t>
      </w:r>
    </w:p>
    <w:p w14:paraId="1CD83176" w14:textId="3C38812C" w:rsidR="0081208D" w:rsidRDefault="0081208D" w:rsidP="006161B5">
      <w:pPr>
        <w:pStyle w:val="ListParagraph"/>
        <w:numPr>
          <w:ilvl w:val="0"/>
          <w:numId w:val="6"/>
        </w:numPr>
        <w:spacing w:after="0"/>
      </w:pPr>
      <w:r>
        <w:t>Revenue generation or stability</w:t>
      </w:r>
    </w:p>
    <w:p w14:paraId="2CEE4CF1" w14:textId="7A8CF6D1" w:rsidR="0081208D" w:rsidRDefault="0081208D" w:rsidP="006161B5">
      <w:pPr>
        <w:pStyle w:val="ListParagraph"/>
        <w:numPr>
          <w:ilvl w:val="0"/>
          <w:numId w:val="6"/>
        </w:numPr>
        <w:spacing w:after="0"/>
      </w:pPr>
      <w:r>
        <w:t>Compatibility with other elements of the tax structure</w:t>
      </w:r>
    </w:p>
    <w:p w14:paraId="4D0A818E" w14:textId="7553A4BF" w:rsidR="0081208D" w:rsidRDefault="0081208D" w:rsidP="006161B5">
      <w:pPr>
        <w:pStyle w:val="ListParagraph"/>
        <w:numPr>
          <w:ilvl w:val="0"/>
          <w:numId w:val="6"/>
        </w:numPr>
        <w:spacing w:after="0"/>
      </w:pPr>
      <w:r>
        <w:t>Pyramiding of taxes</w:t>
      </w:r>
    </w:p>
    <w:p w14:paraId="7E1B342E" w14:textId="514D875E" w:rsidR="0077048B" w:rsidRDefault="0081208D" w:rsidP="00E00222">
      <w:pPr>
        <w:pStyle w:val="ListParagraph"/>
        <w:numPr>
          <w:ilvl w:val="0"/>
          <w:numId w:val="6"/>
        </w:numPr>
        <w:spacing w:after="120"/>
      </w:pPr>
      <w:r>
        <w:t>Other considerations</w:t>
      </w:r>
    </w:p>
    <w:p w14:paraId="213C6236" w14:textId="2B1C3C17" w:rsidR="00304BD6" w:rsidRDefault="00304BD6" w:rsidP="00DC21B2">
      <w:r w:rsidRPr="00E00222">
        <w:rPr>
          <w:b/>
          <w:bCs/>
        </w:rPr>
        <w:t>Categorizing the methods</w:t>
      </w:r>
      <w:r>
        <w:t>:</w:t>
      </w:r>
    </w:p>
    <w:p w14:paraId="21F61FB5" w14:textId="35051156" w:rsidR="00DC21B2" w:rsidRDefault="00DC21B2" w:rsidP="00DC21B2">
      <w:r>
        <w:t>Early in the project, MTC staff</w:t>
      </w:r>
      <w:r w:rsidR="00561C95">
        <w:t xml:space="preserve"> member</w:t>
      </w:r>
      <w:r>
        <w:t xml:space="preserve"> Jonathan White drafted a </w:t>
      </w:r>
      <w:r w:rsidR="00304BD6">
        <w:t xml:space="preserve">multipage </w:t>
      </w:r>
      <w:r>
        <w:t xml:space="preserve">memorandum and matrix analyzing the strengths and weaknesses of broad, medium, and narrow </w:t>
      </w:r>
      <w:r w:rsidR="00E00222">
        <w:t>methods for</w:t>
      </w:r>
      <w:r>
        <w:t xml:space="preserve"> the taxation of digital products.  Th</w:t>
      </w:r>
      <w:r w:rsidR="00304BD6">
        <w:t>e</w:t>
      </w:r>
      <w:r>
        <w:t xml:space="preserve"> analysis</w:t>
      </w:r>
      <w:r w:rsidR="00304BD6">
        <w:t xml:space="preserve"> is included in this Report and</w:t>
      </w:r>
      <w:r>
        <w:t xml:space="preserve"> </w:t>
      </w:r>
      <w:r w:rsidR="00EB47FB">
        <w:t>may</w:t>
      </w:r>
      <w:r>
        <w:t xml:space="preserve"> be useful to</w:t>
      </w:r>
      <w:r w:rsidR="00EF09C4">
        <w:t xml:space="preserve"> a</w:t>
      </w:r>
      <w:r>
        <w:t xml:space="preserve"> state </w:t>
      </w:r>
      <w:r w:rsidR="00EF09C4">
        <w:t xml:space="preserve">in evaluating </w:t>
      </w:r>
      <w:r w:rsidR="00561C95">
        <w:t>the appropriate</w:t>
      </w:r>
      <w:r>
        <w:t xml:space="preserve"> digital tax base.</w:t>
      </w:r>
    </w:p>
    <w:p w14:paraId="4B028F06" w14:textId="14EC6115" w:rsidR="00EF09C4" w:rsidRDefault="002E7D60" w:rsidP="004137C7">
      <w:r>
        <w:t>For this Report, t</w:t>
      </w:r>
      <w:r w:rsidR="001558AA">
        <w:t xml:space="preserve">he Chair </w:t>
      </w:r>
      <w:r>
        <w:t xml:space="preserve">has </w:t>
      </w:r>
      <w:r w:rsidR="00E00222">
        <w:t xml:space="preserve">rearticulated the broad, medium, and narrow methods as the unitary definition </w:t>
      </w:r>
      <w:r w:rsidR="00F26F20">
        <w:t>method</w:t>
      </w:r>
      <w:r w:rsidR="00E00222">
        <w:t>, the expansive definition method, and the specific definition method.</w:t>
      </w:r>
    </w:p>
    <w:p w14:paraId="2A7F4F84" w14:textId="22BBDF4A" w:rsidR="00E00222" w:rsidRPr="009654CC" w:rsidRDefault="00E00222" w:rsidP="0006749E">
      <w:pPr>
        <w:keepNext/>
        <w:rPr>
          <w:b/>
          <w:bCs/>
        </w:rPr>
      </w:pPr>
      <w:r w:rsidRPr="009654CC">
        <w:rPr>
          <w:b/>
          <w:bCs/>
        </w:rPr>
        <w:lastRenderedPageBreak/>
        <w:t>The unitary definition method:</w:t>
      </w:r>
    </w:p>
    <w:p w14:paraId="425C14BC" w14:textId="687F1A77" w:rsidR="00EB47FB" w:rsidRDefault="001558AA" w:rsidP="004137C7">
      <w:r>
        <w:t xml:space="preserve">The unitary definition </w:t>
      </w:r>
      <w:r w:rsidR="00E00222">
        <w:t>method</w:t>
      </w:r>
      <w:r>
        <w:t xml:space="preserve"> uses a single definition for</w:t>
      </w:r>
      <w:r w:rsidR="00EB47FB">
        <w:t xml:space="preserve"> inclusion</w:t>
      </w:r>
      <w:r>
        <w:t xml:space="preserve"> in the tax base with one or more exclusions </w:t>
      </w:r>
      <w:r w:rsidR="00F26F20">
        <w:t>applied to</w:t>
      </w:r>
      <w:r>
        <w:t xml:space="preserve"> the </w:t>
      </w:r>
      <w:r w:rsidR="00EB47FB">
        <w:t>definition, and external exemptions such as the sale-for-resale exemption.</w:t>
      </w:r>
    </w:p>
    <w:p w14:paraId="5AF80BD8" w14:textId="65C2758F" w:rsidR="009654CC" w:rsidRPr="009654CC" w:rsidRDefault="009654CC" w:rsidP="009654CC">
      <w:pPr>
        <w:pStyle w:val="ListParagraph"/>
        <w:numPr>
          <w:ilvl w:val="0"/>
          <w:numId w:val="8"/>
        </w:numPr>
        <w:spacing w:after="120"/>
        <w:rPr>
          <w:b/>
          <w:bCs/>
        </w:rPr>
      </w:pPr>
      <w:r w:rsidRPr="009654CC">
        <w:rPr>
          <w:b/>
          <w:bCs/>
        </w:rPr>
        <w:t>Washington</w:t>
      </w:r>
    </w:p>
    <w:p w14:paraId="10337CFA" w14:textId="7024CFAE" w:rsidR="009654CC" w:rsidRDefault="009654CC" w:rsidP="009654CC">
      <w:r>
        <w:t>In Washington, the term “digital products” consists of:</w:t>
      </w:r>
    </w:p>
    <w:p w14:paraId="30968FFA" w14:textId="139B0F9E" w:rsidR="009654CC" w:rsidRDefault="009654CC" w:rsidP="009654CC">
      <w:r>
        <w:t>"</w:t>
      </w:r>
      <w:r w:rsidR="00544859">
        <w:t>’</w:t>
      </w:r>
      <w:r>
        <w:t>Digital automated service,</w:t>
      </w:r>
      <w:r w:rsidR="00544859">
        <w:t>’</w:t>
      </w:r>
      <w:r>
        <w:t>…. any service transferred electronically that uses one or more software applications.</w:t>
      </w:r>
      <w:r w:rsidR="00544859">
        <w:t>”</w:t>
      </w:r>
    </w:p>
    <w:p w14:paraId="669CACF8" w14:textId="2E179549" w:rsidR="005A34AE" w:rsidRDefault="00544859" w:rsidP="009654CC">
      <w:r>
        <w:t>“</w:t>
      </w:r>
      <w:r w:rsidR="009654CC">
        <w:t>Digital goods,</w:t>
      </w:r>
      <w:r>
        <w:t>’</w:t>
      </w:r>
      <w:r w:rsidR="009654CC">
        <w:t>… sounds, images, data, facts, or information, or any combination thereof, transferred electronically, including, but not limited to, specified digital products and other products transferred electronically not included within the definition of specified digital products.</w:t>
      </w:r>
      <w:r>
        <w:t>”</w:t>
      </w:r>
    </w:p>
    <w:p w14:paraId="70A5D131" w14:textId="19C73EA3" w:rsidR="009654CC" w:rsidRDefault="009654CC" w:rsidP="009654CC">
      <w:r>
        <w:t>The tax base has been limited by over a dozen exclusions</w:t>
      </w:r>
      <w:r w:rsidR="0047109B">
        <w:t xml:space="preserve">, </w:t>
      </w:r>
      <w:r>
        <w:t xml:space="preserve"> </w:t>
      </w:r>
      <w:r w:rsidR="0047109B">
        <w:t xml:space="preserve">including an exclusion for services </w:t>
      </w:r>
      <w:r>
        <w:t>involving primarily human effort</w:t>
      </w:r>
      <w:r w:rsidR="00B3086D">
        <w:t>.</w:t>
      </w:r>
      <w:r w:rsidR="0047109B">
        <w:t xml:space="preserve">  The Washington legislature </w:t>
      </w:r>
      <w:r w:rsidR="006D48DD">
        <w:t xml:space="preserve">has now </w:t>
      </w:r>
      <w:r w:rsidR="0047109B">
        <w:t>repealed</w:t>
      </w:r>
      <w:r w:rsidR="006D48DD">
        <w:t xml:space="preserve"> th</w:t>
      </w:r>
      <w:r w:rsidR="00B65F7D">
        <w:t>e primarily human effort</w:t>
      </w:r>
      <w:r w:rsidR="006D48DD">
        <w:t xml:space="preserve"> exclusion</w:t>
      </w:r>
      <w:r w:rsidR="0047109B">
        <w:t>, effective October 1, 2025.</w:t>
      </w:r>
    </w:p>
    <w:p w14:paraId="6CF76390" w14:textId="5091D9B8" w:rsidR="009654CC" w:rsidRPr="009654CC" w:rsidRDefault="009654CC" w:rsidP="009654CC">
      <w:pPr>
        <w:pStyle w:val="ListParagraph"/>
        <w:numPr>
          <w:ilvl w:val="0"/>
          <w:numId w:val="8"/>
        </w:numPr>
        <w:spacing w:after="120"/>
        <w:rPr>
          <w:b/>
          <w:bCs/>
        </w:rPr>
      </w:pPr>
      <w:r w:rsidRPr="009654CC">
        <w:rPr>
          <w:b/>
          <w:bCs/>
        </w:rPr>
        <w:t>Utah</w:t>
      </w:r>
    </w:p>
    <w:p w14:paraId="42789CCA" w14:textId="5110DC65" w:rsidR="009654CC" w:rsidRPr="00544859" w:rsidRDefault="009654CC" w:rsidP="004137C7">
      <w:pPr>
        <w:rPr>
          <w:color w:val="0D0D0D" w:themeColor="text1" w:themeTint="F2"/>
        </w:rPr>
      </w:pPr>
      <w:r w:rsidRPr="009654CC">
        <w:t>Utah imposes sales and use tax on amounts paid or charged for a sale of: (i) a “product transferred electronically” and (ii) a repair or renovation of a product transferred electronically</w:t>
      </w:r>
      <w:r>
        <w:t>, i</w:t>
      </w:r>
      <w:r w:rsidRPr="009654CC">
        <w:t xml:space="preserve">ncluding maintenance agreements. </w:t>
      </w:r>
    </w:p>
    <w:p w14:paraId="5003E355" w14:textId="4C9DBA7C" w:rsidR="009654CC" w:rsidRDefault="009654CC" w:rsidP="004137C7">
      <w:r w:rsidRPr="009654CC">
        <w:t xml:space="preserve">Utah’s definition of “product transferred electronically” </w:t>
      </w:r>
      <w:r>
        <w:t xml:space="preserve">is limited to </w:t>
      </w:r>
      <w:r w:rsidRPr="009654CC">
        <w:t>“a product transferred electronically that would be subject to a tax under this chapter if that product was transferred in a manner other than electronically.”</w:t>
      </w:r>
      <w:r w:rsidR="00012E99">
        <w:t xml:space="preserve">  It could be said that the Utah approach singlehandedly taxes all the Streamlined “specified digital products” (digital audio visual works, digital audio works, and digital books) because all the specified digital products have a taxable tangible counterpart.</w:t>
      </w:r>
    </w:p>
    <w:p w14:paraId="02AABF31" w14:textId="7C7E7A0B" w:rsidR="009654CC" w:rsidRDefault="009654CC" w:rsidP="004137C7">
      <w:r w:rsidRPr="009654CC">
        <w:t xml:space="preserve">The State Tax Commission has interpreted “product transferred electronically” to </w:t>
      </w:r>
      <w:r w:rsidR="001D1762">
        <w:t xml:space="preserve">be limited to products that can be downloaded by the </w:t>
      </w:r>
      <w:r w:rsidRPr="009654CC">
        <w:t xml:space="preserve">purchaser. </w:t>
      </w:r>
    </w:p>
    <w:p w14:paraId="219B5DC5" w14:textId="53DD725F" w:rsidR="009654CC" w:rsidRPr="00E00FB6" w:rsidRDefault="009654CC" w:rsidP="00E00FB6">
      <w:pPr>
        <w:pStyle w:val="ListParagraph"/>
        <w:numPr>
          <w:ilvl w:val="0"/>
          <w:numId w:val="8"/>
        </w:numPr>
        <w:spacing w:after="120"/>
        <w:rPr>
          <w:b/>
          <w:bCs/>
        </w:rPr>
      </w:pPr>
      <w:r w:rsidRPr="00E00FB6">
        <w:rPr>
          <w:b/>
          <w:bCs/>
        </w:rPr>
        <w:t>South Dakota</w:t>
      </w:r>
    </w:p>
    <w:p w14:paraId="01A352FC" w14:textId="23BD06C6" w:rsidR="00E00FB6" w:rsidRDefault="00E00FB6" w:rsidP="004137C7">
      <w:r>
        <w:t xml:space="preserve">South Dakota </w:t>
      </w:r>
      <w:r w:rsidR="00E10547">
        <w:t xml:space="preserve">broadly </w:t>
      </w:r>
      <w:r>
        <w:t xml:space="preserve">imposes tax based on gross receipts received from sales of tangible personal property, products transferred electronically, and services. </w:t>
      </w:r>
    </w:p>
    <w:p w14:paraId="441BADF8" w14:textId="41DF67C5" w:rsidR="00E00FB6" w:rsidRPr="00E10547" w:rsidRDefault="00E10547" w:rsidP="00E10547">
      <w:pPr>
        <w:pStyle w:val="ListParagraph"/>
        <w:numPr>
          <w:ilvl w:val="0"/>
          <w:numId w:val="8"/>
        </w:numPr>
        <w:spacing w:after="120"/>
        <w:rPr>
          <w:b/>
          <w:bCs/>
        </w:rPr>
      </w:pPr>
      <w:r w:rsidRPr="00E10547">
        <w:rPr>
          <w:b/>
          <w:bCs/>
        </w:rPr>
        <w:t>Tax on “a</w:t>
      </w:r>
      <w:r w:rsidR="00E00FB6" w:rsidRPr="00E10547">
        <w:rPr>
          <w:b/>
          <w:bCs/>
        </w:rPr>
        <w:t>utomated digital products</w:t>
      </w:r>
      <w:r w:rsidRPr="00E10547">
        <w:rPr>
          <w:b/>
          <w:bCs/>
        </w:rPr>
        <w:t>”</w:t>
      </w:r>
    </w:p>
    <w:p w14:paraId="46529DAE" w14:textId="37F3BE85" w:rsidR="00277B15" w:rsidRPr="00897FF9" w:rsidRDefault="00E00FB6" w:rsidP="00277B15">
      <w:r>
        <w:t>T</w:t>
      </w:r>
      <w:r w:rsidR="009D09E1">
        <w:t>he only new method</w:t>
      </w:r>
      <w:r w:rsidR="001D1762">
        <w:t xml:space="preserve"> is</w:t>
      </w:r>
      <w:r w:rsidR="00E10547">
        <w:t xml:space="preserve"> a </w:t>
      </w:r>
      <w:r w:rsidR="001D1762">
        <w:t xml:space="preserve">proposed </w:t>
      </w:r>
      <w:r w:rsidR="00E10547">
        <w:t xml:space="preserve">tax on “automated digital products,” using the following definition for “automated digital product” </w:t>
      </w:r>
      <w:r w:rsidR="00180B9C">
        <w:t>–</w:t>
      </w:r>
      <w:r w:rsidR="00E10547">
        <w:t xml:space="preserve"> </w:t>
      </w:r>
      <w:r w:rsidR="001D1762">
        <w:t>“</w:t>
      </w:r>
      <w:r w:rsidR="00124234" w:rsidRPr="000201A1">
        <w:t>a digital product that is provided to customers in the same or substantially similar form with minimal human intervention.</w:t>
      </w:r>
      <w:r w:rsidR="00277B15">
        <w:t>”</w:t>
      </w:r>
    </w:p>
    <w:p w14:paraId="070D68BF" w14:textId="33F419A3" w:rsidR="00E10547" w:rsidRDefault="00E10547" w:rsidP="00E10547">
      <w:r>
        <w:t>A product would be exempt from taxation as an automated digital product if the product would be used predominantly for a trade or business.</w:t>
      </w:r>
    </w:p>
    <w:p w14:paraId="59766840" w14:textId="6B7C3A23" w:rsidR="00E00222" w:rsidRPr="00E00FB6" w:rsidRDefault="00E00222" w:rsidP="0006749E">
      <w:pPr>
        <w:keepNext/>
        <w:spacing w:after="120"/>
        <w:rPr>
          <w:b/>
          <w:bCs/>
        </w:rPr>
      </w:pPr>
      <w:r w:rsidRPr="00E00FB6">
        <w:rPr>
          <w:b/>
          <w:bCs/>
        </w:rPr>
        <w:lastRenderedPageBreak/>
        <w:t>The expansive definition method:</w:t>
      </w:r>
    </w:p>
    <w:p w14:paraId="5B284302" w14:textId="215176F5" w:rsidR="00EB47FB" w:rsidRDefault="001558AA" w:rsidP="004137C7">
      <w:r>
        <w:t>The expansive definition</w:t>
      </w:r>
      <w:r w:rsidR="00EB47FB">
        <w:t xml:space="preserve"> </w:t>
      </w:r>
      <w:r w:rsidR="001D1762">
        <w:t>method</w:t>
      </w:r>
      <w:r w:rsidR="00EB47FB">
        <w:t xml:space="preserve"> </w:t>
      </w:r>
      <w:r>
        <w:t>uses several expansive</w:t>
      </w:r>
      <w:r w:rsidR="005A34AE">
        <w:t>, but not all-inclusive,</w:t>
      </w:r>
      <w:r>
        <w:t xml:space="preserve"> </w:t>
      </w:r>
      <w:r w:rsidR="00EB47FB">
        <w:t xml:space="preserve">definitions </w:t>
      </w:r>
      <w:r w:rsidR="005A34AE">
        <w:t xml:space="preserve">for inclusion in the tax base with one or more </w:t>
      </w:r>
      <w:r w:rsidR="00EB47FB">
        <w:t xml:space="preserve">exclusions </w:t>
      </w:r>
      <w:r w:rsidR="00F26F20">
        <w:t>applied to</w:t>
      </w:r>
      <w:r w:rsidR="00EB47FB">
        <w:t xml:space="preserve"> the definitions, and external exemptions</w:t>
      </w:r>
      <w:r w:rsidR="00EF09C4">
        <w:t>.</w:t>
      </w:r>
    </w:p>
    <w:p w14:paraId="2794B4ED" w14:textId="55094BB8" w:rsidR="00E00FB6" w:rsidRPr="00E00FB6" w:rsidRDefault="00E00FB6" w:rsidP="00E00FB6">
      <w:pPr>
        <w:pStyle w:val="ListParagraph"/>
        <w:numPr>
          <w:ilvl w:val="0"/>
          <w:numId w:val="7"/>
        </w:numPr>
        <w:spacing w:after="120"/>
        <w:rPr>
          <w:b/>
          <w:bCs/>
        </w:rPr>
      </w:pPr>
      <w:r w:rsidRPr="00E00FB6">
        <w:rPr>
          <w:b/>
          <w:bCs/>
        </w:rPr>
        <w:t>Ohio</w:t>
      </w:r>
    </w:p>
    <w:p w14:paraId="5EF47F2F" w14:textId="29C2137E" w:rsidR="00E00FB6" w:rsidRDefault="00E00FB6" w:rsidP="00E00FB6">
      <w:r>
        <w:t>In addition to the inclusion of “specified digital products” under the Streamlined Sales Tax Agreement, the tax base also includes transactions in which “[a]</w:t>
      </w:r>
      <w:proofErr w:type="spellStart"/>
      <w:r>
        <w:t>utomatic</w:t>
      </w:r>
      <w:proofErr w:type="spellEnd"/>
      <w:r>
        <w:t xml:space="preserve"> data processing, computer services, or electronic information services are or are to be provided for use in business when the true object of the transaction is the receipt by the consumer of automatic data processing, computer services, or electronic information services rather than the receipt of personal or professional services to which automatic data processing, computer services, or electronic information services are incidental or supplemental.</w:t>
      </w:r>
      <w:r w:rsidR="001D1762">
        <w:t>”</w:t>
      </w:r>
    </w:p>
    <w:p w14:paraId="64C00A16" w14:textId="11212C60" w:rsidR="00E00FB6" w:rsidRDefault="00E00FB6" w:rsidP="00E00FB6">
      <w:r>
        <w:t>“’Automatic data processing’ means processing of others’ data, including keypunching or similar data entry services together with verification thereof, or providing access to computer equipment for the purpose of processing data.”</w:t>
      </w:r>
    </w:p>
    <w:p w14:paraId="364FC9EE" w14:textId="40B01905" w:rsidR="00E00FB6" w:rsidRDefault="00E00FB6" w:rsidP="00E00FB6">
      <w:r>
        <w:t>“’Computer services’ means providing services consisting of specifying computer hardware configurations and evaluating technical processing characteristics, computer programming, and training of computer programmers and operators, provided in conjunction with and to support the sale, lease, or operation of taxable computer equipment or systems.”</w:t>
      </w:r>
    </w:p>
    <w:p w14:paraId="2E02846E" w14:textId="3EBCACDC" w:rsidR="00E00FB6" w:rsidRDefault="00E00FB6" w:rsidP="00E00FB6">
      <w:r>
        <w:t>“’Electronic information services’ means providing access to computer equipment by means of telecommunications equipment for either examining or acquiring data stored in or accessible to the computer equipment or placing data into the computer to be retrieved by a designated recipient with access to the computer equipment.”</w:t>
      </w:r>
    </w:p>
    <w:p w14:paraId="53DCB3D3" w14:textId="319F490D" w:rsidR="00E00FB6" w:rsidRDefault="00E00FB6" w:rsidP="00E00FB6">
      <w:r>
        <w:t>Automatic data processing, computer services, and electronic information services do not include personal or professional services.</w:t>
      </w:r>
    </w:p>
    <w:p w14:paraId="1BB4209B" w14:textId="1C294070" w:rsidR="00E00222" w:rsidRPr="00E10547" w:rsidRDefault="00E00222" w:rsidP="00E10547">
      <w:pPr>
        <w:spacing w:after="120"/>
        <w:rPr>
          <w:b/>
          <w:bCs/>
        </w:rPr>
      </w:pPr>
      <w:r w:rsidRPr="00E10547">
        <w:rPr>
          <w:b/>
          <w:bCs/>
        </w:rPr>
        <w:t>The specific definition method:</w:t>
      </w:r>
    </w:p>
    <w:p w14:paraId="2D33633E" w14:textId="598077E9" w:rsidR="00EB47FB" w:rsidRDefault="00EB47FB" w:rsidP="004137C7">
      <w:r>
        <w:t xml:space="preserve">The </w:t>
      </w:r>
      <w:r w:rsidR="001558AA">
        <w:t xml:space="preserve">specific definition </w:t>
      </w:r>
      <w:r w:rsidR="006D0718">
        <w:t>method</w:t>
      </w:r>
      <w:r>
        <w:t xml:space="preserve"> uses multiple</w:t>
      </w:r>
      <w:r w:rsidR="00EF09C4">
        <w:t xml:space="preserve"> </w:t>
      </w:r>
      <w:r w:rsidR="005A34AE">
        <w:t xml:space="preserve">narrow </w:t>
      </w:r>
      <w:r w:rsidR="00EF09C4">
        <w:t>definitions</w:t>
      </w:r>
      <w:r w:rsidR="005A34AE">
        <w:t xml:space="preserve"> aimed at specific product</w:t>
      </w:r>
      <w:r w:rsidR="0015194C">
        <w:t>s</w:t>
      </w:r>
      <w:r w:rsidR="005A34AE">
        <w:t>, typically</w:t>
      </w:r>
      <w:r w:rsidR="00EF09C4">
        <w:t xml:space="preserve"> with exclusions, and external exemptions.</w:t>
      </w:r>
    </w:p>
    <w:p w14:paraId="10BA36B0" w14:textId="77777777" w:rsidR="00871689" w:rsidRDefault="00012E99" w:rsidP="00012E99">
      <w:r>
        <w:t xml:space="preserve">Examples of specific definitions are the “specified digital products” (digital audio visual works, digital audio works, and digital books) listed in the Streamlined Sales Tax Agreement.  </w:t>
      </w:r>
    </w:p>
    <w:p w14:paraId="2D83268A" w14:textId="1F6335B9" w:rsidR="00871689" w:rsidRPr="00871689" w:rsidRDefault="00871689" w:rsidP="00871689">
      <w:pPr>
        <w:pStyle w:val="ListParagraph"/>
        <w:numPr>
          <w:ilvl w:val="0"/>
          <w:numId w:val="7"/>
        </w:numPr>
        <w:rPr>
          <w:b/>
          <w:bCs/>
        </w:rPr>
      </w:pPr>
      <w:r w:rsidRPr="00871689">
        <w:rPr>
          <w:b/>
          <w:bCs/>
        </w:rPr>
        <w:t>Wisconsin</w:t>
      </w:r>
    </w:p>
    <w:p w14:paraId="5F307F48" w14:textId="6A0BEA86" w:rsidR="00E10547" w:rsidRDefault="00871689" w:rsidP="00012E99">
      <w:r>
        <w:t xml:space="preserve">In addition to the Streamlined “specified digital products” </w:t>
      </w:r>
      <w:r w:rsidR="00012E99">
        <w:t xml:space="preserve">Wisconsin </w:t>
      </w:r>
      <w:r w:rsidR="00277B15">
        <w:t>adds</w:t>
      </w:r>
      <w:r w:rsidR="00E10547">
        <w:t xml:space="preserve"> “additional digital goods” transferred electronically: greeting cards, finished artwork, periodicals, </w:t>
      </w:r>
      <w:r w:rsidR="003C2199">
        <w:t>v</w:t>
      </w:r>
      <w:r w:rsidR="00E10547">
        <w:t>ideo or electronic games, and newspaper or other news or information products.</w:t>
      </w:r>
    </w:p>
    <w:p w14:paraId="10CBE827" w14:textId="3E9331B9" w:rsidR="005A34AE" w:rsidRPr="00E00222" w:rsidRDefault="00E00222" w:rsidP="00871689">
      <w:pPr>
        <w:keepNext/>
        <w:rPr>
          <w:b/>
          <w:bCs/>
        </w:rPr>
      </w:pPr>
      <w:r w:rsidRPr="00E00222">
        <w:rPr>
          <w:b/>
          <w:bCs/>
        </w:rPr>
        <w:lastRenderedPageBreak/>
        <w:t>The Chair’s g</w:t>
      </w:r>
      <w:r w:rsidR="005A34AE" w:rsidRPr="00E00222">
        <w:rPr>
          <w:b/>
          <w:bCs/>
        </w:rPr>
        <w:t xml:space="preserve">eneral critique of the </w:t>
      </w:r>
      <w:r>
        <w:rPr>
          <w:b/>
          <w:bCs/>
        </w:rPr>
        <w:t>categories:</w:t>
      </w:r>
    </w:p>
    <w:p w14:paraId="2DBD3163" w14:textId="479EC521" w:rsidR="00E00222" w:rsidRDefault="00E00222" w:rsidP="004137C7">
      <w:r>
        <w:t>In addition to</w:t>
      </w:r>
      <w:r w:rsidR="00180B9C" w:rsidRPr="00180B9C">
        <w:t xml:space="preserve"> </w:t>
      </w:r>
      <w:r w:rsidR="00180B9C">
        <w:t xml:space="preserve">the </w:t>
      </w:r>
      <w:r w:rsidR="00180B9C" w:rsidRPr="00180B9C">
        <w:t>White memorandum and matrix</w:t>
      </w:r>
      <w:r w:rsidR="00180B9C">
        <w:t>,</w:t>
      </w:r>
      <w:r>
        <w:t xml:space="preserve"> </w:t>
      </w:r>
      <w:r w:rsidR="00180B9C">
        <w:t xml:space="preserve">and </w:t>
      </w:r>
      <w:r>
        <w:t xml:space="preserve">the specific critiques of the </w:t>
      </w:r>
      <w:proofErr w:type="gramStart"/>
      <w:r>
        <w:t>particular methods</w:t>
      </w:r>
      <w:proofErr w:type="gramEnd"/>
      <w:r w:rsidR="009D09E1">
        <w:t xml:space="preserve"> in the Appendix</w:t>
      </w:r>
      <w:r>
        <w:t xml:space="preserve">, the Chair offers the following general critique </w:t>
      </w:r>
      <w:r w:rsidR="00180B9C">
        <w:t>for consideration by the Digital Products Work Group</w:t>
      </w:r>
      <w:r>
        <w:t>.</w:t>
      </w:r>
    </w:p>
    <w:p w14:paraId="5DA5CB68" w14:textId="6D46EA94" w:rsidR="000310EB" w:rsidRDefault="000310EB" w:rsidP="004137C7">
      <w:proofErr w:type="gramStart"/>
      <w:r>
        <w:t xml:space="preserve">Generally </w:t>
      </w:r>
      <w:r w:rsidR="001558AA">
        <w:t>speaking, unitary</w:t>
      </w:r>
      <w:proofErr w:type="gramEnd"/>
      <w:r w:rsidR="001558AA">
        <w:t xml:space="preserve"> and expansive definitions </w:t>
      </w:r>
      <w:r>
        <w:t xml:space="preserve">will be broader </w:t>
      </w:r>
      <w:r w:rsidR="0032073B">
        <w:t>than specific definitions</w:t>
      </w:r>
      <w:r w:rsidR="0069290A">
        <w:t>. So</w:t>
      </w:r>
      <w:r w:rsidR="001558AA">
        <w:t>, they have the potential to raise more revenue and be more adaptable to new and innovative products</w:t>
      </w:r>
      <w:r w:rsidR="0032073B">
        <w:t xml:space="preserve"> tha</w:t>
      </w:r>
      <w:r w:rsidR="005A34AE">
        <w:t>n</w:t>
      </w:r>
      <w:r w:rsidR="0032073B">
        <w:t xml:space="preserve"> </w:t>
      </w:r>
      <w:r w:rsidR="005A34AE">
        <w:t>specific</w:t>
      </w:r>
      <w:r w:rsidR="0032073B">
        <w:t xml:space="preserve"> definitions.  </w:t>
      </w:r>
      <w:r>
        <w:t xml:space="preserve">But, revenue from broad terms of inclusion </w:t>
      </w:r>
      <w:r w:rsidR="00827849">
        <w:t xml:space="preserve">could </w:t>
      </w:r>
      <w:r>
        <w:t xml:space="preserve">be </w:t>
      </w:r>
      <w:r w:rsidR="00827849">
        <w:t xml:space="preserve">significantly reduced by </w:t>
      </w:r>
      <w:r>
        <w:t xml:space="preserve">terms of exclusion </w:t>
      </w:r>
      <w:r w:rsidR="00827849">
        <w:t xml:space="preserve">that </w:t>
      </w:r>
      <w:r>
        <w:t>are added</w:t>
      </w:r>
      <w:r w:rsidR="00827849">
        <w:t xml:space="preserve"> to the definitions</w:t>
      </w:r>
      <w:r>
        <w:t>.</w:t>
      </w:r>
    </w:p>
    <w:p w14:paraId="23773C14" w14:textId="137EB1E3" w:rsidR="0032073B" w:rsidRDefault="000310EB" w:rsidP="004137C7">
      <w:proofErr w:type="gramStart"/>
      <w:r>
        <w:t xml:space="preserve">Generally speaking, </w:t>
      </w:r>
      <w:r w:rsidR="00827849">
        <w:t>unitary</w:t>
      </w:r>
      <w:proofErr w:type="gramEnd"/>
      <w:r w:rsidR="00827849">
        <w:t xml:space="preserve"> and expansive definitions</w:t>
      </w:r>
      <w:r w:rsidR="0032073B">
        <w:t xml:space="preserve"> have the potential to be less clear than </w:t>
      </w:r>
      <w:r w:rsidR="00827849">
        <w:t>specific</w:t>
      </w:r>
      <w:r w:rsidR="0032073B">
        <w:t xml:space="preserve"> definitions</w:t>
      </w:r>
      <w:r w:rsidR="00827849">
        <w:t xml:space="preserve"> </w:t>
      </w:r>
      <w:r w:rsidR="0015194C">
        <w:t>focused on</w:t>
      </w:r>
      <w:r w:rsidR="00827849">
        <w:t xml:space="preserve"> particular products</w:t>
      </w:r>
      <w:r w:rsidR="0032073B">
        <w:t xml:space="preserve">. </w:t>
      </w:r>
      <w:r w:rsidR="00827849">
        <w:t>But</w:t>
      </w:r>
      <w:r w:rsidR="0032073B">
        <w:t xml:space="preserve">, multiple </w:t>
      </w:r>
      <w:r w:rsidR="00827849">
        <w:t>specific</w:t>
      </w:r>
      <w:r w:rsidR="0032073B">
        <w:t xml:space="preserve"> definitions</w:t>
      </w:r>
      <w:r w:rsidR="00827849">
        <w:t xml:space="preserve"> for multiple products</w:t>
      </w:r>
      <w:r w:rsidR="0032073B">
        <w:t xml:space="preserve"> </w:t>
      </w:r>
      <w:r w:rsidR="00827849">
        <w:t xml:space="preserve">also </w:t>
      </w:r>
      <w:r w:rsidR="0032073B">
        <w:t>require the articulation of m</w:t>
      </w:r>
      <w:r w:rsidR="00827849">
        <w:t>ore</w:t>
      </w:r>
      <w:r w:rsidR="0032073B">
        <w:t xml:space="preserve"> taxability boundaries</w:t>
      </w:r>
      <w:r w:rsidR="00827849">
        <w:t xml:space="preserve"> than are required for a unitary definition or for a few expansive definitions</w:t>
      </w:r>
      <w:r w:rsidR="0032073B">
        <w:t>.  For example, the definition of “digital book” in the Streamlined Sales Tax Agreement still requires a detailed rule to explain what is and is not a “book.”</w:t>
      </w:r>
      <w:r>
        <w:t xml:space="preserve">  </w:t>
      </w:r>
      <w:r w:rsidR="0015194C">
        <w:t>There are similar detailed explanation</w:t>
      </w:r>
      <w:r w:rsidR="002E7D60">
        <w:t>s</w:t>
      </w:r>
      <w:r w:rsidR="0015194C">
        <w:t xml:space="preserve"> for “digital audio visual works,” and “digital audio works.” </w:t>
      </w:r>
      <w:r>
        <w:t xml:space="preserve">Ultimately, clarity depends upon the </w:t>
      </w:r>
      <w:r w:rsidR="00827849">
        <w:t>articulation</w:t>
      </w:r>
      <w:r>
        <w:t xml:space="preserve"> of </w:t>
      </w:r>
      <w:r w:rsidR="005A34AE">
        <w:t>ascertainable</w:t>
      </w:r>
      <w:r>
        <w:t xml:space="preserve"> terms of inclusion and exclusion rather than the </w:t>
      </w:r>
      <w:r w:rsidR="005A34AE">
        <w:t>type of approach</w:t>
      </w:r>
      <w:r>
        <w:t>.</w:t>
      </w:r>
      <w:r w:rsidR="0032073B">
        <w:t xml:space="preserve"> </w:t>
      </w:r>
    </w:p>
    <w:p w14:paraId="555E8AB0" w14:textId="7C6D868C" w:rsidR="0079091B" w:rsidRPr="00561C95" w:rsidRDefault="0079091B" w:rsidP="0069290A">
      <w:pPr>
        <w:keepNext/>
        <w:rPr>
          <w:b/>
          <w:bCs/>
        </w:rPr>
      </w:pPr>
      <w:r w:rsidRPr="00561C95">
        <w:rPr>
          <w:b/>
          <w:bCs/>
        </w:rPr>
        <w:t>Pyramiding of taxes</w:t>
      </w:r>
      <w:r w:rsidR="00561C95">
        <w:rPr>
          <w:b/>
          <w:bCs/>
        </w:rPr>
        <w:t>:</w:t>
      </w:r>
    </w:p>
    <w:p w14:paraId="0309D1D1" w14:textId="33DE129D" w:rsidR="0079091B" w:rsidRDefault="00E00222" w:rsidP="005A34AE">
      <w:r>
        <w:t xml:space="preserve">The Study Group did not </w:t>
      </w:r>
      <w:r w:rsidR="00561C95">
        <w:t>attempt to catalog potential exclusions and exemptions.  But, in response to the concerns of group participants, the pyramiding of taxes was listed as a criteri</w:t>
      </w:r>
      <w:r w:rsidR="00180B9C">
        <w:t>on</w:t>
      </w:r>
      <w:r w:rsidR="00561C95">
        <w:t xml:space="preserve"> for evaluation.  Accordingly, the scope of any business-to-business exclusions are discussed in the evaluations.  In addition, </w:t>
      </w:r>
      <w:r w:rsidR="00CA1401">
        <w:t xml:space="preserve">the </w:t>
      </w:r>
      <w:r w:rsidR="006D0718">
        <w:t xml:space="preserve">proposed definition of “automated digital products” includes a proposed business-to-business exclusion, and </w:t>
      </w:r>
      <w:r w:rsidR="00561C95">
        <w:t>the Council on State Taxation submitted a stand-alone memorandum on the business-to-business exclusion.</w:t>
      </w:r>
    </w:p>
    <w:p w14:paraId="5782C2D9" w14:textId="34636FCE" w:rsidR="0069290A" w:rsidRPr="0069290A" w:rsidRDefault="0069290A" w:rsidP="009779A8">
      <w:pPr>
        <w:rPr>
          <w:b/>
          <w:bCs/>
        </w:rPr>
      </w:pPr>
      <w:r w:rsidRPr="0069290A">
        <w:rPr>
          <w:b/>
          <w:bCs/>
        </w:rPr>
        <w:t xml:space="preserve">List of </w:t>
      </w:r>
      <w:r w:rsidR="009779A8">
        <w:rPr>
          <w:b/>
          <w:bCs/>
        </w:rPr>
        <w:t>d</w:t>
      </w:r>
      <w:r w:rsidRPr="0069290A">
        <w:rPr>
          <w:b/>
          <w:bCs/>
        </w:rPr>
        <w:t>ocuments</w:t>
      </w:r>
      <w:r w:rsidR="009779A8">
        <w:rPr>
          <w:b/>
          <w:bCs/>
        </w:rPr>
        <w:t xml:space="preserve"> in the Appendix:</w:t>
      </w:r>
    </w:p>
    <w:p w14:paraId="224D560B" w14:textId="77777777" w:rsidR="0069290A" w:rsidRDefault="0069290A" w:rsidP="00871689">
      <w:pPr>
        <w:pStyle w:val="ListParagraph"/>
        <w:numPr>
          <w:ilvl w:val="0"/>
          <w:numId w:val="7"/>
        </w:numPr>
        <w:spacing w:after="0"/>
        <w:ind w:left="360"/>
      </w:pPr>
      <w:r>
        <w:t>Memorandum regarding the Three Approaches Matrix</w:t>
      </w:r>
    </w:p>
    <w:p w14:paraId="6646196E" w14:textId="65601EB5" w:rsidR="0069290A" w:rsidRDefault="0069290A" w:rsidP="00871689">
      <w:pPr>
        <w:pStyle w:val="ListParagraph"/>
        <w:numPr>
          <w:ilvl w:val="0"/>
          <w:numId w:val="7"/>
        </w:numPr>
        <w:spacing w:after="0"/>
        <w:ind w:left="360"/>
      </w:pPr>
      <w:r>
        <w:t>Descriptions of selected state approaches</w:t>
      </w:r>
    </w:p>
    <w:p w14:paraId="3BC804E8" w14:textId="77777777" w:rsidR="00124234" w:rsidRDefault="00124234" w:rsidP="00871689">
      <w:pPr>
        <w:pStyle w:val="ListParagraph"/>
        <w:numPr>
          <w:ilvl w:val="1"/>
          <w:numId w:val="9"/>
        </w:numPr>
        <w:spacing w:after="0"/>
        <w:ind w:left="1080"/>
      </w:pPr>
      <w:r>
        <w:t>Washington</w:t>
      </w:r>
    </w:p>
    <w:p w14:paraId="2A4A6BDA" w14:textId="1802F7A0" w:rsidR="0069290A" w:rsidRDefault="0069290A" w:rsidP="00871689">
      <w:pPr>
        <w:pStyle w:val="ListParagraph"/>
        <w:numPr>
          <w:ilvl w:val="1"/>
          <w:numId w:val="9"/>
        </w:numPr>
        <w:spacing w:after="0"/>
        <w:ind w:left="1080"/>
      </w:pPr>
      <w:r>
        <w:t>Utah</w:t>
      </w:r>
    </w:p>
    <w:p w14:paraId="04184A57" w14:textId="3C58132E" w:rsidR="0069290A" w:rsidRDefault="0069290A" w:rsidP="00871689">
      <w:pPr>
        <w:pStyle w:val="ListParagraph"/>
        <w:numPr>
          <w:ilvl w:val="1"/>
          <w:numId w:val="9"/>
        </w:numPr>
        <w:spacing w:after="0"/>
        <w:ind w:left="1080"/>
      </w:pPr>
      <w:r>
        <w:t>Ohio</w:t>
      </w:r>
    </w:p>
    <w:p w14:paraId="1E34DC72" w14:textId="7146A698" w:rsidR="0069290A" w:rsidRDefault="0069290A" w:rsidP="00871689">
      <w:pPr>
        <w:pStyle w:val="ListParagraph"/>
        <w:numPr>
          <w:ilvl w:val="1"/>
          <w:numId w:val="9"/>
        </w:numPr>
        <w:spacing w:after="0"/>
        <w:ind w:left="1080"/>
      </w:pPr>
      <w:r>
        <w:t>South Dakota</w:t>
      </w:r>
    </w:p>
    <w:p w14:paraId="20BD645F" w14:textId="10A9E2DF" w:rsidR="00124234" w:rsidRDefault="00124234" w:rsidP="00871689">
      <w:pPr>
        <w:pStyle w:val="ListParagraph"/>
        <w:numPr>
          <w:ilvl w:val="1"/>
          <w:numId w:val="9"/>
        </w:numPr>
        <w:spacing w:after="0"/>
        <w:ind w:left="1080"/>
      </w:pPr>
      <w:r>
        <w:t>Wisconsin</w:t>
      </w:r>
    </w:p>
    <w:p w14:paraId="41ECECB0" w14:textId="407BCBA9" w:rsidR="0069290A" w:rsidRDefault="0069290A" w:rsidP="00871689">
      <w:pPr>
        <w:pStyle w:val="ListParagraph"/>
        <w:numPr>
          <w:ilvl w:val="0"/>
          <w:numId w:val="7"/>
        </w:numPr>
        <w:spacing w:after="0"/>
        <w:ind w:left="360"/>
      </w:pPr>
      <w:r>
        <w:t xml:space="preserve">Proposed model definition of “Automated Digital Product,” regulations, and related exemption </w:t>
      </w:r>
    </w:p>
    <w:p w14:paraId="449D097B" w14:textId="6FDDB4E5" w:rsidR="0069290A" w:rsidRDefault="0069290A" w:rsidP="00871689">
      <w:pPr>
        <w:pStyle w:val="ListParagraph"/>
        <w:numPr>
          <w:ilvl w:val="0"/>
          <w:numId w:val="7"/>
        </w:numPr>
        <w:spacing w:after="0"/>
        <w:ind w:left="360"/>
      </w:pPr>
      <w:r>
        <w:t xml:space="preserve">Comments from </w:t>
      </w:r>
      <w:r w:rsidR="001D68AC">
        <w:t xml:space="preserve">Craig Johnson, Executive Director, </w:t>
      </w:r>
      <w:r>
        <w:t xml:space="preserve">Streamlined Sales Tax Governing Board </w:t>
      </w:r>
    </w:p>
    <w:p w14:paraId="1F5BA826" w14:textId="2771A0A4" w:rsidR="0069290A" w:rsidRDefault="0069290A" w:rsidP="00871689">
      <w:pPr>
        <w:pStyle w:val="ListParagraph"/>
        <w:numPr>
          <w:ilvl w:val="0"/>
          <w:numId w:val="7"/>
        </w:numPr>
        <w:spacing w:after="0"/>
        <w:ind w:left="360"/>
      </w:pPr>
      <w:r>
        <w:t>Comments from The Council on State Taxation</w:t>
      </w:r>
    </w:p>
    <w:p w14:paraId="4F72616E" w14:textId="4D2C7956" w:rsidR="0069290A" w:rsidRDefault="0069290A" w:rsidP="00871689">
      <w:pPr>
        <w:pStyle w:val="ListParagraph"/>
        <w:numPr>
          <w:ilvl w:val="0"/>
          <w:numId w:val="7"/>
        </w:numPr>
        <w:spacing w:after="0"/>
        <w:ind w:left="360"/>
      </w:pPr>
      <w:r>
        <w:t>Comments from Eversheds Sutherland</w:t>
      </w:r>
    </w:p>
    <w:p w14:paraId="00249C6D" w14:textId="3E37B634" w:rsidR="0069290A" w:rsidRDefault="0069290A" w:rsidP="00871689">
      <w:pPr>
        <w:pStyle w:val="ListParagraph"/>
        <w:numPr>
          <w:ilvl w:val="0"/>
          <w:numId w:val="7"/>
        </w:numPr>
        <w:spacing w:after="0"/>
        <w:ind w:left="360"/>
      </w:pPr>
      <w:r>
        <w:t>Comments from Edward Bernert</w:t>
      </w:r>
    </w:p>
    <w:p w14:paraId="1763AD99" w14:textId="7A55BA2F" w:rsidR="0069290A" w:rsidRDefault="0069290A" w:rsidP="00871689">
      <w:pPr>
        <w:pStyle w:val="ListParagraph"/>
        <w:numPr>
          <w:ilvl w:val="0"/>
          <w:numId w:val="7"/>
        </w:numPr>
        <w:spacing w:after="0"/>
        <w:ind w:left="360"/>
      </w:pPr>
      <w:r>
        <w:t>Information on business-to-business exemptions from Diane Yetter</w:t>
      </w:r>
    </w:p>
    <w:sectPr w:rsidR="006929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CF26" w14:textId="77777777" w:rsidR="00D525EA" w:rsidRDefault="00D525EA" w:rsidP="009654CC">
      <w:pPr>
        <w:spacing w:after="0" w:line="240" w:lineRule="auto"/>
      </w:pPr>
      <w:r>
        <w:separator/>
      </w:r>
    </w:p>
  </w:endnote>
  <w:endnote w:type="continuationSeparator" w:id="0">
    <w:p w14:paraId="6639C03A" w14:textId="77777777" w:rsidR="00D525EA" w:rsidRDefault="00D525EA" w:rsidP="009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78528"/>
      <w:docPartObj>
        <w:docPartGallery w:val="Page Numbers (Bottom of Page)"/>
        <w:docPartUnique/>
      </w:docPartObj>
    </w:sdtPr>
    <w:sdtEndPr>
      <w:rPr>
        <w:noProof/>
      </w:rPr>
    </w:sdtEndPr>
    <w:sdtContent>
      <w:p w14:paraId="47CB827B" w14:textId="6FA2B907" w:rsidR="009654CC" w:rsidRDefault="00965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F566A" w14:textId="77777777" w:rsidR="009654CC" w:rsidRDefault="0096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C91E" w14:textId="77777777" w:rsidR="00D525EA" w:rsidRDefault="00D525EA" w:rsidP="009654CC">
      <w:pPr>
        <w:spacing w:after="0" w:line="240" w:lineRule="auto"/>
      </w:pPr>
      <w:r>
        <w:separator/>
      </w:r>
    </w:p>
  </w:footnote>
  <w:footnote w:type="continuationSeparator" w:id="0">
    <w:p w14:paraId="46D911A8" w14:textId="77777777" w:rsidR="00D525EA" w:rsidRDefault="00D525EA" w:rsidP="009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82A6" w14:textId="34CACF86" w:rsidR="00FA1679" w:rsidRDefault="00FA1679" w:rsidP="00FA1679">
    <w:pPr>
      <w:pStyle w:val="Header"/>
      <w:jc w:val="right"/>
    </w:pPr>
    <w:r>
      <w:t>Draft 20250</w:t>
    </w:r>
    <w:r w:rsidR="00012E99">
      <w:t>8</w:t>
    </w:r>
    <w:r w:rsidR="00931E06">
      <w:t>26</w:t>
    </w:r>
  </w:p>
  <w:p w14:paraId="5BF23343" w14:textId="77777777" w:rsidR="00FA1679" w:rsidRDefault="00FA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D9A"/>
    <w:multiLevelType w:val="hybridMultilevel"/>
    <w:tmpl w:val="E268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E03EA"/>
    <w:multiLevelType w:val="multilevel"/>
    <w:tmpl w:val="64D25B8C"/>
    <w:styleLink w:val="RLOutline1"/>
    <w:lvl w:ilvl="0">
      <w:start w:val="1"/>
      <w:numFmt w:val="upperRoman"/>
      <w:lvlText w:val="%1."/>
      <w:lvlJc w:val="left"/>
      <w:pPr>
        <w:ind w:left="360" w:hanging="360"/>
      </w:pPr>
      <w:rPr>
        <w:rFonts w:ascii="Arial" w:hAnsi="Arial" w:hint="default"/>
        <w:color w:val="000000" w:themeColor="text1"/>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BA219D"/>
    <w:multiLevelType w:val="multilevel"/>
    <w:tmpl w:val="2E6C3006"/>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248"/>
        </w:tabs>
        <w:ind w:left="4248" w:hanging="648"/>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upperLetter"/>
      <w:lvlText w:val="(%9)"/>
      <w:lvlJc w:val="left"/>
      <w:pPr>
        <w:tabs>
          <w:tab w:val="num" w:pos="6120"/>
        </w:tabs>
        <w:ind w:left="5760" w:firstLine="0"/>
      </w:pPr>
    </w:lvl>
  </w:abstractNum>
  <w:abstractNum w:abstractNumId="3" w15:restartNumberingAfterBreak="0">
    <w:nsid w:val="3FA26DFC"/>
    <w:multiLevelType w:val="multilevel"/>
    <w:tmpl w:val="45FC26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791D62"/>
    <w:multiLevelType w:val="hybridMultilevel"/>
    <w:tmpl w:val="798A3148"/>
    <w:lvl w:ilvl="0" w:tplc="04090001">
      <w:start w:val="1"/>
      <w:numFmt w:val="bullet"/>
      <w:lvlText w:val=""/>
      <w:lvlJc w:val="left"/>
      <w:pPr>
        <w:ind w:left="720" w:hanging="360"/>
      </w:pPr>
      <w:rPr>
        <w:rFonts w:ascii="Symbol" w:hAnsi="Symbol" w:hint="default"/>
      </w:rPr>
    </w:lvl>
    <w:lvl w:ilvl="1" w:tplc="E8886C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350EB"/>
    <w:multiLevelType w:val="hybridMultilevel"/>
    <w:tmpl w:val="A128E926"/>
    <w:lvl w:ilvl="0" w:tplc="FFFFFFFF">
      <w:start w:val="1"/>
      <w:numFmt w:val="bullet"/>
      <w:lvlText w:val=""/>
      <w:lvlJc w:val="left"/>
      <w:pPr>
        <w:ind w:left="720" w:hanging="360"/>
      </w:pPr>
      <w:rPr>
        <w:rFonts w:ascii="Symbol" w:hAnsi="Symbol" w:hint="default"/>
      </w:rPr>
    </w:lvl>
    <w:lvl w:ilvl="1" w:tplc="E8886C4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7B7365"/>
    <w:multiLevelType w:val="hybridMultilevel"/>
    <w:tmpl w:val="F174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273269">
    <w:abstractNumId w:val="1"/>
  </w:num>
  <w:num w:numId="2" w16cid:durableId="377365136">
    <w:abstractNumId w:val="1"/>
  </w:num>
  <w:num w:numId="3" w16cid:durableId="785083704">
    <w:abstractNumId w:val="2"/>
  </w:num>
  <w:num w:numId="4" w16cid:durableId="452285483">
    <w:abstractNumId w:val="2"/>
  </w:num>
  <w:num w:numId="5" w16cid:durableId="302467652">
    <w:abstractNumId w:val="3"/>
  </w:num>
  <w:num w:numId="6" w16cid:durableId="160850386">
    <w:abstractNumId w:val="0"/>
  </w:num>
  <w:num w:numId="7" w16cid:durableId="344401463">
    <w:abstractNumId w:val="4"/>
  </w:num>
  <w:num w:numId="8" w16cid:durableId="15813763">
    <w:abstractNumId w:val="6"/>
  </w:num>
  <w:num w:numId="9" w16cid:durableId="34513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C7"/>
    <w:rsid w:val="00012E99"/>
    <w:rsid w:val="000310EB"/>
    <w:rsid w:val="0006749E"/>
    <w:rsid w:val="0008469D"/>
    <w:rsid w:val="000C508A"/>
    <w:rsid w:val="000E071A"/>
    <w:rsid w:val="00114729"/>
    <w:rsid w:val="00124234"/>
    <w:rsid w:val="00140F81"/>
    <w:rsid w:val="0015194C"/>
    <w:rsid w:val="001558AA"/>
    <w:rsid w:val="00180B9C"/>
    <w:rsid w:val="001C2F99"/>
    <w:rsid w:val="001D1762"/>
    <w:rsid w:val="001D68AC"/>
    <w:rsid w:val="001E4DF8"/>
    <w:rsid w:val="00277B15"/>
    <w:rsid w:val="002C7CA4"/>
    <w:rsid w:val="002E7D60"/>
    <w:rsid w:val="00304BD6"/>
    <w:rsid w:val="0032073B"/>
    <w:rsid w:val="00323D15"/>
    <w:rsid w:val="00371E7D"/>
    <w:rsid w:val="003738F7"/>
    <w:rsid w:val="003C2199"/>
    <w:rsid w:val="003E3DE1"/>
    <w:rsid w:val="003F22FB"/>
    <w:rsid w:val="004137C7"/>
    <w:rsid w:val="0047109B"/>
    <w:rsid w:val="00491C9E"/>
    <w:rsid w:val="004B20B1"/>
    <w:rsid w:val="004B58FB"/>
    <w:rsid w:val="005032B2"/>
    <w:rsid w:val="00544859"/>
    <w:rsid w:val="00561C95"/>
    <w:rsid w:val="005A34AE"/>
    <w:rsid w:val="005D5C2E"/>
    <w:rsid w:val="006161B5"/>
    <w:rsid w:val="006837AD"/>
    <w:rsid w:val="0069290A"/>
    <w:rsid w:val="006D0718"/>
    <w:rsid w:val="006D0E36"/>
    <w:rsid w:val="006D48DD"/>
    <w:rsid w:val="006E5AF0"/>
    <w:rsid w:val="006F14A5"/>
    <w:rsid w:val="007442C7"/>
    <w:rsid w:val="0077048B"/>
    <w:rsid w:val="0079091B"/>
    <w:rsid w:val="007F7959"/>
    <w:rsid w:val="0081208D"/>
    <w:rsid w:val="00827849"/>
    <w:rsid w:val="00867058"/>
    <w:rsid w:val="00871689"/>
    <w:rsid w:val="008D0738"/>
    <w:rsid w:val="008E1405"/>
    <w:rsid w:val="008F7C6B"/>
    <w:rsid w:val="00931E06"/>
    <w:rsid w:val="009654CC"/>
    <w:rsid w:val="009779A8"/>
    <w:rsid w:val="009D09E1"/>
    <w:rsid w:val="00AA695C"/>
    <w:rsid w:val="00AE2087"/>
    <w:rsid w:val="00B3086D"/>
    <w:rsid w:val="00B65F7D"/>
    <w:rsid w:val="00C679AF"/>
    <w:rsid w:val="00C67A20"/>
    <w:rsid w:val="00CA0F70"/>
    <w:rsid w:val="00CA1401"/>
    <w:rsid w:val="00D35D05"/>
    <w:rsid w:val="00D525EA"/>
    <w:rsid w:val="00D53DCA"/>
    <w:rsid w:val="00D72E24"/>
    <w:rsid w:val="00DC21B2"/>
    <w:rsid w:val="00DE03B8"/>
    <w:rsid w:val="00DE3AD6"/>
    <w:rsid w:val="00E00222"/>
    <w:rsid w:val="00E00FB6"/>
    <w:rsid w:val="00E10547"/>
    <w:rsid w:val="00E328AC"/>
    <w:rsid w:val="00E45841"/>
    <w:rsid w:val="00EB47FB"/>
    <w:rsid w:val="00EF09C4"/>
    <w:rsid w:val="00F06832"/>
    <w:rsid w:val="00F26F20"/>
    <w:rsid w:val="00F44A49"/>
    <w:rsid w:val="00FA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A4B5"/>
  <w15:chartTrackingRefBased/>
  <w15:docId w15:val="{6D0DA054-F858-4D10-9A5F-67B8F47A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C7"/>
  </w:style>
  <w:style w:type="paragraph" w:styleId="Heading1">
    <w:name w:val="heading 1"/>
    <w:basedOn w:val="Normal"/>
    <w:next w:val="Normal"/>
    <w:link w:val="Heading1Char"/>
    <w:qFormat/>
    <w:rsid w:val="00D35D05"/>
    <w:pPr>
      <w:numPr>
        <w:numId w:val="4"/>
      </w:numPr>
      <w:spacing w:after="240" w:line="240" w:lineRule="auto"/>
      <w:outlineLvl w:val="0"/>
    </w:pPr>
    <w:rPr>
      <w:b/>
      <w:kern w:val="28"/>
      <w:sz w:val="26"/>
    </w:rPr>
  </w:style>
  <w:style w:type="paragraph" w:styleId="Heading2">
    <w:name w:val="heading 2"/>
    <w:basedOn w:val="Heading1"/>
    <w:next w:val="Normal"/>
    <w:link w:val="Heading2Char"/>
    <w:qFormat/>
    <w:rsid w:val="00D35D05"/>
    <w:pPr>
      <w:numPr>
        <w:ilvl w:val="1"/>
        <w:numId w:val="5"/>
      </w:numPr>
      <w:ind w:left="720" w:hanging="360"/>
      <w:outlineLvl w:val="1"/>
    </w:pPr>
  </w:style>
  <w:style w:type="paragraph" w:styleId="Heading3">
    <w:name w:val="heading 3"/>
    <w:basedOn w:val="Normal"/>
    <w:next w:val="Normal"/>
    <w:link w:val="Heading3Char"/>
    <w:uiPriority w:val="9"/>
    <w:semiHidden/>
    <w:unhideWhenUsed/>
    <w:qFormat/>
    <w:rsid w:val="0041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L"/>
    <w:basedOn w:val="Normal"/>
    <w:uiPriority w:val="34"/>
    <w:qFormat/>
    <w:rsid w:val="007442C7"/>
    <w:pPr>
      <w:spacing w:after="240"/>
      <w:ind w:left="720"/>
    </w:pPr>
  </w:style>
  <w:style w:type="numbering" w:customStyle="1" w:styleId="RLOutline1">
    <w:name w:val="RLOutline1"/>
    <w:uiPriority w:val="99"/>
    <w:rsid w:val="007442C7"/>
    <w:pPr>
      <w:numPr>
        <w:numId w:val="1"/>
      </w:numPr>
    </w:pPr>
  </w:style>
  <w:style w:type="character" w:customStyle="1" w:styleId="Heading1Char">
    <w:name w:val="Heading 1 Char"/>
    <w:basedOn w:val="DefaultParagraphFont"/>
    <w:link w:val="Heading1"/>
    <w:rsid w:val="00D35D05"/>
    <w:rPr>
      <w:b/>
      <w:kern w:val="28"/>
      <w:sz w:val="26"/>
    </w:rPr>
  </w:style>
  <w:style w:type="character" w:customStyle="1" w:styleId="Heading2Char">
    <w:name w:val="Heading 2 Char"/>
    <w:basedOn w:val="DefaultParagraphFont"/>
    <w:link w:val="Heading2"/>
    <w:rsid w:val="00D35D05"/>
    <w:rPr>
      <w:b/>
      <w:kern w:val="28"/>
      <w:sz w:val="26"/>
    </w:rPr>
  </w:style>
  <w:style w:type="character" w:customStyle="1" w:styleId="Heading3Char">
    <w:name w:val="Heading 3 Char"/>
    <w:basedOn w:val="DefaultParagraphFont"/>
    <w:link w:val="Heading3"/>
    <w:uiPriority w:val="9"/>
    <w:semiHidden/>
    <w:rsid w:val="0041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7C7"/>
    <w:rPr>
      <w:rFonts w:eastAsiaTheme="majorEastAsia" w:cstheme="majorBidi"/>
      <w:color w:val="272727" w:themeColor="text1" w:themeTint="D8"/>
    </w:rPr>
  </w:style>
  <w:style w:type="paragraph" w:styleId="Title">
    <w:name w:val="Title"/>
    <w:basedOn w:val="Normal"/>
    <w:next w:val="Normal"/>
    <w:link w:val="TitleChar"/>
    <w:uiPriority w:val="10"/>
    <w:qFormat/>
    <w:rsid w:val="0041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7C7"/>
    <w:pPr>
      <w:spacing w:before="160"/>
      <w:jc w:val="center"/>
    </w:pPr>
    <w:rPr>
      <w:i/>
      <w:iCs/>
      <w:color w:val="404040" w:themeColor="text1" w:themeTint="BF"/>
    </w:rPr>
  </w:style>
  <w:style w:type="character" w:customStyle="1" w:styleId="QuoteChar">
    <w:name w:val="Quote Char"/>
    <w:basedOn w:val="DefaultParagraphFont"/>
    <w:link w:val="Quote"/>
    <w:uiPriority w:val="29"/>
    <w:rsid w:val="004137C7"/>
    <w:rPr>
      <w:i/>
      <w:iCs/>
      <w:color w:val="404040" w:themeColor="text1" w:themeTint="BF"/>
    </w:rPr>
  </w:style>
  <w:style w:type="character" w:styleId="IntenseEmphasis">
    <w:name w:val="Intense Emphasis"/>
    <w:basedOn w:val="DefaultParagraphFont"/>
    <w:uiPriority w:val="21"/>
    <w:qFormat/>
    <w:rsid w:val="004137C7"/>
    <w:rPr>
      <w:i/>
      <w:iCs/>
      <w:color w:val="0F4761" w:themeColor="accent1" w:themeShade="BF"/>
    </w:rPr>
  </w:style>
  <w:style w:type="paragraph" w:styleId="IntenseQuote">
    <w:name w:val="Intense Quote"/>
    <w:basedOn w:val="Normal"/>
    <w:next w:val="Normal"/>
    <w:link w:val="IntenseQuoteChar"/>
    <w:uiPriority w:val="30"/>
    <w:qFormat/>
    <w:rsid w:val="0041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7C7"/>
    <w:rPr>
      <w:i/>
      <w:iCs/>
      <w:color w:val="0F4761" w:themeColor="accent1" w:themeShade="BF"/>
    </w:rPr>
  </w:style>
  <w:style w:type="character" w:styleId="IntenseReference">
    <w:name w:val="Intense Reference"/>
    <w:basedOn w:val="DefaultParagraphFont"/>
    <w:uiPriority w:val="32"/>
    <w:qFormat/>
    <w:rsid w:val="004137C7"/>
    <w:rPr>
      <w:b/>
      <w:bCs/>
      <w:smallCaps/>
      <w:color w:val="0F4761" w:themeColor="accent1" w:themeShade="BF"/>
      <w:spacing w:val="5"/>
    </w:rPr>
  </w:style>
  <w:style w:type="paragraph" w:styleId="Header">
    <w:name w:val="header"/>
    <w:basedOn w:val="Normal"/>
    <w:link w:val="HeaderChar"/>
    <w:uiPriority w:val="99"/>
    <w:unhideWhenUsed/>
    <w:rsid w:val="0096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4CC"/>
  </w:style>
  <w:style w:type="paragraph" w:styleId="Footer">
    <w:name w:val="footer"/>
    <w:basedOn w:val="Normal"/>
    <w:link w:val="FooterChar"/>
    <w:uiPriority w:val="99"/>
    <w:unhideWhenUsed/>
    <w:rsid w:val="0096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Langenberg</dc:creator>
  <cp:keywords/>
  <dc:description/>
  <cp:lastModifiedBy>Ray Langenberg</cp:lastModifiedBy>
  <cp:revision>6</cp:revision>
  <cp:lastPrinted>2025-08-26T18:23:00Z</cp:lastPrinted>
  <dcterms:created xsi:type="dcterms:W3CDTF">2025-08-26T18:14:00Z</dcterms:created>
  <dcterms:modified xsi:type="dcterms:W3CDTF">2025-08-26T20:01:00Z</dcterms:modified>
</cp:coreProperties>
</file>