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946B" w14:textId="77777777" w:rsidR="000631FA" w:rsidRDefault="000631FA" w:rsidP="000631FA">
      <w:r>
        <w:rPr>
          <w:sz w:val="22"/>
          <w:szCs w:val="22"/>
        </w:rPr>
        <w:t>Helen and Ray</w:t>
      </w:r>
    </w:p>
    <w:p w14:paraId="0821A06B" w14:textId="77777777" w:rsidR="000631FA" w:rsidRDefault="000631FA" w:rsidP="000631FA">
      <w:r>
        <w:rPr>
          <w:sz w:val="22"/>
          <w:szCs w:val="22"/>
        </w:rPr>
        <w:t> </w:t>
      </w:r>
    </w:p>
    <w:p w14:paraId="0D13F0A8" w14:textId="77777777" w:rsidR="000631FA" w:rsidRDefault="000631FA" w:rsidP="000631FA">
      <w:r>
        <w:rPr>
          <w:sz w:val="22"/>
          <w:szCs w:val="22"/>
        </w:rPr>
        <w:t>On the last call I offered to see what I could find on the business use exemptions and how the exemption is claimed.  Here is my initial pass based on the states I remembered that have a business use exemption.  I’m doing another search to make sure there aren't any other states that I wasn’t remembering.  I’ve also attached some back up from the states.</w:t>
      </w:r>
    </w:p>
    <w:p w14:paraId="510410F5" w14:textId="77777777" w:rsidR="000631FA" w:rsidRDefault="000631FA" w:rsidP="000631FA">
      <w:r>
        <w:rPr>
          <w:sz w:val="22"/>
          <w:szCs w:val="22"/>
        </w:rPr>
        <w:t> </w:t>
      </w:r>
    </w:p>
    <w:p w14:paraId="240B5C20" w14:textId="77777777" w:rsidR="000631FA" w:rsidRDefault="000631FA" w:rsidP="000631FA">
      <w:r>
        <w:rPr>
          <w:b/>
          <w:bCs/>
          <w:sz w:val="22"/>
          <w:szCs w:val="22"/>
        </w:rPr>
        <w:t>CCH results (PDFs attached):</w:t>
      </w:r>
    </w:p>
    <w:p w14:paraId="62D9F849" w14:textId="77777777" w:rsidR="000631FA" w:rsidRDefault="000631FA" w:rsidP="000631FA">
      <w:pPr>
        <w:pStyle w:val="ListParagraph"/>
        <w:numPr>
          <w:ilvl w:val="0"/>
          <w:numId w:val="1"/>
        </w:numPr>
        <w:contextualSpacing w:val="0"/>
        <w:rPr>
          <w:rFonts w:eastAsia="Times New Roman"/>
        </w:rPr>
      </w:pPr>
      <w:r>
        <w:rPr>
          <w:rFonts w:eastAsia="Times New Roman"/>
          <w:b/>
          <w:bCs/>
          <w:sz w:val="22"/>
          <w:szCs w:val="22"/>
        </w:rPr>
        <w:t>IA: “</w:t>
      </w:r>
      <w:r>
        <w:rPr>
          <w:rFonts w:eastAsia="Times New Roman"/>
          <w:sz w:val="22"/>
          <w:szCs w:val="22"/>
        </w:rPr>
        <w:t xml:space="preserve">Iowa law exempts from sales tax the sales price of software as a service furnished “to a commercial enterprise for use exclusively by the commercial enterprise.” Iowa Code §423.3(104)(a). Commercial enterprise means “businesses and manufacturers conducted for profit, for-profit and nonprofit insurance companies, and for-profit and nonprofit financial institutions, but excludes other nonprofits and professions and occupations.” Iowa Code §423.3(47)(d)(1). </w:t>
      </w:r>
      <w:r>
        <w:rPr>
          <w:rFonts w:eastAsia="Times New Roman"/>
          <w:b/>
          <w:bCs/>
          <w:sz w:val="22"/>
          <w:szCs w:val="22"/>
        </w:rPr>
        <w:t>To qualify for the exemption</w:t>
      </w:r>
      <w:r>
        <w:rPr>
          <w:rFonts w:eastAsia="Times New Roman"/>
          <w:sz w:val="22"/>
          <w:szCs w:val="22"/>
        </w:rPr>
        <w:t>, the products must be used exclusively by the commercial enterprise, and any non-commercial use of the products and services must be </w:t>
      </w:r>
      <w:r>
        <w:rPr>
          <w:rFonts w:eastAsia="Times New Roman"/>
          <w:i/>
          <w:iCs/>
          <w:sz w:val="22"/>
          <w:szCs w:val="22"/>
        </w:rPr>
        <w:t>de minimis</w:t>
      </w:r>
      <w:r>
        <w:rPr>
          <w:rFonts w:eastAsia="Times New Roman"/>
          <w:sz w:val="22"/>
          <w:szCs w:val="22"/>
        </w:rPr>
        <w:t>. Iowa Code §423.3(104)(a).”</w:t>
      </w:r>
    </w:p>
    <w:p w14:paraId="5F16FF5B" w14:textId="77777777" w:rsidR="000631FA" w:rsidRDefault="000631FA" w:rsidP="000631FA">
      <w:pPr>
        <w:pStyle w:val="ListParagraph"/>
        <w:numPr>
          <w:ilvl w:val="0"/>
          <w:numId w:val="1"/>
        </w:numPr>
        <w:contextualSpacing w:val="0"/>
        <w:rPr>
          <w:rFonts w:eastAsia="Times New Roman"/>
        </w:rPr>
      </w:pPr>
      <w:r>
        <w:rPr>
          <w:rFonts w:eastAsia="Times New Roman"/>
          <w:b/>
          <w:bCs/>
          <w:sz w:val="22"/>
          <w:szCs w:val="22"/>
        </w:rPr>
        <w:t>NJ:</w:t>
      </w:r>
      <w:r>
        <w:rPr>
          <w:rFonts w:eastAsia="Times New Roman"/>
          <w:sz w:val="22"/>
          <w:szCs w:val="22"/>
        </w:rPr>
        <w:t xml:space="preserve"> Most charges for SaaS are not subject to tax. SaaS is the sale of a service and is </w:t>
      </w:r>
      <w:r>
        <w:rPr>
          <w:rFonts w:eastAsia="Times New Roman"/>
          <w:b/>
          <w:bCs/>
          <w:sz w:val="22"/>
          <w:szCs w:val="22"/>
        </w:rPr>
        <w:t>not a listed taxable service</w:t>
      </w:r>
      <w:r>
        <w:rPr>
          <w:rFonts w:eastAsia="Times New Roman"/>
          <w:sz w:val="22"/>
          <w:szCs w:val="22"/>
        </w:rPr>
        <w:t xml:space="preserve">. Information services are taxable and so is SaaS when SaaS is used to provide information to customers. “SaaS provider’s tax obligations. The SaaS provider is the owner of the underlying software and is selling access to the software rather than the software itself. As such, the SaaS provider must pay sales tax on the purchase of any software used to provide the service, </w:t>
      </w:r>
      <w:r>
        <w:rPr>
          <w:rFonts w:eastAsia="Times New Roman"/>
          <w:b/>
          <w:bCs/>
          <w:sz w:val="22"/>
          <w:szCs w:val="22"/>
        </w:rPr>
        <w:t>except where the business use exemption is applicable</w:t>
      </w:r>
      <w:r>
        <w:rPr>
          <w:rFonts w:eastAsia="Times New Roman"/>
          <w:sz w:val="22"/>
          <w:szCs w:val="22"/>
        </w:rPr>
        <w:t>.”</w:t>
      </w:r>
    </w:p>
    <w:p w14:paraId="104F230C" w14:textId="77777777" w:rsidR="000631FA" w:rsidRDefault="000631FA" w:rsidP="000631FA">
      <w:pPr>
        <w:pStyle w:val="ListParagraph"/>
        <w:numPr>
          <w:ilvl w:val="0"/>
          <w:numId w:val="1"/>
        </w:numPr>
        <w:contextualSpacing w:val="0"/>
        <w:rPr>
          <w:rFonts w:eastAsia="Times New Roman"/>
        </w:rPr>
      </w:pPr>
      <w:r>
        <w:rPr>
          <w:rFonts w:eastAsia="Times New Roman"/>
          <w:b/>
          <w:bCs/>
          <w:sz w:val="22"/>
          <w:szCs w:val="22"/>
        </w:rPr>
        <w:t>MD:</w:t>
      </w:r>
      <w:r>
        <w:rPr>
          <w:rFonts w:eastAsia="Times New Roman"/>
          <w:sz w:val="22"/>
          <w:szCs w:val="22"/>
        </w:rPr>
        <w:t xml:space="preserve">  “The sale of software or software as a service (SaaS) that is delivered or obtained electronically is subject to the sales and use tax unless it is excluded from the definition of digital product or the exemption for customized software applies to the sale. A </w:t>
      </w:r>
      <w:r>
        <w:rPr>
          <w:rFonts w:eastAsia="Times New Roman"/>
          <w:b/>
          <w:bCs/>
          <w:sz w:val="22"/>
          <w:szCs w:val="22"/>
        </w:rPr>
        <w:t>digital product does not include computer software or software as a service purchased or licenses solely for commercial purposes</w:t>
      </w:r>
      <w:r>
        <w:rPr>
          <w:rFonts w:eastAsia="Times New Roman"/>
          <w:sz w:val="22"/>
          <w:szCs w:val="22"/>
        </w:rPr>
        <w:t xml:space="preserve"> in an enterprise computer system, including an operating program or application software for the exclusive use of the enterprise software system, that is housed or maintained by the purchaser or on a cloud server, whether hosted by the purchaser, the software vendor, or a third party. </w:t>
      </w:r>
      <w:hyperlink r:id="rId5" w:anchor="jmd01d5bef2aa7dd7100087f5000d3a8bba6b01-footdocd2408278e1fn937" w:history="1">
        <w:r>
          <w:rPr>
            <w:rStyle w:val="Hyperlink"/>
            <w:rFonts w:eastAsia="Times New Roman"/>
            <w:sz w:val="22"/>
            <w:szCs w:val="22"/>
            <w:vertAlign w:val="superscript"/>
          </w:rPr>
          <w:t>51</w:t>
        </w:r>
      </w:hyperlink>
      <w:bookmarkStart w:id="0" w:name="footdocd2408278e1fn937-reference"/>
      <w:bookmarkEnd w:id="0"/>
      <w:r>
        <w:rPr>
          <w:rFonts w:eastAsia="Times New Roman"/>
          <w:sz w:val="22"/>
          <w:szCs w:val="22"/>
        </w:rPr>
        <w:t xml:space="preserve"> </w:t>
      </w:r>
      <w:r>
        <w:rPr>
          <w:rFonts w:eastAsia="Times New Roman"/>
          <w:b/>
          <w:bCs/>
          <w:sz w:val="22"/>
          <w:szCs w:val="22"/>
        </w:rPr>
        <w:t>The vendor is not required to obtain and retain an exclusion or exemption certificate</w:t>
      </w:r>
      <w:r>
        <w:rPr>
          <w:rFonts w:eastAsia="Times New Roman"/>
          <w:sz w:val="22"/>
          <w:szCs w:val="22"/>
        </w:rPr>
        <w:t xml:space="preserve"> from the buyer for the exclusion. However, the vendor and buyer should retain </w:t>
      </w:r>
      <w:r>
        <w:rPr>
          <w:rFonts w:eastAsia="Times New Roman"/>
          <w:b/>
          <w:bCs/>
          <w:sz w:val="22"/>
          <w:szCs w:val="22"/>
        </w:rPr>
        <w:t>documentation that the sale meets the statutory exclusion</w:t>
      </w:r>
      <w:r>
        <w:rPr>
          <w:rFonts w:eastAsia="Times New Roman"/>
          <w:sz w:val="22"/>
          <w:szCs w:val="22"/>
        </w:rPr>
        <w:t>.”</w:t>
      </w:r>
    </w:p>
    <w:p w14:paraId="470046CB" w14:textId="77777777" w:rsidR="000631FA" w:rsidRDefault="000631FA" w:rsidP="000631FA">
      <w:pPr>
        <w:pStyle w:val="ListParagraph"/>
        <w:numPr>
          <w:ilvl w:val="0"/>
          <w:numId w:val="1"/>
        </w:numPr>
        <w:contextualSpacing w:val="0"/>
        <w:rPr>
          <w:rFonts w:eastAsia="Times New Roman"/>
        </w:rPr>
      </w:pPr>
      <w:r>
        <w:rPr>
          <w:rFonts w:eastAsia="Times New Roman"/>
          <w:b/>
          <w:bCs/>
          <w:sz w:val="22"/>
          <w:szCs w:val="22"/>
        </w:rPr>
        <w:t>WA:</w:t>
      </w:r>
      <w:r>
        <w:rPr>
          <w:rFonts w:eastAsia="Times New Roman"/>
          <w:sz w:val="22"/>
          <w:szCs w:val="22"/>
        </w:rPr>
        <w:t xml:space="preserve"> (WA DOR) Digital goods purchased for a business purpose - If a business purchases a digital good (only digital goods, NOT digital automated services or remote access software) for business purposes, then the purchase is exempt from sales tax. Digital codes can be purchased exempt from sales tax as well, as long as only digital goods are obtained through the use of the code and the digital goods will be used solely for business purposes. The seller is still subject to Retailing B&amp;O tax on these sales. </w:t>
      </w:r>
      <w:hyperlink r:id="rId6" w:history="1">
        <w:r>
          <w:rPr>
            <w:rStyle w:val="Hyperlink"/>
            <w:rFonts w:eastAsia="Times New Roman"/>
            <w:sz w:val="22"/>
            <w:szCs w:val="22"/>
          </w:rPr>
          <w:t>https://dor.wa.gov/forms-publications/publications-subject/tax-topics/digital-products-including-digital-goods</w:t>
        </w:r>
      </w:hyperlink>
      <w:r>
        <w:rPr>
          <w:rFonts w:eastAsia="Times New Roman"/>
          <w:sz w:val="22"/>
          <w:szCs w:val="22"/>
        </w:rPr>
        <w:t xml:space="preserve">. Specifically, see </w:t>
      </w:r>
      <w:r>
        <w:rPr>
          <w:rFonts w:eastAsia="Times New Roman"/>
          <w:b/>
          <w:bCs/>
          <w:sz w:val="22"/>
          <w:szCs w:val="22"/>
        </w:rPr>
        <w:t>WA Digital Products and Remote Access Software Exemption Certificate</w:t>
      </w:r>
      <w:r>
        <w:rPr>
          <w:rFonts w:eastAsia="Times New Roman"/>
          <w:sz w:val="22"/>
          <w:szCs w:val="22"/>
        </w:rPr>
        <w:t xml:space="preserve"> </w:t>
      </w:r>
      <w:hyperlink r:id="rId7" w:history="1">
        <w:r>
          <w:rPr>
            <w:rStyle w:val="Hyperlink"/>
            <w:rFonts w:eastAsia="Times New Roman"/>
            <w:sz w:val="22"/>
            <w:szCs w:val="22"/>
          </w:rPr>
          <w:t>https://dor.wa.gov/sites/default/files/2022-02/27-0050.pdf</w:t>
        </w:r>
      </w:hyperlink>
    </w:p>
    <w:p w14:paraId="70A8C5DD" w14:textId="77777777" w:rsidR="000631FA" w:rsidRDefault="000631FA" w:rsidP="000631FA">
      <w:r>
        <w:rPr>
          <w:sz w:val="22"/>
          <w:szCs w:val="22"/>
        </w:rPr>
        <w:t> </w:t>
      </w:r>
    </w:p>
    <w:p w14:paraId="15BBB39D" w14:textId="77777777" w:rsidR="000631FA" w:rsidRDefault="000631FA" w:rsidP="000631FA">
      <w:r>
        <w:rPr>
          <w:sz w:val="22"/>
          <w:szCs w:val="22"/>
        </w:rPr>
        <w:t> </w:t>
      </w:r>
    </w:p>
    <w:p w14:paraId="5CE6391E" w14:textId="77777777" w:rsidR="000631FA" w:rsidRDefault="000631FA" w:rsidP="000631FA">
      <w:r>
        <w:rPr>
          <w:b/>
          <w:bCs/>
          <w:sz w:val="22"/>
          <w:szCs w:val="22"/>
        </w:rPr>
        <w:t>For what it’s worth, here are the Copilot results:</w:t>
      </w:r>
    </w:p>
    <w:p w14:paraId="072A1EC0" w14:textId="77777777" w:rsidR="000631FA" w:rsidRDefault="000631FA" w:rsidP="000631FA">
      <w:r>
        <w:rPr>
          <w:sz w:val="22"/>
          <w:szCs w:val="22"/>
        </w:rPr>
        <w:lastRenderedPageBreak/>
        <w:t>Regarding sales and use tax for the states that offer a B2B or business use exemption and also tax SaaS or Digital goods, what is the process a seller and buyer need to follow to claim the exemption? Look up the process for these specific states: Iowa, New Jersey, Maryland, Washington.</w:t>
      </w:r>
    </w:p>
    <w:p w14:paraId="75EA5FF9" w14:textId="77777777" w:rsidR="000631FA" w:rsidRDefault="000631FA" w:rsidP="000631FA">
      <w:r>
        <w:rPr>
          <w:sz w:val="22"/>
          <w:szCs w:val="22"/>
        </w:rPr>
        <w:t xml:space="preserve">Here’s a breakdown of the </w:t>
      </w:r>
      <w:r>
        <w:rPr>
          <w:b/>
          <w:bCs/>
          <w:sz w:val="22"/>
          <w:szCs w:val="22"/>
        </w:rPr>
        <w:t>sales and use tax exemption process for B2B purchases of SaaS or digital goods</w:t>
      </w:r>
      <w:r>
        <w:rPr>
          <w:sz w:val="22"/>
          <w:szCs w:val="22"/>
        </w:rPr>
        <w:t xml:space="preserve"> in the states you asked about:</w:t>
      </w:r>
    </w:p>
    <w:p w14:paraId="3B70C473" w14:textId="77777777" w:rsidR="000631FA" w:rsidRDefault="000631FA" w:rsidP="000631FA">
      <w:pPr>
        <w:jc w:val="center"/>
        <w:rPr>
          <w:rFonts w:eastAsia="Times New Roman"/>
          <w:sz w:val="22"/>
          <w:szCs w:val="22"/>
        </w:rPr>
      </w:pPr>
      <w:r>
        <w:rPr>
          <w:rFonts w:eastAsia="Times New Roman"/>
          <w:sz w:val="22"/>
          <w:szCs w:val="22"/>
        </w:rPr>
        <w:pict w14:anchorId="7CA81B92">
          <v:rect id="_x0000_i1025" style="width:468pt;height:.5pt" o:hralign="center" o:hrstd="t" o:hr="t" fillcolor="#a0a0a0" stroked="f"/>
        </w:pict>
      </w:r>
    </w:p>
    <w:p w14:paraId="702D4651" w14:textId="77777777" w:rsidR="000631FA" w:rsidRDefault="000631FA" w:rsidP="000631FA">
      <w:r>
        <w:rPr>
          <w:b/>
          <w:bCs/>
          <w:sz w:val="22"/>
          <w:szCs w:val="22"/>
        </w:rPr>
        <w:t>1. Iowa</w:t>
      </w:r>
    </w:p>
    <w:p w14:paraId="13EF89C3" w14:textId="77777777" w:rsidR="000631FA" w:rsidRDefault="000631FA" w:rsidP="000631FA">
      <w:pPr>
        <w:numPr>
          <w:ilvl w:val="0"/>
          <w:numId w:val="2"/>
        </w:numPr>
        <w:rPr>
          <w:rFonts w:eastAsia="Times New Roman"/>
        </w:rPr>
      </w:pPr>
      <w:r>
        <w:rPr>
          <w:rFonts w:eastAsia="Times New Roman"/>
          <w:b/>
          <w:bCs/>
          <w:sz w:val="22"/>
          <w:szCs w:val="22"/>
        </w:rPr>
        <w:t>Taxability</w:t>
      </w:r>
      <w:r>
        <w:rPr>
          <w:rFonts w:eastAsia="Times New Roman"/>
          <w:sz w:val="22"/>
          <w:szCs w:val="22"/>
        </w:rPr>
        <w:t>: Iowa taxes SaaS and most digital goods.</w:t>
      </w:r>
    </w:p>
    <w:p w14:paraId="6784CCE3" w14:textId="77777777" w:rsidR="000631FA" w:rsidRDefault="000631FA" w:rsidP="000631FA">
      <w:pPr>
        <w:numPr>
          <w:ilvl w:val="0"/>
          <w:numId w:val="2"/>
        </w:numPr>
        <w:rPr>
          <w:rFonts w:eastAsia="Times New Roman"/>
        </w:rPr>
      </w:pPr>
      <w:r>
        <w:rPr>
          <w:rFonts w:eastAsia="Times New Roman"/>
          <w:b/>
          <w:bCs/>
          <w:sz w:val="22"/>
          <w:szCs w:val="22"/>
        </w:rPr>
        <w:t>B2B Exemption</w:t>
      </w:r>
      <w:r>
        <w:rPr>
          <w:rFonts w:eastAsia="Times New Roman"/>
          <w:sz w:val="22"/>
          <w:szCs w:val="22"/>
        </w:rPr>
        <w:t xml:space="preserve">: Iowa offers a </w:t>
      </w:r>
      <w:r>
        <w:rPr>
          <w:rFonts w:eastAsia="Times New Roman"/>
          <w:b/>
          <w:bCs/>
          <w:sz w:val="22"/>
          <w:szCs w:val="22"/>
        </w:rPr>
        <w:t>business use exemption</w:t>
      </w:r>
      <w:r>
        <w:rPr>
          <w:rFonts w:eastAsia="Times New Roman"/>
          <w:sz w:val="22"/>
          <w:szCs w:val="22"/>
        </w:rPr>
        <w:t xml:space="preserve"> for SaaS and digital goods used exclusively for business purposes.</w:t>
      </w:r>
    </w:p>
    <w:p w14:paraId="6CB51281" w14:textId="77777777" w:rsidR="000631FA" w:rsidRDefault="000631FA" w:rsidP="000631FA">
      <w:pPr>
        <w:numPr>
          <w:ilvl w:val="0"/>
          <w:numId w:val="2"/>
        </w:numPr>
        <w:rPr>
          <w:rFonts w:eastAsia="Times New Roman"/>
        </w:rPr>
      </w:pPr>
      <w:r>
        <w:rPr>
          <w:rFonts w:eastAsia="Times New Roman"/>
          <w:b/>
          <w:bCs/>
          <w:sz w:val="22"/>
          <w:szCs w:val="22"/>
        </w:rPr>
        <w:t>Process</w:t>
      </w:r>
      <w:r>
        <w:rPr>
          <w:rFonts w:eastAsia="Times New Roman"/>
          <w:sz w:val="22"/>
          <w:szCs w:val="22"/>
        </w:rPr>
        <w:t>:</w:t>
      </w:r>
    </w:p>
    <w:p w14:paraId="7993CA3B" w14:textId="77777777" w:rsidR="000631FA" w:rsidRDefault="000631FA" w:rsidP="000631FA">
      <w:pPr>
        <w:numPr>
          <w:ilvl w:val="1"/>
          <w:numId w:val="2"/>
        </w:numPr>
        <w:rPr>
          <w:rFonts w:eastAsia="Times New Roman"/>
        </w:rPr>
      </w:pPr>
      <w:r>
        <w:rPr>
          <w:rFonts w:eastAsia="Times New Roman"/>
          <w:sz w:val="22"/>
          <w:szCs w:val="22"/>
        </w:rPr>
        <w:t xml:space="preserve">Buyer must provide a </w:t>
      </w:r>
      <w:r>
        <w:rPr>
          <w:rFonts w:eastAsia="Times New Roman"/>
          <w:b/>
          <w:bCs/>
          <w:sz w:val="22"/>
          <w:szCs w:val="22"/>
        </w:rPr>
        <w:t>valid exemption certificate</w:t>
      </w:r>
      <w:r>
        <w:rPr>
          <w:rFonts w:eastAsia="Times New Roman"/>
          <w:sz w:val="22"/>
          <w:szCs w:val="22"/>
        </w:rPr>
        <w:t xml:space="preserve"> to the seller.</w:t>
      </w:r>
    </w:p>
    <w:p w14:paraId="35C244E0" w14:textId="77777777" w:rsidR="000631FA" w:rsidRDefault="000631FA" w:rsidP="000631FA">
      <w:pPr>
        <w:numPr>
          <w:ilvl w:val="1"/>
          <w:numId w:val="2"/>
        </w:numPr>
        <w:rPr>
          <w:rFonts w:eastAsia="Times New Roman"/>
        </w:rPr>
      </w:pPr>
      <w:r>
        <w:rPr>
          <w:rFonts w:eastAsia="Times New Roman"/>
          <w:sz w:val="22"/>
          <w:szCs w:val="22"/>
        </w:rPr>
        <w:t>The seller must retain the certificate for audit purposes.</w:t>
      </w:r>
    </w:p>
    <w:p w14:paraId="78D9208F" w14:textId="77777777" w:rsidR="000631FA" w:rsidRDefault="000631FA" w:rsidP="000631FA">
      <w:pPr>
        <w:numPr>
          <w:ilvl w:val="1"/>
          <w:numId w:val="2"/>
        </w:numPr>
        <w:rPr>
          <w:rFonts w:eastAsia="Times New Roman"/>
        </w:rPr>
      </w:pPr>
      <w:r>
        <w:rPr>
          <w:rFonts w:eastAsia="Times New Roman"/>
          <w:sz w:val="22"/>
          <w:szCs w:val="22"/>
        </w:rPr>
        <w:t xml:space="preserve">Common form: </w:t>
      </w:r>
      <w:r>
        <w:rPr>
          <w:rFonts w:eastAsia="Times New Roman"/>
          <w:b/>
          <w:bCs/>
          <w:sz w:val="22"/>
          <w:szCs w:val="22"/>
        </w:rPr>
        <w:t>Iowa Sales Tax Exemption Certificate</w:t>
      </w:r>
      <w:r>
        <w:rPr>
          <w:rFonts w:eastAsia="Times New Roman"/>
          <w:sz w:val="22"/>
          <w:szCs w:val="22"/>
        </w:rPr>
        <w:t xml:space="preserve"> (available on the Iowa Department of Revenue site)</w:t>
      </w:r>
      <w:hyperlink r:id="rId8" w:history="1">
        <w:r>
          <w:rPr>
            <w:rStyle w:val="Hyperlink"/>
            <w:rFonts w:eastAsia="Times New Roman"/>
            <w:sz w:val="22"/>
            <w:szCs w:val="22"/>
          </w:rPr>
          <w:t>[1]</w:t>
        </w:r>
      </w:hyperlink>
      <w:r>
        <w:rPr>
          <w:rFonts w:eastAsia="Times New Roman"/>
          <w:sz w:val="22"/>
          <w:szCs w:val="22"/>
        </w:rPr>
        <w:t>.</w:t>
      </w:r>
    </w:p>
    <w:p w14:paraId="3CC31053" w14:textId="77777777" w:rsidR="000631FA" w:rsidRDefault="000631FA" w:rsidP="000631FA">
      <w:pPr>
        <w:jc w:val="center"/>
        <w:rPr>
          <w:rFonts w:eastAsia="Times New Roman"/>
          <w:sz w:val="22"/>
          <w:szCs w:val="22"/>
        </w:rPr>
      </w:pPr>
      <w:r>
        <w:rPr>
          <w:rFonts w:eastAsia="Times New Roman"/>
          <w:sz w:val="22"/>
          <w:szCs w:val="22"/>
        </w:rPr>
        <w:pict w14:anchorId="5836B7BC">
          <v:rect id="_x0000_i1026" style="width:468pt;height:.5pt" o:hralign="center" o:hrstd="t" o:hr="t" fillcolor="#a0a0a0" stroked="f"/>
        </w:pict>
      </w:r>
    </w:p>
    <w:p w14:paraId="22561C17" w14:textId="77777777" w:rsidR="000631FA" w:rsidRDefault="000631FA" w:rsidP="000631FA">
      <w:r>
        <w:rPr>
          <w:b/>
          <w:bCs/>
          <w:sz w:val="22"/>
          <w:szCs w:val="22"/>
        </w:rPr>
        <w:t>2. New Jersey</w:t>
      </w:r>
    </w:p>
    <w:p w14:paraId="5C807353" w14:textId="77777777" w:rsidR="000631FA" w:rsidRDefault="000631FA" w:rsidP="000631FA">
      <w:pPr>
        <w:numPr>
          <w:ilvl w:val="0"/>
          <w:numId w:val="3"/>
        </w:numPr>
        <w:rPr>
          <w:rFonts w:eastAsia="Times New Roman"/>
        </w:rPr>
      </w:pPr>
      <w:r>
        <w:rPr>
          <w:rFonts w:eastAsia="Times New Roman"/>
          <w:b/>
          <w:bCs/>
          <w:sz w:val="22"/>
          <w:szCs w:val="22"/>
        </w:rPr>
        <w:t>Taxability</w:t>
      </w:r>
      <w:r>
        <w:rPr>
          <w:rFonts w:eastAsia="Times New Roman"/>
          <w:sz w:val="22"/>
          <w:szCs w:val="22"/>
        </w:rPr>
        <w:t>:</w:t>
      </w:r>
    </w:p>
    <w:p w14:paraId="46D5103E" w14:textId="77777777" w:rsidR="000631FA" w:rsidRDefault="000631FA" w:rsidP="000631FA">
      <w:pPr>
        <w:numPr>
          <w:ilvl w:val="1"/>
          <w:numId w:val="3"/>
        </w:numPr>
        <w:rPr>
          <w:rFonts w:eastAsia="Times New Roman"/>
        </w:rPr>
      </w:pPr>
      <w:r>
        <w:rPr>
          <w:rFonts w:eastAsia="Times New Roman"/>
          <w:b/>
          <w:bCs/>
          <w:sz w:val="22"/>
          <w:szCs w:val="22"/>
        </w:rPr>
        <w:t>SaaS is generally not taxable</w:t>
      </w:r>
      <w:r>
        <w:rPr>
          <w:rFonts w:eastAsia="Times New Roman"/>
          <w:sz w:val="22"/>
          <w:szCs w:val="22"/>
        </w:rPr>
        <w:t xml:space="preserve"> unless it qualifies as an "information service."</w:t>
      </w:r>
    </w:p>
    <w:p w14:paraId="76DCF33C" w14:textId="77777777" w:rsidR="000631FA" w:rsidRDefault="000631FA" w:rsidP="000631FA">
      <w:pPr>
        <w:numPr>
          <w:ilvl w:val="1"/>
          <w:numId w:val="3"/>
        </w:numPr>
        <w:rPr>
          <w:rFonts w:eastAsia="Times New Roman"/>
        </w:rPr>
      </w:pPr>
      <w:r>
        <w:rPr>
          <w:rFonts w:eastAsia="Times New Roman"/>
          <w:sz w:val="22"/>
          <w:szCs w:val="22"/>
        </w:rPr>
        <w:t xml:space="preserve">Some </w:t>
      </w:r>
      <w:r>
        <w:rPr>
          <w:rFonts w:eastAsia="Times New Roman"/>
          <w:b/>
          <w:bCs/>
          <w:sz w:val="22"/>
          <w:szCs w:val="22"/>
        </w:rPr>
        <w:t>digital goods</w:t>
      </w:r>
      <w:r>
        <w:rPr>
          <w:rFonts w:eastAsia="Times New Roman"/>
          <w:sz w:val="22"/>
          <w:szCs w:val="22"/>
        </w:rPr>
        <w:t xml:space="preserve"> (e.g., music, videos, e-books) are taxable.</w:t>
      </w:r>
    </w:p>
    <w:p w14:paraId="156C4766" w14:textId="77777777" w:rsidR="000631FA" w:rsidRDefault="000631FA" w:rsidP="000631FA">
      <w:pPr>
        <w:numPr>
          <w:ilvl w:val="0"/>
          <w:numId w:val="3"/>
        </w:numPr>
        <w:rPr>
          <w:rFonts w:eastAsia="Times New Roman"/>
        </w:rPr>
      </w:pPr>
      <w:r>
        <w:rPr>
          <w:rFonts w:eastAsia="Times New Roman"/>
          <w:b/>
          <w:bCs/>
          <w:sz w:val="22"/>
          <w:szCs w:val="22"/>
        </w:rPr>
        <w:t>B2B Exemption</w:t>
      </w:r>
      <w:r>
        <w:rPr>
          <w:rFonts w:eastAsia="Times New Roman"/>
          <w:sz w:val="22"/>
          <w:szCs w:val="22"/>
        </w:rPr>
        <w:t>:</w:t>
      </w:r>
    </w:p>
    <w:p w14:paraId="75FBDE9B" w14:textId="77777777" w:rsidR="000631FA" w:rsidRDefault="000631FA" w:rsidP="000631FA">
      <w:pPr>
        <w:numPr>
          <w:ilvl w:val="1"/>
          <w:numId w:val="3"/>
        </w:numPr>
        <w:rPr>
          <w:rFonts w:eastAsia="Times New Roman"/>
        </w:rPr>
      </w:pPr>
      <w:r>
        <w:rPr>
          <w:rFonts w:eastAsia="Times New Roman"/>
          <w:sz w:val="22"/>
          <w:szCs w:val="22"/>
        </w:rPr>
        <w:t xml:space="preserve">Prewritten software delivered electronically and used </w:t>
      </w:r>
      <w:r>
        <w:rPr>
          <w:rFonts w:eastAsia="Times New Roman"/>
          <w:b/>
          <w:bCs/>
          <w:sz w:val="22"/>
          <w:szCs w:val="22"/>
        </w:rPr>
        <w:t>exclusively for business purposes</w:t>
      </w:r>
      <w:r>
        <w:rPr>
          <w:rFonts w:eastAsia="Times New Roman"/>
          <w:sz w:val="22"/>
          <w:szCs w:val="22"/>
        </w:rPr>
        <w:t xml:space="preserve"> is exempt.</w:t>
      </w:r>
    </w:p>
    <w:p w14:paraId="5A97D63F" w14:textId="77777777" w:rsidR="000631FA" w:rsidRDefault="000631FA" w:rsidP="000631FA">
      <w:pPr>
        <w:numPr>
          <w:ilvl w:val="0"/>
          <w:numId w:val="3"/>
        </w:numPr>
        <w:rPr>
          <w:rFonts w:eastAsia="Times New Roman"/>
        </w:rPr>
      </w:pPr>
      <w:r>
        <w:rPr>
          <w:rFonts w:eastAsia="Times New Roman"/>
          <w:b/>
          <w:bCs/>
          <w:sz w:val="22"/>
          <w:szCs w:val="22"/>
        </w:rPr>
        <w:t>Process</w:t>
      </w:r>
      <w:r>
        <w:rPr>
          <w:rFonts w:eastAsia="Times New Roman"/>
          <w:sz w:val="22"/>
          <w:szCs w:val="22"/>
        </w:rPr>
        <w:t>:</w:t>
      </w:r>
    </w:p>
    <w:p w14:paraId="0E030522" w14:textId="77777777" w:rsidR="000631FA" w:rsidRDefault="000631FA" w:rsidP="000631FA">
      <w:pPr>
        <w:numPr>
          <w:ilvl w:val="1"/>
          <w:numId w:val="3"/>
        </w:numPr>
        <w:rPr>
          <w:rFonts w:eastAsia="Times New Roman"/>
        </w:rPr>
      </w:pPr>
      <w:r>
        <w:rPr>
          <w:rFonts w:eastAsia="Times New Roman"/>
          <w:sz w:val="22"/>
          <w:szCs w:val="22"/>
        </w:rPr>
        <w:t xml:space="preserve">Buyer must certify that the software is used </w:t>
      </w:r>
      <w:r>
        <w:rPr>
          <w:rFonts w:eastAsia="Times New Roman"/>
          <w:b/>
          <w:bCs/>
          <w:sz w:val="22"/>
          <w:szCs w:val="22"/>
        </w:rPr>
        <w:t>directly and exclusively</w:t>
      </w:r>
      <w:r>
        <w:rPr>
          <w:rFonts w:eastAsia="Times New Roman"/>
          <w:sz w:val="22"/>
          <w:szCs w:val="22"/>
        </w:rPr>
        <w:t xml:space="preserve"> in business.</w:t>
      </w:r>
    </w:p>
    <w:p w14:paraId="24E89F74" w14:textId="77777777" w:rsidR="000631FA" w:rsidRDefault="000631FA" w:rsidP="000631FA">
      <w:pPr>
        <w:numPr>
          <w:ilvl w:val="1"/>
          <w:numId w:val="3"/>
        </w:numPr>
        <w:rPr>
          <w:rFonts w:eastAsia="Times New Roman"/>
        </w:rPr>
      </w:pPr>
      <w:r>
        <w:rPr>
          <w:rFonts w:eastAsia="Times New Roman"/>
          <w:sz w:val="22"/>
          <w:szCs w:val="22"/>
        </w:rPr>
        <w:t xml:space="preserve">Use </w:t>
      </w:r>
      <w:r>
        <w:rPr>
          <w:rFonts w:eastAsia="Times New Roman"/>
          <w:b/>
          <w:bCs/>
          <w:sz w:val="22"/>
          <w:szCs w:val="22"/>
        </w:rPr>
        <w:t>Form ST-4</w:t>
      </w:r>
      <w:r>
        <w:rPr>
          <w:rFonts w:eastAsia="Times New Roman"/>
          <w:sz w:val="22"/>
          <w:szCs w:val="22"/>
        </w:rPr>
        <w:t xml:space="preserve"> (Exempt Use Certificate) or </w:t>
      </w:r>
      <w:r>
        <w:rPr>
          <w:rFonts w:eastAsia="Times New Roman"/>
          <w:b/>
          <w:bCs/>
          <w:sz w:val="22"/>
          <w:szCs w:val="22"/>
        </w:rPr>
        <w:t>ST-3</w:t>
      </w:r>
      <w:r>
        <w:rPr>
          <w:rFonts w:eastAsia="Times New Roman"/>
          <w:sz w:val="22"/>
          <w:szCs w:val="22"/>
        </w:rPr>
        <w:t xml:space="preserve"> (Resale Certificate) depending on the context </w:t>
      </w:r>
      <w:hyperlink r:id="rId9" w:history="1">
        <w:r>
          <w:rPr>
            <w:rStyle w:val="Hyperlink"/>
            <w:rFonts w:eastAsia="Times New Roman"/>
            <w:sz w:val="22"/>
            <w:szCs w:val="22"/>
          </w:rPr>
          <w:t>[2]</w:t>
        </w:r>
      </w:hyperlink>
      <w:r>
        <w:rPr>
          <w:rFonts w:eastAsia="Times New Roman"/>
          <w:sz w:val="22"/>
          <w:szCs w:val="22"/>
        </w:rPr>
        <w:t xml:space="preserve"> </w:t>
      </w:r>
      <w:hyperlink r:id="rId10" w:history="1">
        <w:r>
          <w:rPr>
            <w:rStyle w:val="Hyperlink"/>
            <w:rFonts w:eastAsia="Times New Roman"/>
            <w:sz w:val="22"/>
            <w:szCs w:val="22"/>
          </w:rPr>
          <w:t>[3]</w:t>
        </w:r>
      </w:hyperlink>
      <w:r>
        <w:rPr>
          <w:rFonts w:eastAsia="Times New Roman"/>
          <w:sz w:val="22"/>
          <w:szCs w:val="22"/>
        </w:rPr>
        <w:t>.</w:t>
      </w:r>
    </w:p>
    <w:p w14:paraId="0B39DE2A" w14:textId="77777777" w:rsidR="000631FA" w:rsidRDefault="000631FA" w:rsidP="000631FA">
      <w:pPr>
        <w:jc w:val="center"/>
        <w:rPr>
          <w:rFonts w:eastAsia="Times New Roman"/>
          <w:sz w:val="22"/>
          <w:szCs w:val="22"/>
        </w:rPr>
      </w:pPr>
      <w:r>
        <w:rPr>
          <w:rFonts w:eastAsia="Times New Roman"/>
          <w:sz w:val="22"/>
          <w:szCs w:val="22"/>
        </w:rPr>
        <w:pict w14:anchorId="46337F56">
          <v:rect id="_x0000_i1027" style="width:468pt;height:.5pt" o:hralign="center" o:hrstd="t" o:hr="t" fillcolor="#a0a0a0" stroked="f"/>
        </w:pict>
      </w:r>
    </w:p>
    <w:p w14:paraId="460CAD80" w14:textId="77777777" w:rsidR="000631FA" w:rsidRDefault="000631FA" w:rsidP="000631FA">
      <w:r>
        <w:rPr>
          <w:b/>
          <w:bCs/>
          <w:sz w:val="22"/>
          <w:szCs w:val="22"/>
        </w:rPr>
        <w:t>3. Maryland</w:t>
      </w:r>
    </w:p>
    <w:p w14:paraId="6F68E2D6" w14:textId="77777777" w:rsidR="000631FA" w:rsidRDefault="000631FA" w:rsidP="000631FA">
      <w:pPr>
        <w:numPr>
          <w:ilvl w:val="0"/>
          <w:numId w:val="4"/>
        </w:numPr>
        <w:rPr>
          <w:rFonts w:eastAsia="Times New Roman"/>
        </w:rPr>
      </w:pPr>
      <w:r>
        <w:rPr>
          <w:rFonts w:eastAsia="Times New Roman"/>
          <w:b/>
          <w:bCs/>
          <w:sz w:val="22"/>
          <w:szCs w:val="22"/>
        </w:rPr>
        <w:t>Taxability</w:t>
      </w:r>
      <w:r>
        <w:rPr>
          <w:rFonts w:eastAsia="Times New Roman"/>
          <w:sz w:val="22"/>
          <w:szCs w:val="22"/>
        </w:rPr>
        <w:t>:</w:t>
      </w:r>
    </w:p>
    <w:p w14:paraId="25D315B1" w14:textId="77777777" w:rsidR="000631FA" w:rsidRDefault="000631FA" w:rsidP="000631FA">
      <w:pPr>
        <w:numPr>
          <w:ilvl w:val="1"/>
          <w:numId w:val="4"/>
        </w:numPr>
        <w:rPr>
          <w:rFonts w:eastAsia="Times New Roman"/>
        </w:rPr>
      </w:pPr>
      <w:r>
        <w:rPr>
          <w:rFonts w:eastAsia="Times New Roman"/>
          <w:sz w:val="22"/>
          <w:szCs w:val="22"/>
        </w:rPr>
        <w:t>SaaS and digital products are generally taxable.</w:t>
      </w:r>
    </w:p>
    <w:p w14:paraId="2DF3FB26" w14:textId="77777777" w:rsidR="000631FA" w:rsidRDefault="000631FA" w:rsidP="000631FA">
      <w:pPr>
        <w:numPr>
          <w:ilvl w:val="1"/>
          <w:numId w:val="4"/>
        </w:numPr>
        <w:rPr>
          <w:rFonts w:eastAsia="Times New Roman"/>
        </w:rPr>
      </w:pPr>
      <w:r>
        <w:rPr>
          <w:rFonts w:eastAsia="Times New Roman"/>
          <w:sz w:val="22"/>
          <w:szCs w:val="22"/>
        </w:rPr>
        <w:t xml:space="preserve">However, </w:t>
      </w:r>
      <w:r>
        <w:rPr>
          <w:rFonts w:eastAsia="Times New Roman"/>
          <w:b/>
          <w:bCs/>
          <w:sz w:val="22"/>
          <w:szCs w:val="22"/>
        </w:rPr>
        <w:t>enterprise software</w:t>
      </w:r>
      <w:r>
        <w:rPr>
          <w:rFonts w:eastAsia="Times New Roman"/>
          <w:sz w:val="22"/>
          <w:szCs w:val="22"/>
        </w:rPr>
        <w:t xml:space="preserve"> or SaaS used </w:t>
      </w:r>
      <w:r>
        <w:rPr>
          <w:rFonts w:eastAsia="Times New Roman"/>
          <w:b/>
          <w:bCs/>
          <w:sz w:val="22"/>
          <w:szCs w:val="22"/>
        </w:rPr>
        <w:t>solely for commercial purposes</w:t>
      </w:r>
      <w:r>
        <w:rPr>
          <w:rFonts w:eastAsia="Times New Roman"/>
          <w:sz w:val="22"/>
          <w:szCs w:val="22"/>
        </w:rPr>
        <w:t xml:space="preserve"> in an enterprise system is </w:t>
      </w:r>
      <w:r>
        <w:rPr>
          <w:rFonts w:eastAsia="Times New Roman"/>
          <w:b/>
          <w:bCs/>
          <w:sz w:val="22"/>
          <w:szCs w:val="22"/>
        </w:rPr>
        <w:t>exempt</w:t>
      </w:r>
      <w:r>
        <w:rPr>
          <w:rFonts w:eastAsia="Times New Roman"/>
          <w:sz w:val="22"/>
          <w:szCs w:val="22"/>
        </w:rPr>
        <w:t xml:space="preserve"> </w:t>
      </w:r>
      <w:hyperlink r:id="rId11" w:history="1">
        <w:r>
          <w:rPr>
            <w:rStyle w:val="Hyperlink"/>
            <w:rFonts w:eastAsia="Times New Roman"/>
            <w:sz w:val="22"/>
            <w:szCs w:val="22"/>
          </w:rPr>
          <w:t>[4]</w:t>
        </w:r>
      </w:hyperlink>
      <w:r>
        <w:rPr>
          <w:rFonts w:eastAsia="Times New Roman"/>
          <w:sz w:val="22"/>
          <w:szCs w:val="22"/>
        </w:rPr>
        <w:t>.</w:t>
      </w:r>
    </w:p>
    <w:p w14:paraId="03F69E1A" w14:textId="77777777" w:rsidR="000631FA" w:rsidRDefault="000631FA" w:rsidP="000631FA">
      <w:pPr>
        <w:numPr>
          <w:ilvl w:val="0"/>
          <w:numId w:val="4"/>
        </w:numPr>
        <w:rPr>
          <w:rFonts w:eastAsia="Times New Roman"/>
        </w:rPr>
      </w:pPr>
      <w:r>
        <w:rPr>
          <w:rFonts w:eastAsia="Times New Roman"/>
          <w:b/>
          <w:bCs/>
          <w:sz w:val="22"/>
          <w:szCs w:val="22"/>
        </w:rPr>
        <w:t>Process</w:t>
      </w:r>
      <w:r>
        <w:rPr>
          <w:rFonts w:eastAsia="Times New Roman"/>
          <w:sz w:val="22"/>
          <w:szCs w:val="22"/>
        </w:rPr>
        <w:t>:</w:t>
      </w:r>
    </w:p>
    <w:p w14:paraId="271BEEE3" w14:textId="77777777" w:rsidR="000631FA" w:rsidRDefault="000631FA" w:rsidP="000631FA">
      <w:pPr>
        <w:numPr>
          <w:ilvl w:val="1"/>
          <w:numId w:val="4"/>
        </w:numPr>
        <w:rPr>
          <w:rFonts w:eastAsia="Times New Roman"/>
        </w:rPr>
      </w:pPr>
      <w:r>
        <w:rPr>
          <w:rFonts w:eastAsia="Times New Roman"/>
          <w:sz w:val="22"/>
          <w:szCs w:val="22"/>
        </w:rPr>
        <w:t>Buyer must document that the software is used in an enterprise system for commercial purposes.</w:t>
      </w:r>
    </w:p>
    <w:p w14:paraId="75A85114" w14:textId="77777777" w:rsidR="000631FA" w:rsidRDefault="000631FA" w:rsidP="000631FA">
      <w:pPr>
        <w:numPr>
          <w:ilvl w:val="1"/>
          <w:numId w:val="4"/>
        </w:numPr>
        <w:rPr>
          <w:rFonts w:eastAsia="Times New Roman"/>
        </w:rPr>
      </w:pPr>
      <w:r>
        <w:rPr>
          <w:rFonts w:eastAsia="Times New Roman"/>
          <w:sz w:val="22"/>
          <w:szCs w:val="22"/>
        </w:rPr>
        <w:t xml:space="preserve">Provide a </w:t>
      </w:r>
      <w:r>
        <w:rPr>
          <w:rFonts w:eastAsia="Times New Roman"/>
          <w:b/>
          <w:bCs/>
          <w:sz w:val="22"/>
          <w:szCs w:val="22"/>
        </w:rPr>
        <w:t>Maryland Sales and Use Tax Exemption Certificate</w:t>
      </w:r>
      <w:r>
        <w:rPr>
          <w:rFonts w:eastAsia="Times New Roman"/>
          <w:sz w:val="22"/>
          <w:szCs w:val="22"/>
        </w:rPr>
        <w:t xml:space="preserve"> or equivalent documentation.</w:t>
      </w:r>
    </w:p>
    <w:p w14:paraId="553B6B91" w14:textId="77777777" w:rsidR="000631FA" w:rsidRDefault="000631FA" w:rsidP="000631FA">
      <w:pPr>
        <w:numPr>
          <w:ilvl w:val="1"/>
          <w:numId w:val="4"/>
        </w:numPr>
        <w:rPr>
          <w:rFonts w:eastAsia="Times New Roman"/>
        </w:rPr>
      </w:pPr>
      <w:r>
        <w:rPr>
          <w:rFonts w:eastAsia="Times New Roman"/>
          <w:sz w:val="22"/>
          <w:szCs w:val="22"/>
        </w:rPr>
        <w:t>Sellers should retain documentation showing the software qualifies under the enterprise exemption</w:t>
      </w:r>
      <w:hyperlink r:id="rId12" w:history="1">
        <w:r>
          <w:rPr>
            <w:rStyle w:val="Hyperlink"/>
            <w:rFonts w:eastAsia="Times New Roman"/>
            <w:sz w:val="22"/>
            <w:szCs w:val="22"/>
          </w:rPr>
          <w:t>[5]</w:t>
        </w:r>
      </w:hyperlink>
      <w:r>
        <w:rPr>
          <w:rFonts w:eastAsia="Times New Roman"/>
          <w:sz w:val="22"/>
          <w:szCs w:val="22"/>
        </w:rPr>
        <w:t>.</w:t>
      </w:r>
    </w:p>
    <w:p w14:paraId="639A8AE4" w14:textId="77777777" w:rsidR="000631FA" w:rsidRDefault="000631FA" w:rsidP="000631FA">
      <w:pPr>
        <w:jc w:val="center"/>
        <w:rPr>
          <w:rFonts w:eastAsia="Times New Roman"/>
          <w:sz w:val="22"/>
          <w:szCs w:val="22"/>
        </w:rPr>
      </w:pPr>
      <w:r>
        <w:rPr>
          <w:rFonts w:eastAsia="Times New Roman"/>
          <w:sz w:val="22"/>
          <w:szCs w:val="22"/>
        </w:rPr>
        <w:pict w14:anchorId="40A8F07E">
          <v:rect id="_x0000_i1028" style="width:468pt;height:.5pt" o:hralign="center" o:hrstd="t" o:hr="t" fillcolor="#a0a0a0" stroked="f"/>
        </w:pict>
      </w:r>
    </w:p>
    <w:p w14:paraId="3ACF3847" w14:textId="77777777" w:rsidR="000631FA" w:rsidRDefault="000631FA" w:rsidP="000631FA">
      <w:r>
        <w:rPr>
          <w:b/>
          <w:bCs/>
          <w:sz w:val="22"/>
          <w:szCs w:val="22"/>
        </w:rPr>
        <w:t>4. Washington</w:t>
      </w:r>
    </w:p>
    <w:p w14:paraId="3AAEC167" w14:textId="77777777" w:rsidR="000631FA" w:rsidRDefault="000631FA" w:rsidP="000631FA">
      <w:pPr>
        <w:numPr>
          <w:ilvl w:val="0"/>
          <w:numId w:val="5"/>
        </w:numPr>
        <w:rPr>
          <w:rFonts w:eastAsia="Times New Roman"/>
        </w:rPr>
      </w:pPr>
      <w:r>
        <w:rPr>
          <w:rFonts w:eastAsia="Times New Roman"/>
          <w:b/>
          <w:bCs/>
          <w:sz w:val="22"/>
          <w:szCs w:val="22"/>
        </w:rPr>
        <w:t>Taxability</w:t>
      </w:r>
      <w:r>
        <w:rPr>
          <w:rFonts w:eastAsia="Times New Roman"/>
          <w:sz w:val="22"/>
          <w:szCs w:val="22"/>
        </w:rPr>
        <w:t>:</w:t>
      </w:r>
    </w:p>
    <w:p w14:paraId="5D3E5C71" w14:textId="77777777" w:rsidR="000631FA" w:rsidRDefault="000631FA" w:rsidP="000631FA">
      <w:pPr>
        <w:numPr>
          <w:ilvl w:val="1"/>
          <w:numId w:val="5"/>
        </w:numPr>
        <w:rPr>
          <w:rFonts w:eastAsia="Times New Roman"/>
        </w:rPr>
      </w:pPr>
      <w:r>
        <w:rPr>
          <w:rFonts w:eastAsia="Times New Roman"/>
          <w:sz w:val="22"/>
          <w:szCs w:val="22"/>
        </w:rPr>
        <w:t xml:space="preserve">Washington taxes </w:t>
      </w:r>
      <w:r>
        <w:rPr>
          <w:rFonts w:eastAsia="Times New Roman"/>
          <w:b/>
          <w:bCs/>
          <w:sz w:val="22"/>
          <w:szCs w:val="22"/>
        </w:rPr>
        <w:t>digital goods</w:t>
      </w:r>
      <w:r>
        <w:rPr>
          <w:rFonts w:eastAsia="Times New Roman"/>
          <w:sz w:val="22"/>
          <w:szCs w:val="22"/>
        </w:rPr>
        <w:t xml:space="preserve">, </w:t>
      </w:r>
      <w:r>
        <w:rPr>
          <w:rFonts w:eastAsia="Times New Roman"/>
          <w:b/>
          <w:bCs/>
          <w:sz w:val="22"/>
          <w:szCs w:val="22"/>
        </w:rPr>
        <w:t>digital automated services (DAS)</w:t>
      </w:r>
      <w:r>
        <w:rPr>
          <w:rFonts w:eastAsia="Times New Roman"/>
          <w:sz w:val="22"/>
          <w:szCs w:val="22"/>
        </w:rPr>
        <w:t xml:space="preserve">, and </w:t>
      </w:r>
      <w:r>
        <w:rPr>
          <w:rFonts w:eastAsia="Times New Roman"/>
          <w:b/>
          <w:bCs/>
          <w:sz w:val="22"/>
          <w:szCs w:val="22"/>
        </w:rPr>
        <w:t>remote access software (RAS)</w:t>
      </w:r>
      <w:r>
        <w:rPr>
          <w:rFonts w:eastAsia="Times New Roman"/>
          <w:sz w:val="22"/>
          <w:szCs w:val="22"/>
        </w:rPr>
        <w:t>.</w:t>
      </w:r>
    </w:p>
    <w:p w14:paraId="3C6D3497" w14:textId="77777777" w:rsidR="000631FA" w:rsidRDefault="000631FA" w:rsidP="000631FA">
      <w:pPr>
        <w:numPr>
          <w:ilvl w:val="0"/>
          <w:numId w:val="5"/>
        </w:numPr>
        <w:rPr>
          <w:rFonts w:eastAsia="Times New Roman"/>
        </w:rPr>
      </w:pPr>
      <w:r>
        <w:rPr>
          <w:rFonts w:eastAsia="Times New Roman"/>
          <w:b/>
          <w:bCs/>
          <w:sz w:val="22"/>
          <w:szCs w:val="22"/>
        </w:rPr>
        <w:t>B2B Exemption</w:t>
      </w:r>
      <w:r>
        <w:rPr>
          <w:rFonts w:eastAsia="Times New Roman"/>
          <w:sz w:val="22"/>
          <w:szCs w:val="22"/>
        </w:rPr>
        <w:t>:</w:t>
      </w:r>
    </w:p>
    <w:p w14:paraId="44876104" w14:textId="77777777" w:rsidR="000631FA" w:rsidRDefault="000631FA" w:rsidP="000631FA">
      <w:pPr>
        <w:numPr>
          <w:ilvl w:val="1"/>
          <w:numId w:val="5"/>
        </w:numPr>
        <w:rPr>
          <w:rFonts w:eastAsia="Times New Roman"/>
        </w:rPr>
      </w:pPr>
      <w:r>
        <w:rPr>
          <w:rFonts w:eastAsia="Times New Roman"/>
          <w:sz w:val="22"/>
          <w:szCs w:val="22"/>
        </w:rPr>
        <w:lastRenderedPageBreak/>
        <w:t xml:space="preserve">Buyers can claim a </w:t>
      </w:r>
      <w:r>
        <w:rPr>
          <w:rFonts w:eastAsia="Times New Roman"/>
          <w:b/>
          <w:bCs/>
          <w:sz w:val="22"/>
          <w:szCs w:val="22"/>
        </w:rPr>
        <w:t>Multiple Points of Use (MPU)</w:t>
      </w:r>
      <w:r>
        <w:rPr>
          <w:rFonts w:eastAsia="Times New Roman"/>
          <w:sz w:val="22"/>
          <w:szCs w:val="22"/>
        </w:rPr>
        <w:t xml:space="preserve"> exemption if the digital product is used in multiple states.</w:t>
      </w:r>
    </w:p>
    <w:p w14:paraId="18A1C054" w14:textId="77777777" w:rsidR="000631FA" w:rsidRDefault="000631FA" w:rsidP="000631FA">
      <w:pPr>
        <w:numPr>
          <w:ilvl w:val="1"/>
          <w:numId w:val="5"/>
        </w:numPr>
        <w:rPr>
          <w:rFonts w:eastAsia="Times New Roman"/>
        </w:rPr>
      </w:pPr>
      <w:r>
        <w:rPr>
          <w:rFonts w:eastAsia="Times New Roman"/>
          <w:b/>
          <w:bCs/>
          <w:sz w:val="22"/>
          <w:szCs w:val="22"/>
        </w:rPr>
        <w:t>Resale exemptions</w:t>
      </w:r>
      <w:r>
        <w:rPr>
          <w:rFonts w:eastAsia="Times New Roman"/>
          <w:sz w:val="22"/>
          <w:szCs w:val="22"/>
        </w:rPr>
        <w:t xml:space="preserve"> also apply if the product is resold.</w:t>
      </w:r>
    </w:p>
    <w:p w14:paraId="105C233F" w14:textId="77777777" w:rsidR="000631FA" w:rsidRDefault="000631FA" w:rsidP="000631FA">
      <w:pPr>
        <w:numPr>
          <w:ilvl w:val="0"/>
          <w:numId w:val="5"/>
        </w:numPr>
        <w:rPr>
          <w:rFonts w:eastAsia="Times New Roman"/>
        </w:rPr>
      </w:pPr>
      <w:r>
        <w:rPr>
          <w:rFonts w:eastAsia="Times New Roman"/>
          <w:b/>
          <w:bCs/>
          <w:sz w:val="22"/>
          <w:szCs w:val="22"/>
        </w:rPr>
        <w:t>Process</w:t>
      </w:r>
      <w:r>
        <w:rPr>
          <w:rFonts w:eastAsia="Times New Roman"/>
          <w:sz w:val="22"/>
          <w:szCs w:val="22"/>
        </w:rPr>
        <w:t>:</w:t>
      </w:r>
    </w:p>
    <w:p w14:paraId="39C0DB5D" w14:textId="77777777" w:rsidR="000631FA" w:rsidRDefault="000631FA" w:rsidP="000631FA">
      <w:pPr>
        <w:numPr>
          <w:ilvl w:val="1"/>
          <w:numId w:val="5"/>
        </w:numPr>
        <w:rPr>
          <w:rFonts w:eastAsia="Times New Roman"/>
        </w:rPr>
      </w:pPr>
      <w:r>
        <w:rPr>
          <w:rFonts w:eastAsia="Times New Roman"/>
          <w:sz w:val="22"/>
          <w:szCs w:val="22"/>
        </w:rPr>
        <w:t xml:space="preserve">Buyer must provide a </w:t>
      </w:r>
      <w:r>
        <w:rPr>
          <w:rFonts w:eastAsia="Times New Roman"/>
          <w:b/>
          <w:bCs/>
          <w:sz w:val="22"/>
          <w:szCs w:val="22"/>
        </w:rPr>
        <w:t>Streamlined Sales and Use Tax Agreement (SSUTA) exemption certificate</w:t>
      </w:r>
      <w:r>
        <w:rPr>
          <w:rFonts w:eastAsia="Times New Roman"/>
          <w:sz w:val="22"/>
          <w:szCs w:val="22"/>
        </w:rPr>
        <w:t xml:space="preserve"> or </w:t>
      </w:r>
      <w:r>
        <w:rPr>
          <w:rFonts w:eastAsia="Times New Roman"/>
          <w:b/>
          <w:bCs/>
          <w:sz w:val="22"/>
          <w:szCs w:val="22"/>
        </w:rPr>
        <w:t>Washington Reseller Permit</w:t>
      </w:r>
      <w:r>
        <w:rPr>
          <w:rFonts w:eastAsia="Times New Roman"/>
          <w:sz w:val="22"/>
          <w:szCs w:val="22"/>
        </w:rPr>
        <w:t>.</w:t>
      </w:r>
    </w:p>
    <w:p w14:paraId="36AC5075" w14:textId="77777777" w:rsidR="000631FA" w:rsidRDefault="000631FA" w:rsidP="000631FA">
      <w:pPr>
        <w:numPr>
          <w:ilvl w:val="1"/>
          <w:numId w:val="5"/>
        </w:numPr>
        <w:rPr>
          <w:rFonts w:eastAsia="Times New Roman"/>
        </w:rPr>
      </w:pPr>
      <w:r>
        <w:rPr>
          <w:rFonts w:eastAsia="Times New Roman"/>
          <w:sz w:val="22"/>
          <w:szCs w:val="22"/>
        </w:rPr>
        <w:t xml:space="preserve">For MPU, the buyer must file a declaration and pay use tax proportionally </w:t>
      </w:r>
      <w:hyperlink r:id="rId13" w:history="1">
        <w:r>
          <w:rPr>
            <w:rStyle w:val="Hyperlink"/>
            <w:rFonts w:eastAsia="Times New Roman"/>
            <w:sz w:val="22"/>
            <w:szCs w:val="22"/>
          </w:rPr>
          <w:t>[6]</w:t>
        </w:r>
      </w:hyperlink>
      <w:r>
        <w:rPr>
          <w:rFonts w:eastAsia="Times New Roman"/>
          <w:sz w:val="22"/>
          <w:szCs w:val="22"/>
        </w:rPr>
        <w:t xml:space="preserve"> </w:t>
      </w:r>
      <w:hyperlink r:id="rId14" w:history="1">
        <w:r>
          <w:rPr>
            <w:rStyle w:val="Hyperlink"/>
            <w:rFonts w:eastAsia="Times New Roman"/>
            <w:sz w:val="22"/>
            <w:szCs w:val="22"/>
          </w:rPr>
          <w:t>[7]</w:t>
        </w:r>
      </w:hyperlink>
      <w:r>
        <w:rPr>
          <w:rFonts w:eastAsia="Times New Roman"/>
          <w:sz w:val="22"/>
          <w:szCs w:val="22"/>
        </w:rPr>
        <w:t>.</w:t>
      </w:r>
    </w:p>
    <w:p w14:paraId="0B9771E6" w14:textId="77777777" w:rsidR="000631FA" w:rsidRDefault="000631FA" w:rsidP="000631FA">
      <w:pPr>
        <w:jc w:val="center"/>
        <w:rPr>
          <w:rFonts w:eastAsia="Times New Roman"/>
          <w:sz w:val="22"/>
          <w:szCs w:val="22"/>
        </w:rPr>
      </w:pPr>
      <w:r>
        <w:rPr>
          <w:rFonts w:eastAsia="Times New Roman"/>
          <w:sz w:val="22"/>
          <w:szCs w:val="22"/>
        </w:rPr>
        <w:pict w14:anchorId="2C1EDAFB">
          <v:rect id="_x0000_i1029" style="width:468pt;height:.5pt" o:hralign="center" o:hrstd="t" o:hr="t" fillcolor="#a0a0a0" stroked="f"/>
        </w:pict>
      </w:r>
    </w:p>
    <w:p w14:paraId="4BF92C6B" w14:textId="77777777" w:rsidR="000631FA" w:rsidRDefault="000631FA" w:rsidP="000631FA">
      <w:r>
        <w:rPr>
          <w:b/>
          <w:bCs/>
          <w:sz w:val="22"/>
          <w:szCs w:val="22"/>
        </w:rPr>
        <w:br/>
        <w:t>References</w:t>
      </w:r>
    </w:p>
    <w:p w14:paraId="3129D0A0" w14:textId="77777777" w:rsidR="000631FA" w:rsidRDefault="000631FA" w:rsidP="000631FA">
      <w:r>
        <w:rPr>
          <w:sz w:val="22"/>
          <w:szCs w:val="22"/>
        </w:rPr>
        <w:t xml:space="preserve">[1] </w:t>
      </w:r>
      <w:hyperlink r:id="rId15" w:history="1">
        <w:r>
          <w:rPr>
            <w:rStyle w:val="Hyperlink"/>
            <w:sz w:val="22"/>
            <w:szCs w:val="22"/>
          </w:rPr>
          <w:t>Iowa - Multi State Tax Solutions | Miles Consulting Group</w:t>
        </w:r>
      </w:hyperlink>
    </w:p>
    <w:p w14:paraId="2C35561B" w14:textId="77777777" w:rsidR="000631FA" w:rsidRDefault="000631FA" w:rsidP="000631FA">
      <w:r>
        <w:rPr>
          <w:sz w:val="22"/>
          <w:szCs w:val="22"/>
        </w:rPr>
        <w:t xml:space="preserve">[2] </w:t>
      </w:r>
      <w:hyperlink r:id="rId16" w:history="1">
        <w:r>
          <w:rPr>
            <w:rStyle w:val="Hyperlink"/>
            <w:sz w:val="22"/>
            <w:szCs w:val="22"/>
          </w:rPr>
          <w:t xml:space="preserve">Cloud Computing (SaaS, PaaS, IaaS) - The Official Web Site for </w:t>
        </w:r>
        <w:proofErr w:type="gramStart"/>
        <w:r>
          <w:rPr>
            <w:rStyle w:val="Hyperlink"/>
            <w:sz w:val="22"/>
            <w:szCs w:val="22"/>
          </w:rPr>
          <w:t>The</w:t>
        </w:r>
        <w:proofErr w:type="gramEnd"/>
        <w:r>
          <w:rPr>
            <w:rStyle w:val="Hyperlink"/>
            <w:sz w:val="22"/>
            <w:szCs w:val="22"/>
          </w:rPr>
          <w:t xml:space="preserve"> ...</w:t>
        </w:r>
      </w:hyperlink>
    </w:p>
    <w:p w14:paraId="15350455" w14:textId="77777777" w:rsidR="000631FA" w:rsidRDefault="000631FA" w:rsidP="000631FA">
      <w:r>
        <w:rPr>
          <w:sz w:val="22"/>
          <w:szCs w:val="22"/>
        </w:rPr>
        <w:t xml:space="preserve">[3] </w:t>
      </w:r>
      <w:hyperlink r:id="rId17" w:history="1">
        <w:r>
          <w:rPr>
            <w:rStyle w:val="Hyperlink"/>
            <w:sz w:val="22"/>
            <w:szCs w:val="22"/>
          </w:rPr>
          <w:t>Is SaaS Taxable in New Jersey in 2025? - numeralhq.com</w:t>
        </w:r>
      </w:hyperlink>
    </w:p>
    <w:p w14:paraId="2DF3DF09" w14:textId="77777777" w:rsidR="000631FA" w:rsidRDefault="000631FA" w:rsidP="000631FA">
      <w:r>
        <w:rPr>
          <w:sz w:val="22"/>
          <w:szCs w:val="22"/>
        </w:rPr>
        <w:t xml:space="preserve">[4] </w:t>
      </w:r>
      <w:hyperlink r:id="rId18" w:history="1">
        <w:r>
          <w:rPr>
            <w:rStyle w:val="Hyperlink"/>
            <w:sz w:val="22"/>
            <w:szCs w:val="22"/>
          </w:rPr>
          <w:t>Maryland enacts digital products sales tax exclusions - PwC</w:t>
        </w:r>
      </w:hyperlink>
    </w:p>
    <w:p w14:paraId="7FC031E9" w14:textId="77777777" w:rsidR="000631FA" w:rsidRDefault="000631FA" w:rsidP="000631FA">
      <w:r>
        <w:rPr>
          <w:sz w:val="22"/>
          <w:szCs w:val="22"/>
        </w:rPr>
        <w:t xml:space="preserve">[5] </w:t>
      </w:r>
      <w:hyperlink r:id="rId19" w:history="1">
        <w:r>
          <w:rPr>
            <w:rStyle w:val="Hyperlink"/>
            <w:sz w:val="22"/>
            <w:szCs w:val="22"/>
          </w:rPr>
          <w:t>Sales and Use Tax on Data or Information Technology Services and ...</w:t>
        </w:r>
      </w:hyperlink>
    </w:p>
    <w:p w14:paraId="0B47A917" w14:textId="77777777" w:rsidR="000631FA" w:rsidRDefault="000631FA" w:rsidP="000631FA">
      <w:r>
        <w:rPr>
          <w:sz w:val="22"/>
          <w:szCs w:val="22"/>
        </w:rPr>
        <w:t xml:space="preserve">[6] </w:t>
      </w:r>
      <w:hyperlink r:id="rId20" w:history="1">
        <w:r>
          <w:rPr>
            <w:rStyle w:val="Hyperlink"/>
            <w:sz w:val="22"/>
            <w:szCs w:val="22"/>
          </w:rPr>
          <w:t>Digital products including digital goods - Washington Department of Revenue</w:t>
        </w:r>
      </w:hyperlink>
    </w:p>
    <w:p w14:paraId="572E8B21" w14:textId="77777777" w:rsidR="000631FA" w:rsidRDefault="000631FA" w:rsidP="000631FA">
      <w:r>
        <w:rPr>
          <w:sz w:val="22"/>
          <w:szCs w:val="22"/>
        </w:rPr>
        <w:t xml:space="preserve">[7] </w:t>
      </w:r>
      <w:hyperlink r:id="rId21" w:history="1">
        <w:r>
          <w:rPr>
            <w:rStyle w:val="Hyperlink"/>
            <w:sz w:val="22"/>
            <w:szCs w:val="22"/>
          </w:rPr>
          <w:t>PDF WAC 458-20-15503 - Washington</w:t>
        </w:r>
      </w:hyperlink>
    </w:p>
    <w:p w14:paraId="2F9C5E89" w14:textId="77777777" w:rsidR="000631FA" w:rsidRDefault="000631FA" w:rsidP="000631FA">
      <w:r>
        <w:rPr>
          <w:sz w:val="22"/>
          <w:szCs w:val="22"/>
        </w:rPr>
        <w:t> </w:t>
      </w:r>
    </w:p>
    <w:p w14:paraId="1CE376AD" w14:textId="77777777" w:rsidR="000631FA" w:rsidRDefault="000631FA" w:rsidP="000631FA">
      <w:r>
        <w:rPr>
          <w:sz w:val="22"/>
          <w:szCs w:val="22"/>
        </w:rPr>
        <w:t> </w:t>
      </w:r>
    </w:p>
    <w:p w14:paraId="5D4C9A92" w14:textId="77777777" w:rsidR="000631FA" w:rsidRDefault="000631FA" w:rsidP="000631FA">
      <w:r>
        <w:rPr>
          <w:sz w:val="22"/>
          <w:szCs w:val="22"/>
        </w:rPr>
        <w:t>Hope this is helpful.</w:t>
      </w:r>
    </w:p>
    <w:p w14:paraId="5ED2B711" w14:textId="77777777" w:rsidR="000631FA" w:rsidRDefault="000631FA" w:rsidP="000631FA">
      <w:r>
        <w:rPr>
          <w:sz w:val="22"/>
          <w:szCs w:val="22"/>
        </w:rPr>
        <w:t> </w:t>
      </w:r>
    </w:p>
    <w:p w14:paraId="54C5F3D2" w14:textId="77777777" w:rsidR="000631FA" w:rsidRDefault="000631FA" w:rsidP="000631FA">
      <w:proofErr w:type="spellStart"/>
      <w:r>
        <w:rPr>
          <w:sz w:val="22"/>
          <w:szCs w:val="22"/>
        </w:rPr>
        <w:t>diane</w:t>
      </w:r>
      <w:proofErr w:type="spellEnd"/>
    </w:p>
    <w:p w14:paraId="4927A7AA" w14:textId="77777777" w:rsidR="000631FA" w:rsidRDefault="000631FA" w:rsidP="000631FA">
      <w:r>
        <w:rPr>
          <w:sz w:val="22"/>
          <w:szCs w:val="22"/>
        </w:rPr>
        <w:t> </w:t>
      </w:r>
    </w:p>
    <w:p w14:paraId="1157FF93" w14:textId="77777777" w:rsidR="000631FA" w:rsidRDefault="000631FA" w:rsidP="000631FA">
      <w:r>
        <w:rPr>
          <w:rFonts w:ascii="Century Gothic" w:hAnsi="Century Gothic"/>
          <w:b/>
          <w:bCs/>
          <w:color w:val="532D6D"/>
          <w:sz w:val="20"/>
          <w:szCs w:val="20"/>
          <w14:ligatures w14:val="none"/>
        </w:rPr>
        <w:t>Diane Yetter</w:t>
      </w:r>
    </w:p>
    <w:p w14:paraId="77F46392" w14:textId="77777777" w:rsidR="000631FA" w:rsidRDefault="000631FA" w:rsidP="000631FA">
      <w:r>
        <w:rPr>
          <w:rFonts w:ascii="Century Gothic" w:hAnsi="Century Gothic"/>
          <w:color w:val="532D6D"/>
          <w:sz w:val="20"/>
          <w:szCs w:val="20"/>
          <w14:ligatures w14:val="none"/>
        </w:rPr>
        <w:t>President</w:t>
      </w:r>
    </w:p>
    <w:p w14:paraId="759CC894" w14:textId="77777777" w:rsidR="000631FA" w:rsidRDefault="000631FA" w:rsidP="000631FA">
      <w:r>
        <w:rPr>
          <w:rFonts w:ascii="Century Gothic" w:hAnsi="Century Gothic"/>
          <w:color w:val="532D6D"/>
          <w:sz w:val="20"/>
          <w:szCs w:val="20"/>
          <w14:ligatures w14:val="none"/>
        </w:rPr>
        <w:t>YETTER Tax | Sales Tax Institute</w:t>
      </w:r>
    </w:p>
    <w:p w14:paraId="1AC7CF60" w14:textId="77777777" w:rsidR="000631FA" w:rsidRDefault="000631FA" w:rsidP="000631FA">
      <w:r>
        <w:rPr>
          <w:rFonts w:ascii="Century Gothic" w:hAnsi="Century Gothic"/>
          <w:color w:val="532D6D"/>
          <w:sz w:val="20"/>
          <w:szCs w:val="20"/>
          <w14:ligatures w14:val="none"/>
        </w:rPr>
        <w:t>910 W. Van Buren Street, Suite 100-321</w:t>
      </w:r>
    </w:p>
    <w:p w14:paraId="7E6B6838" w14:textId="77777777" w:rsidR="000631FA" w:rsidRDefault="000631FA" w:rsidP="000631FA">
      <w:r>
        <w:rPr>
          <w:rFonts w:ascii="Century Gothic" w:hAnsi="Century Gothic"/>
          <w:color w:val="532D6D"/>
          <w:sz w:val="20"/>
          <w:szCs w:val="20"/>
          <w14:ligatures w14:val="none"/>
        </w:rPr>
        <w:t>Chicago, IL 60607-3636</w:t>
      </w:r>
    </w:p>
    <w:p w14:paraId="798A1E15" w14:textId="77777777" w:rsidR="000631FA" w:rsidRDefault="000631FA" w:rsidP="000631FA">
      <w:r>
        <w:rPr>
          <w:rFonts w:ascii="Century Gothic" w:hAnsi="Century Gothic"/>
          <w:color w:val="532D6D"/>
          <w:sz w:val="20"/>
          <w:szCs w:val="20"/>
          <w14:ligatures w14:val="none"/>
        </w:rPr>
        <w:t xml:space="preserve">(312) 701-1800 </w:t>
      </w:r>
      <w:proofErr w:type="spellStart"/>
      <w:r>
        <w:rPr>
          <w:rFonts w:ascii="Century Gothic" w:hAnsi="Century Gothic"/>
          <w:color w:val="532D6D"/>
          <w:sz w:val="20"/>
          <w:szCs w:val="20"/>
          <w14:ligatures w14:val="none"/>
        </w:rPr>
        <w:t>ext</w:t>
      </w:r>
      <w:proofErr w:type="spellEnd"/>
      <w:r>
        <w:rPr>
          <w:rFonts w:ascii="Century Gothic" w:hAnsi="Century Gothic"/>
          <w:color w:val="532D6D"/>
          <w:sz w:val="20"/>
          <w:szCs w:val="20"/>
          <w14:ligatures w14:val="none"/>
        </w:rPr>
        <w:t xml:space="preserve"> 2</w:t>
      </w:r>
    </w:p>
    <w:p w14:paraId="42B101A4" w14:textId="77777777" w:rsidR="000631FA" w:rsidRDefault="000631FA" w:rsidP="000631FA">
      <w:hyperlink r:id="rId22" w:history="1">
        <w:r>
          <w:rPr>
            <w:rStyle w:val="Hyperlink"/>
            <w:rFonts w:ascii="Century Gothic" w:hAnsi="Century Gothic"/>
            <w:color w:val="0000FF"/>
            <w:sz w:val="20"/>
            <w:szCs w:val="20"/>
            <w14:ligatures w14:val="none"/>
          </w:rPr>
          <w:t>diane@yettertax.com</w:t>
        </w:r>
      </w:hyperlink>
      <w:r>
        <w:rPr>
          <w:rFonts w:ascii="Century Gothic" w:hAnsi="Century Gothic"/>
          <w:color w:val="0C809D"/>
          <w:sz w:val="20"/>
          <w:szCs w:val="20"/>
          <w14:ligatures w14:val="none"/>
        </w:rPr>
        <w:t xml:space="preserve"> </w:t>
      </w:r>
    </w:p>
    <w:p w14:paraId="0FEFA219" w14:textId="77777777" w:rsidR="00914CAF" w:rsidRDefault="00914CAF"/>
    <w:sectPr w:rsidR="00914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20F5"/>
    <w:multiLevelType w:val="multilevel"/>
    <w:tmpl w:val="44281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352C4"/>
    <w:multiLevelType w:val="multilevel"/>
    <w:tmpl w:val="E2F69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2512B"/>
    <w:multiLevelType w:val="multilevel"/>
    <w:tmpl w:val="68505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A25CF"/>
    <w:multiLevelType w:val="multilevel"/>
    <w:tmpl w:val="5D5C2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14C5D"/>
    <w:multiLevelType w:val="hybridMultilevel"/>
    <w:tmpl w:val="7FB25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7716418">
    <w:abstractNumId w:val="4"/>
    <w:lvlOverride w:ilvl="0"/>
    <w:lvlOverride w:ilvl="1"/>
    <w:lvlOverride w:ilvl="2"/>
    <w:lvlOverride w:ilvl="3"/>
    <w:lvlOverride w:ilvl="4"/>
    <w:lvlOverride w:ilvl="5"/>
    <w:lvlOverride w:ilvl="6"/>
    <w:lvlOverride w:ilvl="7"/>
    <w:lvlOverride w:ilvl="8"/>
  </w:num>
  <w:num w:numId="2" w16cid:durableId="418989762">
    <w:abstractNumId w:val="3"/>
    <w:lvlOverride w:ilvl="0"/>
    <w:lvlOverride w:ilvl="1"/>
    <w:lvlOverride w:ilvl="2"/>
    <w:lvlOverride w:ilvl="3"/>
    <w:lvlOverride w:ilvl="4"/>
    <w:lvlOverride w:ilvl="5"/>
    <w:lvlOverride w:ilvl="6"/>
    <w:lvlOverride w:ilvl="7"/>
    <w:lvlOverride w:ilvl="8"/>
  </w:num>
  <w:num w:numId="3" w16cid:durableId="2039817992">
    <w:abstractNumId w:val="1"/>
    <w:lvlOverride w:ilvl="0"/>
    <w:lvlOverride w:ilvl="1"/>
    <w:lvlOverride w:ilvl="2"/>
    <w:lvlOverride w:ilvl="3"/>
    <w:lvlOverride w:ilvl="4"/>
    <w:lvlOverride w:ilvl="5"/>
    <w:lvlOverride w:ilvl="6"/>
    <w:lvlOverride w:ilvl="7"/>
    <w:lvlOverride w:ilvl="8"/>
  </w:num>
  <w:num w:numId="4" w16cid:durableId="1243831820">
    <w:abstractNumId w:val="0"/>
    <w:lvlOverride w:ilvl="0"/>
    <w:lvlOverride w:ilvl="1"/>
    <w:lvlOverride w:ilvl="2"/>
    <w:lvlOverride w:ilvl="3"/>
    <w:lvlOverride w:ilvl="4"/>
    <w:lvlOverride w:ilvl="5"/>
    <w:lvlOverride w:ilvl="6"/>
    <w:lvlOverride w:ilvl="7"/>
    <w:lvlOverride w:ilvl="8"/>
  </w:num>
  <w:num w:numId="5" w16cid:durableId="162549688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FA"/>
    <w:rsid w:val="000359E6"/>
    <w:rsid w:val="000631FA"/>
    <w:rsid w:val="000B6A08"/>
    <w:rsid w:val="000D111B"/>
    <w:rsid w:val="00914CAF"/>
    <w:rsid w:val="009C5AF0"/>
    <w:rsid w:val="00A504EC"/>
    <w:rsid w:val="00AE0659"/>
    <w:rsid w:val="00D52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B3D5"/>
  <w15:chartTrackingRefBased/>
  <w15:docId w15:val="{E368E904-FE7B-4299-A1CB-879DC913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F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0631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31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1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1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31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1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1FA"/>
    <w:rPr>
      <w:rFonts w:eastAsiaTheme="majorEastAsia" w:cstheme="majorBidi"/>
      <w:color w:val="272727" w:themeColor="text1" w:themeTint="D8"/>
    </w:rPr>
  </w:style>
  <w:style w:type="paragraph" w:styleId="Title">
    <w:name w:val="Title"/>
    <w:basedOn w:val="Normal"/>
    <w:next w:val="Normal"/>
    <w:link w:val="TitleChar"/>
    <w:uiPriority w:val="10"/>
    <w:qFormat/>
    <w:rsid w:val="000631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1FA"/>
    <w:pPr>
      <w:spacing w:before="160"/>
      <w:jc w:val="center"/>
    </w:pPr>
    <w:rPr>
      <w:i/>
      <w:iCs/>
      <w:color w:val="404040" w:themeColor="text1" w:themeTint="BF"/>
    </w:rPr>
  </w:style>
  <w:style w:type="character" w:customStyle="1" w:styleId="QuoteChar">
    <w:name w:val="Quote Char"/>
    <w:basedOn w:val="DefaultParagraphFont"/>
    <w:link w:val="Quote"/>
    <w:uiPriority w:val="29"/>
    <w:rsid w:val="000631FA"/>
    <w:rPr>
      <w:i/>
      <w:iCs/>
      <w:color w:val="404040" w:themeColor="text1" w:themeTint="BF"/>
    </w:rPr>
  </w:style>
  <w:style w:type="paragraph" w:styleId="ListParagraph">
    <w:name w:val="List Paragraph"/>
    <w:basedOn w:val="Normal"/>
    <w:uiPriority w:val="34"/>
    <w:qFormat/>
    <w:rsid w:val="000631FA"/>
    <w:pPr>
      <w:ind w:left="720"/>
      <w:contextualSpacing/>
    </w:pPr>
  </w:style>
  <w:style w:type="character" w:styleId="IntenseEmphasis">
    <w:name w:val="Intense Emphasis"/>
    <w:basedOn w:val="DefaultParagraphFont"/>
    <w:uiPriority w:val="21"/>
    <w:qFormat/>
    <w:rsid w:val="000631FA"/>
    <w:rPr>
      <w:i/>
      <w:iCs/>
      <w:color w:val="0F4761" w:themeColor="accent1" w:themeShade="BF"/>
    </w:rPr>
  </w:style>
  <w:style w:type="paragraph" w:styleId="IntenseQuote">
    <w:name w:val="Intense Quote"/>
    <w:basedOn w:val="Normal"/>
    <w:next w:val="Normal"/>
    <w:link w:val="IntenseQuoteChar"/>
    <w:uiPriority w:val="30"/>
    <w:qFormat/>
    <w:rsid w:val="00063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1FA"/>
    <w:rPr>
      <w:i/>
      <w:iCs/>
      <w:color w:val="0F4761" w:themeColor="accent1" w:themeShade="BF"/>
    </w:rPr>
  </w:style>
  <w:style w:type="character" w:styleId="IntenseReference">
    <w:name w:val="Intense Reference"/>
    <w:basedOn w:val="DefaultParagraphFont"/>
    <w:uiPriority w:val="32"/>
    <w:qFormat/>
    <w:rsid w:val="000631FA"/>
    <w:rPr>
      <w:b/>
      <w:bCs/>
      <w:smallCaps/>
      <w:color w:val="0F4761" w:themeColor="accent1" w:themeShade="BF"/>
      <w:spacing w:val="5"/>
    </w:rPr>
  </w:style>
  <w:style w:type="character" w:styleId="Hyperlink">
    <w:name w:val="Hyperlink"/>
    <w:basedOn w:val="DefaultParagraphFont"/>
    <w:uiPriority w:val="99"/>
    <w:semiHidden/>
    <w:unhideWhenUsed/>
    <w:rsid w:val="000631F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3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esconsultinggroup.com/saas-sales-tax-by-state/iowa/" TargetMode="External"/><Relationship Id="rId13" Type="http://schemas.openxmlformats.org/officeDocument/2006/relationships/hyperlink" Target="https://dor.wa.gov/forms-publications/publications-subject/tax-topics/digital-products-including-digital-goods" TargetMode="External"/><Relationship Id="rId18" Type="http://schemas.openxmlformats.org/officeDocument/2006/relationships/hyperlink" Target="https://www.pwc.com/us/en/services/tax/library/maryland-enacts-digital-products-sales-tax-exclusions.html" TargetMode="External"/><Relationship Id="rId3" Type="http://schemas.openxmlformats.org/officeDocument/2006/relationships/settings" Target="settings.xml"/><Relationship Id="rId21" Type="http://schemas.openxmlformats.org/officeDocument/2006/relationships/hyperlink" Target="https://app.leg.wa.gov/wac/default.aspx?cite=458-20-15503" TargetMode="External"/><Relationship Id="rId7" Type="http://schemas.openxmlformats.org/officeDocument/2006/relationships/hyperlink" Target="https://dor.wa.gov/sites/default/files/2022-02/27-0050.pdf" TargetMode="External"/><Relationship Id="rId12" Type="http://schemas.openxmlformats.org/officeDocument/2006/relationships/hyperlink" Target="https://www.marylandcomptroller.gov/content/dam/mdcomp/tax/legal-publications/technical-bulletins/tb-56.pdf" TargetMode="External"/><Relationship Id="rId17" Type="http://schemas.openxmlformats.org/officeDocument/2006/relationships/hyperlink" Target="https://www.numeralhq.com/blog/saas-sales-tax-new-jersey" TargetMode="External"/><Relationship Id="rId2" Type="http://schemas.openxmlformats.org/officeDocument/2006/relationships/styles" Target="styles.xml"/><Relationship Id="rId16" Type="http://schemas.openxmlformats.org/officeDocument/2006/relationships/hyperlink" Target="https://www.nj.gov/treasury/taxation/pdf/pubs/tb/tb72.pdf" TargetMode="External"/><Relationship Id="rId20" Type="http://schemas.openxmlformats.org/officeDocument/2006/relationships/hyperlink" Target="https://dor.wa.gov/forms-publications/publications-subject/tax-topics/digital-products-including-digital-goods" TargetMode="External"/><Relationship Id="rId1" Type="http://schemas.openxmlformats.org/officeDocument/2006/relationships/numbering" Target="numbering.xml"/><Relationship Id="rId6" Type="http://schemas.openxmlformats.org/officeDocument/2006/relationships/hyperlink" Target="https://dor.wa.gov/forms-publications/publications-subject/tax-topics/digital-products-including-digital-goods" TargetMode="External"/><Relationship Id="rId11" Type="http://schemas.openxmlformats.org/officeDocument/2006/relationships/hyperlink" Target="https://www.pwc.com/us/en/services/tax/library/maryland-enacts-digital-products-sales-tax-exclusions.html" TargetMode="External"/><Relationship Id="rId24" Type="http://schemas.openxmlformats.org/officeDocument/2006/relationships/theme" Target="theme/theme1.xml"/><Relationship Id="rId5" Type="http://schemas.openxmlformats.org/officeDocument/2006/relationships/hyperlink" Target="https://answerconnect.cch.com/" TargetMode="External"/><Relationship Id="rId15" Type="http://schemas.openxmlformats.org/officeDocument/2006/relationships/hyperlink" Target="https://milesconsultinggroup.com/saas-sales-tax-by-state/iowa/" TargetMode="External"/><Relationship Id="rId23" Type="http://schemas.openxmlformats.org/officeDocument/2006/relationships/fontTable" Target="fontTable.xml"/><Relationship Id="rId10" Type="http://schemas.openxmlformats.org/officeDocument/2006/relationships/hyperlink" Target="https://www.numeralhq.com/blog/saas-sales-tax-new-jersey" TargetMode="External"/><Relationship Id="rId19" Type="http://schemas.openxmlformats.org/officeDocument/2006/relationships/hyperlink" Target="https://www.marylandcomptroller.gov/content/dam/mdcomp/tax/legal-publications/technical-bulletins/tb-56.pdf" TargetMode="External"/><Relationship Id="rId4" Type="http://schemas.openxmlformats.org/officeDocument/2006/relationships/webSettings" Target="webSettings.xml"/><Relationship Id="rId9" Type="http://schemas.openxmlformats.org/officeDocument/2006/relationships/hyperlink" Target="https://www.nj.gov/treasury/taxation/pdf/pubs/tb/tb72.pdf" TargetMode="External"/><Relationship Id="rId14" Type="http://schemas.openxmlformats.org/officeDocument/2006/relationships/hyperlink" Target="https://app.leg.wa.gov/wac/default.aspx?cite=458-20-15503" TargetMode="External"/><Relationship Id="rId22" Type="http://schemas.openxmlformats.org/officeDocument/2006/relationships/hyperlink" Target="mailto:diane@yetterta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Hecht</dc:creator>
  <cp:keywords/>
  <dc:description/>
  <cp:lastModifiedBy>Helen Hecht</cp:lastModifiedBy>
  <cp:revision>1</cp:revision>
  <dcterms:created xsi:type="dcterms:W3CDTF">2025-06-12T14:27:00Z</dcterms:created>
  <dcterms:modified xsi:type="dcterms:W3CDTF">2025-06-12T14:28:00Z</dcterms:modified>
</cp:coreProperties>
</file>