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AAA8" w14:textId="053FFCEA" w:rsidR="00AA190A" w:rsidRDefault="00AA190A" w:rsidP="004843D2">
      <w:pPr>
        <w:rPr>
          <w:rFonts w:ascii="Georgia" w:hAnsi="Georgia"/>
          <w:b/>
          <w:bCs/>
          <w:color w:val="A80410"/>
          <w:sz w:val="56"/>
          <w:szCs w:val="180"/>
        </w:rPr>
      </w:pPr>
      <w:bookmarkStart w:id="0" w:name="_Hlk142738703"/>
    </w:p>
    <w:p w14:paraId="23E980C4" w14:textId="77777777" w:rsidR="00EA6D2C" w:rsidRDefault="00EA6D2C" w:rsidP="004843D2">
      <w:pPr>
        <w:rPr>
          <w:rFonts w:ascii="Georgia" w:hAnsi="Georgia"/>
          <w:b/>
          <w:bCs/>
          <w:color w:val="A80410"/>
          <w:sz w:val="56"/>
          <w:szCs w:val="180"/>
        </w:rPr>
      </w:pPr>
    </w:p>
    <w:p w14:paraId="792CCA57" w14:textId="27F9531D" w:rsidR="00916C78" w:rsidRDefault="00916C78" w:rsidP="006A570E">
      <w:pPr>
        <w:spacing w:after="0"/>
        <w:jc w:val="left"/>
        <w:rPr>
          <w:i/>
          <w:iCs/>
          <w:sz w:val="22"/>
          <w:szCs w:val="20"/>
        </w:rPr>
      </w:pPr>
    </w:p>
    <w:p w14:paraId="3DADE5A7" w14:textId="0CE6FBD5" w:rsidR="00916C78" w:rsidRDefault="002E144A" w:rsidP="00FF5FF5">
      <w:pPr>
        <w:pBdr>
          <w:bottom w:val="single" w:sz="24" w:space="1" w:color="591200" w:themeColor="accent6" w:themeShade="80"/>
        </w:pBdr>
        <w:shd w:val="clear" w:color="auto" w:fill="FFFFFF" w:themeFill="background1"/>
        <w:jc w:val="center"/>
        <w:rPr>
          <w:i/>
          <w:iCs/>
          <w:sz w:val="22"/>
          <w:szCs w:val="20"/>
        </w:rPr>
      </w:pPr>
      <w:r>
        <w:rPr>
          <w:noProof/>
        </w:rPr>
        <w:drawing>
          <wp:anchor distT="0" distB="0" distL="114300" distR="114300" simplePos="0" relativeHeight="251655168" behindDoc="0" locked="0" layoutInCell="1" allowOverlap="1" wp14:anchorId="2220A04F" wp14:editId="01B77F03">
            <wp:simplePos x="0" y="0"/>
            <wp:positionH relativeFrom="margin">
              <wp:align>center</wp:align>
            </wp:positionH>
            <wp:positionV relativeFrom="paragraph">
              <wp:posOffset>5715</wp:posOffset>
            </wp:positionV>
            <wp:extent cx="1849120" cy="982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4000"/>
                              </a14:imgEffect>
                              <a14:imgEffect>
                                <a14:brightnessContrast contrast="-9000"/>
                              </a14:imgEffect>
                            </a14:imgLayer>
                          </a14:imgProps>
                        </a:ext>
                        <a:ext uri="{28A0092B-C50C-407E-A947-70E740481C1C}">
                          <a14:useLocalDpi xmlns:a14="http://schemas.microsoft.com/office/drawing/2010/main" val="0"/>
                        </a:ext>
                      </a:extLst>
                    </a:blip>
                    <a:srcRect/>
                    <a:stretch>
                      <a:fillRect/>
                    </a:stretch>
                  </pic:blipFill>
                  <pic:spPr bwMode="auto">
                    <a:xfrm>
                      <a:off x="0" y="0"/>
                      <a:ext cx="1849120" cy="982980"/>
                    </a:xfrm>
                    <a:prstGeom prst="rect">
                      <a:avLst/>
                    </a:prstGeom>
                    <a:noFill/>
                    <a:effectLst/>
                  </pic:spPr>
                </pic:pic>
              </a:graphicData>
            </a:graphic>
            <wp14:sizeRelH relativeFrom="page">
              <wp14:pctWidth>0</wp14:pctWidth>
            </wp14:sizeRelH>
            <wp14:sizeRelV relativeFrom="page">
              <wp14:pctHeight>0</wp14:pctHeight>
            </wp14:sizeRelV>
          </wp:anchor>
        </w:drawing>
      </w:r>
    </w:p>
    <w:p w14:paraId="27607B0D" w14:textId="04F062DB" w:rsidR="00F31B02" w:rsidRDefault="00F31B02" w:rsidP="00FF5FF5">
      <w:pPr>
        <w:pBdr>
          <w:bottom w:val="single" w:sz="24" w:space="1" w:color="591200" w:themeColor="accent6" w:themeShade="80"/>
        </w:pBdr>
        <w:shd w:val="clear" w:color="auto" w:fill="FFFFFF" w:themeFill="background1"/>
        <w:jc w:val="center"/>
        <w:rPr>
          <w:i/>
          <w:iCs/>
          <w:sz w:val="22"/>
          <w:szCs w:val="20"/>
        </w:rPr>
      </w:pPr>
    </w:p>
    <w:p w14:paraId="4C23C895" w14:textId="75DBD0D2" w:rsidR="0019545B" w:rsidRDefault="0019545B" w:rsidP="00FF5FF5">
      <w:pPr>
        <w:pBdr>
          <w:bottom w:val="single" w:sz="24" w:space="1" w:color="591200" w:themeColor="accent6" w:themeShade="80"/>
        </w:pBdr>
        <w:shd w:val="clear" w:color="auto" w:fill="FFFFFF" w:themeFill="background1"/>
        <w:jc w:val="center"/>
        <w:rPr>
          <w:i/>
          <w:iCs/>
          <w:sz w:val="22"/>
          <w:szCs w:val="20"/>
        </w:rPr>
      </w:pPr>
    </w:p>
    <w:p w14:paraId="1B0575A8" w14:textId="1CC50DEA" w:rsidR="0019545B" w:rsidRDefault="0019545B" w:rsidP="00FF5FF5">
      <w:pPr>
        <w:pBdr>
          <w:bottom w:val="single" w:sz="24" w:space="1" w:color="591200" w:themeColor="accent6" w:themeShade="80"/>
        </w:pBdr>
        <w:shd w:val="clear" w:color="auto" w:fill="FFFFFF" w:themeFill="background1"/>
        <w:jc w:val="center"/>
        <w:rPr>
          <w:i/>
          <w:iCs/>
          <w:sz w:val="22"/>
          <w:szCs w:val="20"/>
        </w:rPr>
      </w:pPr>
    </w:p>
    <w:p w14:paraId="62535E10" w14:textId="77777777" w:rsidR="009E5ED3" w:rsidRDefault="009E5ED3" w:rsidP="00FF5FF5">
      <w:pPr>
        <w:pBdr>
          <w:bottom w:val="single" w:sz="24" w:space="1" w:color="591200" w:themeColor="accent6" w:themeShade="80"/>
        </w:pBdr>
        <w:shd w:val="clear" w:color="auto" w:fill="FFFFFF" w:themeFill="background1"/>
        <w:jc w:val="center"/>
        <w:rPr>
          <w:rFonts w:ascii="Californian FB" w:hAnsi="Californian FB"/>
          <w:b/>
          <w:bCs/>
          <w:color w:val="000000" w:themeColor="text1"/>
          <w:sz w:val="44"/>
          <w:szCs w:val="40"/>
        </w:rPr>
      </w:pPr>
    </w:p>
    <w:p w14:paraId="627ABF8D" w14:textId="6133EF61" w:rsidR="00FF5FF5" w:rsidRPr="002E144A" w:rsidRDefault="000F3B39" w:rsidP="002E144A">
      <w:pPr>
        <w:pBdr>
          <w:bottom w:val="single" w:sz="24" w:space="1" w:color="591200" w:themeColor="accent6" w:themeShade="80"/>
        </w:pBdr>
        <w:shd w:val="clear" w:color="auto" w:fill="FFFFFF" w:themeFill="background1"/>
        <w:ind w:left="-720" w:right="-720"/>
        <w:jc w:val="center"/>
        <w:rPr>
          <w:rFonts w:ascii="Georgia Pro Black" w:hAnsi="Georgia Pro Black"/>
          <w:b/>
          <w:bCs/>
          <w:color w:val="000000" w:themeColor="text1"/>
          <w:sz w:val="40"/>
          <w:szCs w:val="36"/>
        </w:rPr>
      </w:pPr>
      <w:r w:rsidRPr="00CB5231">
        <w:rPr>
          <w:rFonts w:ascii="Georgia Pro Black" w:hAnsi="Georgia Pro Black"/>
          <w:b/>
          <w:bCs/>
          <w:color w:val="000000" w:themeColor="text1"/>
          <w:sz w:val="44"/>
          <w:szCs w:val="40"/>
        </w:rPr>
        <w:t xml:space="preserve">State Tax </w:t>
      </w:r>
      <w:r w:rsidR="003F1733" w:rsidRPr="00CB5231">
        <w:rPr>
          <w:rFonts w:ascii="Georgia Pro Black" w:hAnsi="Georgia Pro Black"/>
          <w:b/>
          <w:bCs/>
          <w:color w:val="000000" w:themeColor="text1"/>
          <w:sz w:val="44"/>
          <w:szCs w:val="40"/>
        </w:rPr>
        <w:t xml:space="preserve">Sourcing of </w:t>
      </w:r>
      <w:r w:rsidRPr="00CB5231">
        <w:rPr>
          <w:rFonts w:ascii="Georgia Pro Black" w:hAnsi="Georgia Pro Black"/>
          <w:b/>
          <w:bCs/>
          <w:color w:val="000000" w:themeColor="text1"/>
          <w:sz w:val="44"/>
          <w:szCs w:val="40"/>
        </w:rPr>
        <w:br/>
      </w:r>
      <w:r w:rsidR="00F65298" w:rsidRPr="00CB5231">
        <w:rPr>
          <w:rFonts w:ascii="Georgia Pro Black" w:hAnsi="Georgia Pro Black"/>
          <w:b/>
          <w:bCs/>
          <w:color w:val="000000" w:themeColor="text1"/>
          <w:sz w:val="44"/>
          <w:szCs w:val="40"/>
        </w:rPr>
        <w:t>Partnership Income</w:t>
      </w:r>
      <w:r w:rsidR="000315D9" w:rsidRPr="00CB5231">
        <w:rPr>
          <w:rFonts w:ascii="Georgia Pro Black" w:hAnsi="Georgia Pro Black"/>
          <w:b/>
          <w:bCs/>
          <w:color w:val="000000" w:themeColor="text1"/>
          <w:sz w:val="44"/>
          <w:szCs w:val="40"/>
        </w:rPr>
        <w:t xml:space="preserve"> </w:t>
      </w:r>
      <w:r w:rsidR="00F65298" w:rsidRPr="00CB5231">
        <w:rPr>
          <w:rFonts w:ascii="Georgia Pro Black" w:hAnsi="Georgia Pro Black"/>
          <w:b/>
          <w:bCs/>
          <w:color w:val="000000" w:themeColor="text1"/>
          <w:sz w:val="44"/>
          <w:szCs w:val="40"/>
        </w:rPr>
        <w:t xml:space="preserve">&amp; </w:t>
      </w:r>
      <w:r w:rsidR="000D50D2" w:rsidRPr="00CB5231">
        <w:rPr>
          <w:rFonts w:ascii="Georgia Pro Black" w:hAnsi="Georgia Pro Black"/>
          <w:b/>
          <w:bCs/>
          <w:color w:val="000000" w:themeColor="text1"/>
          <w:sz w:val="44"/>
          <w:szCs w:val="40"/>
        </w:rPr>
        <w:br/>
      </w:r>
      <w:r w:rsidR="00942D90" w:rsidRPr="00CB5231">
        <w:rPr>
          <w:rFonts w:ascii="Georgia Pro Black" w:hAnsi="Georgia Pro Black"/>
          <w:b/>
          <w:bCs/>
          <w:color w:val="000000" w:themeColor="text1"/>
          <w:sz w:val="44"/>
          <w:szCs w:val="40"/>
        </w:rPr>
        <w:t>the</w:t>
      </w:r>
      <w:r w:rsidR="00F65298" w:rsidRPr="00CB5231">
        <w:rPr>
          <w:rFonts w:ascii="Georgia Pro Black" w:hAnsi="Georgia Pro Black"/>
          <w:b/>
          <w:bCs/>
          <w:color w:val="000000" w:themeColor="text1"/>
          <w:sz w:val="44"/>
          <w:szCs w:val="40"/>
        </w:rPr>
        <w:t xml:space="preserve"> Blended Apportionment</w:t>
      </w:r>
      <w:r w:rsidR="00942D90" w:rsidRPr="00CB5231">
        <w:rPr>
          <w:rFonts w:ascii="Georgia Pro Black" w:hAnsi="Georgia Pro Black"/>
          <w:b/>
          <w:bCs/>
          <w:color w:val="000000" w:themeColor="text1"/>
          <w:sz w:val="44"/>
          <w:szCs w:val="40"/>
        </w:rPr>
        <w:t xml:space="preserve"> Method</w:t>
      </w:r>
      <w:r w:rsidR="000315D9" w:rsidRPr="002E144A">
        <w:rPr>
          <w:rFonts w:ascii="Georgia Pro Black" w:hAnsi="Georgia Pro Black"/>
          <w:b/>
          <w:bCs/>
          <w:color w:val="000000" w:themeColor="text1"/>
          <w:sz w:val="48"/>
          <w:szCs w:val="44"/>
        </w:rPr>
        <w:br/>
      </w:r>
    </w:p>
    <w:p w14:paraId="69C8AFC3"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0401D1CE"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5D6CD092"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7E8709FC"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3050995C" w14:textId="77777777" w:rsidR="00865C2C" w:rsidRDefault="00865C2C"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451AEC3A"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5F902F04"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75A0CECD" w14:textId="74F469EA" w:rsidR="00FF5FF5" w:rsidRPr="00CB5231" w:rsidRDefault="00C23413" w:rsidP="002E144A">
      <w:pPr>
        <w:pBdr>
          <w:bottom w:val="single" w:sz="24" w:space="1" w:color="591200" w:themeColor="accent6" w:themeShade="80"/>
        </w:pBdr>
        <w:spacing w:after="0"/>
        <w:jc w:val="center"/>
        <w:rPr>
          <w:rFonts w:ascii="Californian FB" w:hAnsi="Californian FB"/>
          <w:b/>
          <w:bCs/>
          <w:color w:val="680000"/>
          <w:sz w:val="24"/>
        </w:rPr>
      </w:pPr>
      <w:r w:rsidRPr="00FA7927">
        <w:rPr>
          <w:rFonts w:ascii="Californian FB" w:hAnsi="Californian FB"/>
          <w:b/>
          <w:bCs/>
          <w:color w:val="000000" w:themeColor="text1"/>
          <w:sz w:val="36"/>
          <w:szCs w:val="32"/>
        </w:rPr>
        <w:br/>
      </w:r>
      <w:r w:rsidR="00FF5FF5" w:rsidRPr="00CB5231">
        <w:rPr>
          <w:rFonts w:ascii="Californian FB" w:hAnsi="Californian FB"/>
          <w:b/>
          <w:bCs/>
          <w:color w:val="680000"/>
          <w:sz w:val="28"/>
          <w:szCs w:val="24"/>
        </w:rPr>
        <w:t>Multistate Tax Commission</w:t>
      </w:r>
    </w:p>
    <w:p w14:paraId="352A811D" w14:textId="5FF5892D" w:rsidR="00FF5FF5" w:rsidRPr="00865C2C" w:rsidRDefault="00FF5FF5" w:rsidP="002E144A">
      <w:pPr>
        <w:pBdr>
          <w:bottom w:val="single" w:sz="24" w:space="1" w:color="591200" w:themeColor="accent6" w:themeShade="80"/>
        </w:pBdr>
        <w:spacing w:after="0"/>
        <w:jc w:val="center"/>
        <w:rPr>
          <w:rFonts w:ascii="Californian FB" w:hAnsi="Californian FB"/>
          <w:b/>
          <w:bCs/>
          <w:color w:val="680000"/>
          <w:sz w:val="24"/>
        </w:rPr>
      </w:pPr>
      <w:r w:rsidRPr="00865C2C">
        <w:rPr>
          <w:rFonts w:ascii="Californian FB" w:hAnsi="Californian FB"/>
          <w:b/>
          <w:bCs/>
          <w:color w:val="680000"/>
          <w:sz w:val="24"/>
        </w:rPr>
        <w:t xml:space="preserve">DRAFT – </w:t>
      </w:r>
      <w:r w:rsidR="00865C2C">
        <w:rPr>
          <w:rFonts w:ascii="Californian FB" w:hAnsi="Californian FB"/>
          <w:b/>
          <w:bCs/>
          <w:color w:val="680000"/>
          <w:sz w:val="24"/>
        </w:rPr>
        <w:t>APRIL 11, 2025</w:t>
      </w:r>
    </w:p>
    <w:p w14:paraId="3AA80C14" w14:textId="77777777" w:rsidR="00FF5FF5" w:rsidRPr="00865C2C" w:rsidRDefault="00FF5FF5" w:rsidP="002E144A">
      <w:pPr>
        <w:pBdr>
          <w:bottom w:val="single" w:sz="24" w:space="1" w:color="591200" w:themeColor="accent6" w:themeShade="80"/>
        </w:pBdr>
        <w:shd w:val="clear" w:color="auto" w:fill="FFFFFF" w:themeFill="background1"/>
        <w:spacing w:after="0"/>
        <w:jc w:val="center"/>
        <w:rPr>
          <w:rFonts w:ascii="Californian FB" w:hAnsi="Californian FB"/>
          <w:b/>
          <w:bCs/>
          <w:color w:val="680000"/>
          <w:sz w:val="24"/>
        </w:rPr>
      </w:pPr>
      <w:r w:rsidRPr="00F95EE8">
        <w:rPr>
          <w:rFonts w:ascii="Californian FB" w:hAnsi="Californian FB"/>
          <w:b/>
          <w:bCs/>
          <w:color w:val="680000"/>
          <w:sz w:val="40"/>
          <w:szCs w:val="36"/>
        </w:rPr>
        <w:t>FOR DISCUSSION PURPOSES ONLY</w:t>
      </w:r>
    </w:p>
    <w:p w14:paraId="7392B63F" w14:textId="77777777" w:rsidR="009E7F86" w:rsidRDefault="009E7F86" w:rsidP="009E7F86">
      <w:pPr>
        <w:pBdr>
          <w:bottom w:val="single" w:sz="24" w:space="1" w:color="591200" w:themeColor="accent6" w:themeShade="80"/>
        </w:pBdr>
        <w:shd w:val="clear" w:color="auto" w:fill="FFFFFF" w:themeFill="background1"/>
        <w:rPr>
          <w:i/>
          <w:iCs/>
          <w:sz w:val="22"/>
          <w:szCs w:val="20"/>
        </w:rPr>
      </w:pPr>
    </w:p>
    <w:p w14:paraId="41B8EF1F" w14:textId="175925A7" w:rsidR="00E85560" w:rsidRPr="00435DBA" w:rsidRDefault="009B161D" w:rsidP="00435DBA">
      <w:pPr>
        <w:shd w:val="clear" w:color="auto" w:fill="FFFFFF" w:themeFill="background1"/>
        <w:ind w:left="-720" w:right="-720"/>
        <w:jc w:val="center"/>
        <w:rPr>
          <w:i/>
          <w:iCs/>
          <w:sz w:val="18"/>
          <w:szCs w:val="18"/>
        </w:rPr>
      </w:pPr>
      <w:r w:rsidRPr="00435DBA">
        <w:rPr>
          <w:i/>
          <w:iCs/>
          <w:sz w:val="18"/>
          <w:szCs w:val="18"/>
        </w:rPr>
        <w:t xml:space="preserve">This white paper is prepared by the Multistate Tax Commission </w:t>
      </w:r>
      <w:r w:rsidR="00120DCC" w:rsidRPr="00435DBA">
        <w:rPr>
          <w:i/>
          <w:iCs/>
          <w:sz w:val="18"/>
          <w:szCs w:val="18"/>
        </w:rPr>
        <w:t>(MTC)</w:t>
      </w:r>
      <w:r w:rsidR="00C93290" w:rsidRPr="00435DBA">
        <w:rPr>
          <w:i/>
          <w:iCs/>
          <w:sz w:val="18"/>
          <w:szCs w:val="18"/>
        </w:rPr>
        <w:t xml:space="preserve"> </w:t>
      </w:r>
      <w:r w:rsidR="004E378F">
        <w:rPr>
          <w:i/>
          <w:iCs/>
          <w:sz w:val="18"/>
          <w:szCs w:val="18"/>
        </w:rPr>
        <w:t>with input</w:t>
      </w:r>
      <w:r w:rsidR="00B32636">
        <w:rPr>
          <w:i/>
          <w:iCs/>
          <w:sz w:val="18"/>
          <w:szCs w:val="18"/>
        </w:rPr>
        <w:t xml:space="preserve"> </w:t>
      </w:r>
      <w:r w:rsidR="004E378F">
        <w:rPr>
          <w:i/>
          <w:iCs/>
          <w:sz w:val="18"/>
          <w:szCs w:val="18"/>
        </w:rPr>
        <w:t xml:space="preserve">from a work group of state participants </w:t>
      </w:r>
      <w:r w:rsidR="0016511A">
        <w:rPr>
          <w:i/>
          <w:iCs/>
          <w:sz w:val="18"/>
          <w:szCs w:val="18"/>
        </w:rPr>
        <w:t>and the public</w:t>
      </w:r>
      <w:r w:rsidR="00432ABB">
        <w:rPr>
          <w:i/>
          <w:iCs/>
          <w:sz w:val="18"/>
          <w:szCs w:val="18"/>
        </w:rPr>
        <w:t xml:space="preserve">.  </w:t>
      </w:r>
      <w:r w:rsidR="00432ABB">
        <w:rPr>
          <w:i/>
          <w:iCs/>
          <w:sz w:val="18"/>
          <w:szCs w:val="18"/>
        </w:rPr>
        <w:br/>
        <w:t xml:space="preserve">It is </w:t>
      </w:r>
      <w:r w:rsidRPr="00435DBA">
        <w:rPr>
          <w:i/>
          <w:iCs/>
          <w:sz w:val="18"/>
          <w:szCs w:val="18"/>
        </w:rPr>
        <w:t xml:space="preserve">part of </w:t>
      </w:r>
      <w:r w:rsidR="00EE070D" w:rsidRPr="00435DBA">
        <w:rPr>
          <w:i/>
          <w:iCs/>
          <w:sz w:val="18"/>
          <w:szCs w:val="18"/>
        </w:rPr>
        <w:t>the MTC’s</w:t>
      </w:r>
      <w:r w:rsidR="00756309" w:rsidRPr="00435DBA">
        <w:rPr>
          <w:i/>
          <w:iCs/>
          <w:sz w:val="18"/>
          <w:szCs w:val="18"/>
        </w:rPr>
        <w:t xml:space="preserve"> </w:t>
      </w:r>
      <w:r w:rsidRPr="00435DBA">
        <w:rPr>
          <w:i/>
          <w:iCs/>
          <w:sz w:val="18"/>
          <w:szCs w:val="18"/>
        </w:rPr>
        <w:t>uniformity project on state taxation of partnerships</w:t>
      </w:r>
      <w:r w:rsidR="00EE070D" w:rsidRPr="00435DBA">
        <w:rPr>
          <w:i/>
          <w:iCs/>
          <w:sz w:val="18"/>
          <w:szCs w:val="18"/>
        </w:rPr>
        <w:t>,</w:t>
      </w:r>
      <w:r w:rsidR="00C93290" w:rsidRPr="00435DBA">
        <w:rPr>
          <w:i/>
          <w:iCs/>
          <w:sz w:val="18"/>
          <w:szCs w:val="18"/>
        </w:rPr>
        <w:t xml:space="preserve"> </w:t>
      </w:r>
      <w:r w:rsidR="00B32636">
        <w:rPr>
          <w:i/>
          <w:iCs/>
          <w:sz w:val="18"/>
          <w:szCs w:val="18"/>
        </w:rPr>
        <w:t xml:space="preserve">is </w:t>
      </w:r>
      <w:r w:rsidR="00C93290" w:rsidRPr="00435DBA">
        <w:rPr>
          <w:i/>
          <w:iCs/>
          <w:sz w:val="18"/>
          <w:szCs w:val="18"/>
        </w:rPr>
        <w:t>published as of the date shown,</w:t>
      </w:r>
      <w:r w:rsidRPr="00435DBA">
        <w:rPr>
          <w:i/>
          <w:iCs/>
          <w:sz w:val="18"/>
          <w:szCs w:val="18"/>
        </w:rPr>
        <w:t xml:space="preserve"> and </w:t>
      </w:r>
      <w:r w:rsidR="002E144A">
        <w:rPr>
          <w:i/>
          <w:iCs/>
          <w:sz w:val="18"/>
          <w:szCs w:val="18"/>
        </w:rPr>
        <w:t xml:space="preserve">is </w:t>
      </w:r>
      <w:r w:rsidRPr="00435DBA">
        <w:rPr>
          <w:i/>
          <w:iCs/>
          <w:sz w:val="18"/>
          <w:szCs w:val="18"/>
        </w:rPr>
        <w:t>subject to revision.</w:t>
      </w:r>
      <w:r w:rsidR="002E144A">
        <w:rPr>
          <w:i/>
          <w:iCs/>
          <w:sz w:val="18"/>
          <w:szCs w:val="18"/>
        </w:rPr>
        <w:t xml:space="preserve"> </w:t>
      </w:r>
      <w:r w:rsidR="00EE070D" w:rsidRPr="00435DBA">
        <w:rPr>
          <w:i/>
          <w:iCs/>
          <w:sz w:val="18"/>
          <w:szCs w:val="18"/>
        </w:rPr>
        <w:t>This draft white paper is not intended to provide accounting or legal advice to taxpayers and cannot be cited for that purpose.</w:t>
      </w:r>
      <w:r w:rsidR="00F95EE8">
        <w:rPr>
          <w:i/>
          <w:iCs/>
          <w:sz w:val="18"/>
          <w:szCs w:val="18"/>
        </w:rPr>
        <w:br/>
        <w:t>This draft is intended for discussion purposes only.</w:t>
      </w:r>
    </w:p>
    <w:p w14:paraId="0DC1296C" w14:textId="3899236E" w:rsidR="006D40CB" w:rsidRDefault="00EE070D" w:rsidP="006066C8">
      <w:pPr>
        <w:shd w:val="clear" w:color="auto" w:fill="FFFFFF" w:themeFill="background1"/>
        <w:ind w:left="-720" w:right="-720"/>
        <w:jc w:val="center"/>
        <w:rPr>
          <w:i/>
          <w:iCs/>
          <w:sz w:val="18"/>
          <w:szCs w:val="18"/>
        </w:rPr>
      </w:pPr>
      <w:r w:rsidRPr="00435DBA">
        <w:rPr>
          <w:i/>
          <w:iCs/>
          <w:sz w:val="18"/>
          <w:szCs w:val="18"/>
        </w:rPr>
        <w:t xml:space="preserve">Those with questions on the white paper </w:t>
      </w:r>
      <w:r w:rsidR="00AB4E9B" w:rsidRPr="00435DBA">
        <w:rPr>
          <w:i/>
          <w:iCs/>
          <w:sz w:val="18"/>
          <w:szCs w:val="18"/>
        </w:rPr>
        <w:t>may</w:t>
      </w:r>
      <w:r w:rsidRPr="00435DBA">
        <w:rPr>
          <w:i/>
          <w:iCs/>
          <w:sz w:val="18"/>
          <w:szCs w:val="18"/>
        </w:rPr>
        <w:t xml:space="preserve"> contact Helen Hecht, at </w:t>
      </w:r>
      <w:hyperlink r:id="rId10" w:history="1">
        <w:r w:rsidRPr="00435DBA">
          <w:rPr>
            <w:rStyle w:val="Hyperlink"/>
            <w:i/>
            <w:iCs/>
            <w:sz w:val="18"/>
            <w:szCs w:val="18"/>
          </w:rPr>
          <w:t>hhecht@mtc.gov</w:t>
        </w:r>
      </w:hyperlink>
      <w:r w:rsidRPr="00435DBA">
        <w:rPr>
          <w:i/>
          <w:iCs/>
          <w:sz w:val="18"/>
          <w:szCs w:val="18"/>
        </w:rPr>
        <w:t xml:space="preserve">.  </w:t>
      </w:r>
    </w:p>
    <w:p w14:paraId="5EFE7F4B" w14:textId="047A1E72" w:rsidR="009646C5" w:rsidRDefault="009E7F86" w:rsidP="009E7F86">
      <w:pPr>
        <w:pStyle w:val="Heading1"/>
      </w:pPr>
      <w:bookmarkStart w:id="1" w:name="_Toc195435212"/>
      <w:bookmarkStart w:id="2" w:name="_Toc104209200"/>
      <w:r>
        <w:lastRenderedPageBreak/>
        <w:t>Table of Contents</w:t>
      </w:r>
      <w:bookmarkEnd w:id="1"/>
    </w:p>
    <w:sdt>
      <w:sdtPr>
        <w:rPr>
          <w:rFonts w:ascii="Cambria" w:eastAsiaTheme="minorHAnsi" w:hAnsi="Cambria" w:cstheme="minorBidi"/>
          <w:smallCaps w:val="0"/>
          <w:color w:val="auto"/>
          <w:sz w:val="20"/>
          <w:szCs w:val="22"/>
        </w:rPr>
        <w:id w:val="-563417472"/>
        <w:docPartObj>
          <w:docPartGallery w:val="Table of Contents"/>
          <w:docPartUnique/>
        </w:docPartObj>
      </w:sdtPr>
      <w:sdtEndPr>
        <w:rPr>
          <w:b/>
          <w:bCs/>
          <w:noProof/>
        </w:rPr>
      </w:sdtEndPr>
      <w:sdtContent>
        <w:p w14:paraId="22557870" w14:textId="7822EEF2" w:rsidR="00F717F0" w:rsidRDefault="00F717F0">
          <w:pPr>
            <w:pStyle w:val="TOCHeading"/>
          </w:pPr>
          <w:r>
            <w:t>Contents</w:t>
          </w:r>
        </w:p>
        <w:p w14:paraId="4F53D269" w14:textId="19915DBD" w:rsidR="00FF1104" w:rsidRDefault="00F717F0">
          <w:pPr>
            <w:pStyle w:val="TOC1"/>
            <w:rPr>
              <w:rFonts w:asciiTheme="minorHAnsi" w:eastAsiaTheme="minorEastAsia" w:hAnsiTheme="minorHAnsi"/>
              <w:b w:val="0"/>
              <w:bCs w:val="0"/>
              <w:noProof/>
              <w:color w:val="auto"/>
              <w:kern w:val="2"/>
              <w:sz w:val="24"/>
              <w:szCs w:val="24"/>
              <w14:ligatures w14:val="standardContextual"/>
            </w:rPr>
          </w:pPr>
          <w:r>
            <w:fldChar w:fldCharType="begin"/>
          </w:r>
          <w:r>
            <w:instrText xml:space="preserve"> TOC \o "1-3" \h \z \u </w:instrText>
          </w:r>
          <w:r>
            <w:fldChar w:fldCharType="separate"/>
          </w:r>
          <w:hyperlink w:anchor="_Toc195435212" w:history="1">
            <w:r w:rsidR="00FF1104" w:rsidRPr="00DD46C0">
              <w:rPr>
                <w:rStyle w:val="Hyperlink"/>
                <w:noProof/>
              </w:rPr>
              <w:t>Table of Contents</w:t>
            </w:r>
            <w:r w:rsidR="00FF1104">
              <w:rPr>
                <w:noProof/>
                <w:webHidden/>
              </w:rPr>
              <w:tab/>
            </w:r>
            <w:r w:rsidR="00FF1104">
              <w:rPr>
                <w:noProof/>
                <w:webHidden/>
              </w:rPr>
              <w:fldChar w:fldCharType="begin"/>
            </w:r>
            <w:r w:rsidR="00FF1104">
              <w:rPr>
                <w:noProof/>
                <w:webHidden/>
              </w:rPr>
              <w:instrText xml:space="preserve"> PAGEREF _Toc195435212 \h </w:instrText>
            </w:r>
            <w:r w:rsidR="00FF1104">
              <w:rPr>
                <w:noProof/>
                <w:webHidden/>
              </w:rPr>
            </w:r>
            <w:r w:rsidR="00FF1104">
              <w:rPr>
                <w:noProof/>
                <w:webHidden/>
              </w:rPr>
              <w:fldChar w:fldCharType="separate"/>
            </w:r>
            <w:r w:rsidR="00FF1104">
              <w:rPr>
                <w:noProof/>
                <w:webHidden/>
              </w:rPr>
              <w:t>2</w:t>
            </w:r>
            <w:r w:rsidR="00FF1104">
              <w:rPr>
                <w:noProof/>
                <w:webHidden/>
              </w:rPr>
              <w:fldChar w:fldCharType="end"/>
            </w:r>
          </w:hyperlink>
        </w:p>
        <w:p w14:paraId="5DBBD2CB" w14:textId="41C1F2A2"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13" w:history="1">
            <w:r w:rsidRPr="00DD46C0">
              <w:rPr>
                <w:rStyle w:val="Hyperlink"/>
                <w:noProof/>
              </w:rPr>
              <w:t>Executive Summary</w:t>
            </w:r>
            <w:r>
              <w:rPr>
                <w:noProof/>
                <w:webHidden/>
              </w:rPr>
              <w:tab/>
            </w:r>
            <w:r>
              <w:rPr>
                <w:noProof/>
                <w:webHidden/>
              </w:rPr>
              <w:fldChar w:fldCharType="begin"/>
            </w:r>
            <w:r>
              <w:rPr>
                <w:noProof/>
                <w:webHidden/>
              </w:rPr>
              <w:instrText xml:space="preserve"> PAGEREF _Toc195435213 \h </w:instrText>
            </w:r>
            <w:r>
              <w:rPr>
                <w:noProof/>
                <w:webHidden/>
              </w:rPr>
            </w:r>
            <w:r>
              <w:rPr>
                <w:noProof/>
                <w:webHidden/>
              </w:rPr>
              <w:fldChar w:fldCharType="separate"/>
            </w:r>
            <w:r>
              <w:rPr>
                <w:noProof/>
                <w:webHidden/>
              </w:rPr>
              <w:t>5</w:t>
            </w:r>
            <w:r>
              <w:rPr>
                <w:noProof/>
                <w:webHidden/>
              </w:rPr>
              <w:fldChar w:fldCharType="end"/>
            </w:r>
          </w:hyperlink>
        </w:p>
        <w:p w14:paraId="0992AEFC" w14:textId="1DDC96A7"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14" w:history="1">
            <w:r w:rsidRPr="00DD46C0">
              <w:rPr>
                <w:rStyle w:val="Hyperlink"/>
                <w:noProof/>
              </w:rPr>
              <w:t>Findings</w:t>
            </w:r>
            <w:r>
              <w:rPr>
                <w:noProof/>
                <w:webHidden/>
              </w:rPr>
              <w:tab/>
            </w:r>
            <w:r>
              <w:rPr>
                <w:noProof/>
                <w:webHidden/>
              </w:rPr>
              <w:fldChar w:fldCharType="begin"/>
            </w:r>
            <w:r>
              <w:rPr>
                <w:noProof/>
                <w:webHidden/>
              </w:rPr>
              <w:instrText xml:space="preserve"> PAGEREF _Toc195435214 \h </w:instrText>
            </w:r>
            <w:r>
              <w:rPr>
                <w:noProof/>
                <w:webHidden/>
              </w:rPr>
            </w:r>
            <w:r>
              <w:rPr>
                <w:noProof/>
                <w:webHidden/>
              </w:rPr>
              <w:fldChar w:fldCharType="separate"/>
            </w:r>
            <w:r>
              <w:rPr>
                <w:noProof/>
                <w:webHidden/>
              </w:rPr>
              <w:t>5</w:t>
            </w:r>
            <w:r>
              <w:rPr>
                <w:noProof/>
                <w:webHidden/>
              </w:rPr>
              <w:fldChar w:fldCharType="end"/>
            </w:r>
          </w:hyperlink>
        </w:p>
        <w:p w14:paraId="5B4FA8FA" w14:textId="0FB2E4E1"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15" w:history="1">
            <w:r w:rsidRPr="00DD46C0">
              <w:rPr>
                <w:rStyle w:val="Hyperlink"/>
                <w:noProof/>
              </w:rPr>
              <w:t>Recommendations</w:t>
            </w:r>
            <w:r>
              <w:rPr>
                <w:noProof/>
                <w:webHidden/>
              </w:rPr>
              <w:tab/>
            </w:r>
            <w:r>
              <w:rPr>
                <w:noProof/>
                <w:webHidden/>
              </w:rPr>
              <w:fldChar w:fldCharType="begin"/>
            </w:r>
            <w:r>
              <w:rPr>
                <w:noProof/>
                <w:webHidden/>
              </w:rPr>
              <w:instrText xml:space="preserve"> PAGEREF _Toc195435215 \h </w:instrText>
            </w:r>
            <w:r>
              <w:rPr>
                <w:noProof/>
                <w:webHidden/>
              </w:rPr>
            </w:r>
            <w:r>
              <w:rPr>
                <w:noProof/>
                <w:webHidden/>
              </w:rPr>
              <w:fldChar w:fldCharType="separate"/>
            </w:r>
            <w:r>
              <w:rPr>
                <w:noProof/>
                <w:webHidden/>
              </w:rPr>
              <w:t>5</w:t>
            </w:r>
            <w:r>
              <w:rPr>
                <w:noProof/>
                <w:webHidden/>
              </w:rPr>
              <w:fldChar w:fldCharType="end"/>
            </w:r>
          </w:hyperlink>
        </w:p>
        <w:p w14:paraId="1A1257D6" w14:textId="1B900EB4"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16" w:history="1">
            <w:r w:rsidRPr="00DD46C0">
              <w:rPr>
                <w:rStyle w:val="Hyperlink"/>
                <w:noProof/>
              </w:rPr>
              <w:t>Introduction to the White Paper</w:t>
            </w:r>
            <w:r>
              <w:rPr>
                <w:noProof/>
                <w:webHidden/>
              </w:rPr>
              <w:tab/>
            </w:r>
            <w:r>
              <w:rPr>
                <w:noProof/>
                <w:webHidden/>
              </w:rPr>
              <w:fldChar w:fldCharType="begin"/>
            </w:r>
            <w:r>
              <w:rPr>
                <w:noProof/>
                <w:webHidden/>
              </w:rPr>
              <w:instrText xml:space="preserve"> PAGEREF _Toc195435216 \h </w:instrText>
            </w:r>
            <w:r>
              <w:rPr>
                <w:noProof/>
                <w:webHidden/>
              </w:rPr>
            </w:r>
            <w:r>
              <w:rPr>
                <w:noProof/>
                <w:webHidden/>
              </w:rPr>
              <w:fldChar w:fldCharType="separate"/>
            </w:r>
            <w:r>
              <w:rPr>
                <w:noProof/>
                <w:webHidden/>
              </w:rPr>
              <w:t>6</w:t>
            </w:r>
            <w:r>
              <w:rPr>
                <w:noProof/>
                <w:webHidden/>
              </w:rPr>
              <w:fldChar w:fldCharType="end"/>
            </w:r>
          </w:hyperlink>
        </w:p>
        <w:p w14:paraId="4CC07E7D" w14:textId="25BEAD57" w:rsidR="00FF1104" w:rsidRDefault="00FF1104">
          <w:pPr>
            <w:pStyle w:val="TOC3"/>
            <w:rPr>
              <w:rFonts w:asciiTheme="minorHAnsi" w:eastAsiaTheme="minorEastAsia" w:hAnsiTheme="minorHAnsi"/>
              <w:noProof/>
              <w:kern w:val="2"/>
              <w:sz w:val="24"/>
              <w:szCs w:val="24"/>
              <w14:ligatures w14:val="standardContextual"/>
            </w:rPr>
          </w:pPr>
          <w:hyperlink w:anchor="_Toc195435217" w:history="1">
            <w:r w:rsidRPr="00DD46C0">
              <w:rPr>
                <w:rStyle w:val="Hyperlink"/>
                <w:noProof/>
              </w:rPr>
              <w:t>Preparation</w:t>
            </w:r>
            <w:r>
              <w:rPr>
                <w:noProof/>
                <w:webHidden/>
              </w:rPr>
              <w:tab/>
            </w:r>
            <w:r>
              <w:rPr>
                <w:noProof/>
                <w:webHidden/>
              </w:rPr>
              <w:fldChar w:fldCharType="begin"/>
            </w:r>
            <w:r>
              <w:rPr>
                <w:noProof/>
                <w:webHidden/>
              </w:rPr>
              <w:instrText xml:space="preserve"> PAGEREF _Toc195435217 \h </w:instrText>
            </w:r>
            <w:r>
              <w:rPr>
                <w:noProof/>
                <w:webHidden/>
              </w:rPr>
            </w:r>
            <w:r>
              <w:rPr>
                <w:noProof/>
                <w:webHidden/>
              </w:rPr>
              <w:fldChar w:fldCharType="separate"/>
            </w:r>
            <w:r>
              <w:rPr>
                <w:noProof/>
                <w:webHidden/>
              </w:rPr>
              <w:t>6</w:t>
            </w:r>
            <w:r>
              <w:rPr>
                <w:noProof/>
                <w:webHidden/>
              </w:rPr>
              <w:fldChar w:fldCharType="end"/>
            </w:r>
          </w:hyperlink>
        </w:p>
        <w:p w14:paraId="0FC161C5" w14:textId="5F683361" w:rsidR="00FF1104" w:rsidRDefault="00FF1104">
          <w:pPr>
            <w:pStyle w:val="TOC3"/>
            <w:rPr>
              <w:rFonts w:asciiTheme="minorHAnsi" w:eastAsiaTheme="minorEastAsia" w:hAnsiTheme="minorHAnsi"/>
              <w:noProof/>
              <w:kern w:val="2"/>
              <w:sz w:val="24"/>
              <w:szCs w:val="24"/>
              <w14:ligatures w14:val="standardContextual"/>
            </w:rPr>
          </w:pPr>
          <w:hyperlink w:anchor="_Toc195435218" w:history="1">
            <w:r w:rsidRPr="00DD46C0">
              <w:rPr>
                <w:rStyle w:val="Hyperlink"/>
                <w:noProof/>
              </w:rPr>
              <w:t>Reasons</w:t>
            </w:r>
            <w:r>
              <w:rPr>
                <w:noProof/>
                <w:webHidden/>
              </w:rPr>
              <w:tab/>
            </w:r>
            <w:r>
              <w:rPr>
                <w:noProof/>
                <w:webHidden/>
              </w:rPr>
              <w:fldChar w:fldCharType="begin"/>
            </w:r>
            <w:r>
              <w:rPr>
                <w:noProof/>
                <w:webHidden/>
              </w:rPr>
              <w:instrText xml:space="preserve"> PAGEREF _Toc195435218 \h </w:instrText>
            </w:r>
            <w:r>
              <w:rPr>
                <w:noProof/>
                <w:webHidden/>
              </w:rPr>
            </w:r>
            <w:r>
              <w:rPr>
                <w:noProof/>
                <w:webHidden/>
              </w:rPr>
              <w:fldChar w:fldCharType="separate"/>
            </w:r>
            <w:r>
              <w:rPr>
                <w:noProof/>
                <w:webHidden/>
              </w:rPr>
              <w:t>6</w:t>
            </w:r>
            <w:r>
              <w:rPr>
                <w:noProof/>
                <w:webHidden/>
              </w:rPr>
              <w:fldChar w:fldCharType="end"/>
            </w:r>
          </w:hyperlink>
        </w:p>
        <w:p w14:paraId="08D08CAD" w14:textId="64756888" w:rsidR="00FF1104" w:rsidRDefault="00FF1104">
          <w:pPr>
            <w:pStyle w:val="TOC3"/>
            <w:rPr>
              <w:rFonts w:asciiTheme="minorHAnsi" w:eastAsiaTheme="minorEastAsia" w:hAnsiTheme="minorHAnsi"/>
              <w:noProof/>
              <w:kern w:val="2"/>
              <w:sz w:val="24"/>
              <w:szCs w:val="24"/>
              <w14:ligatures w14:val="standardContextual"/>
            </w:rPr>
          </w:pPr>
          <w:hyperlink w:anchor="_Toc195435219" w:history="1">
            <w:r w:rsidRPr="00DD46C0">
              <w:rPr>
                <w:rStyle w:val="Hyperlink"/>
                <w:noProof/>
              </w:rPr>
              <w:t>Scope</w:t>
            </w:r>
            <w:r>
              <w:rPr>
                <w:noProof/>
                <w:webHidden/>
              </w:rPr>
              <w:tab/>
            </w:r>
            <w:r>
              <w:rPr>
                <w:noProof/>
                <w:webHidden/>
              </w:rPr>
              <w:fldChar w:fldCharType="begin"/>
            </w:r>
            <w:r>
              <w:rPr>
                <w:noProof/>
                <w:webHidden/>
              </w:rPr>
              <w:instrText xml:space="preserve"> PAGEREF _Toc195435219 \h </w:instrText>
            </w:r>
            <w:r>
              <w:rPr>
                <w:noProof/>
                <w:webHidden/>
              </w:rPr>
            </w:r>
            <w:r>
              <w:rPr>
                <w:noProof/>
                <w:webHidden/>
              </w:rPr>
              <w:fldChar w:fldCharType="separate"/>
            </w:r>
            <w:r>
              <w:rPr>
                <w:noProof/>
                <w:webHidden/>
              </w:rPr>
              <w:t>6</w:t>
            </w:r>
            <w:r>
              <w:rPr>
                <w:noProof/>
                <w:webHidden/>
              </w:rPr>
              <w:fldChar w:fldCharType="end"/>
            </w:r>
          </w:hyperlink>
        </w:p>
        <w:p w14:paraId="43B16E9D" w14:textId="6E76050E" w:rsidR="00FF1104" w:rsidRDefault="00FF1104">
          <w:pPr>
            <w:pStyle w:val="TOC3"/>
            <w:rPr>
              <w:rFonts w:asciiTheme="minorHAnsi" w:eastAsiaTheme="minorEastAsia" w:hAnsiTheme="minorHAnsi"/>
              <w:noProof/>
              <w:kern w:val="2"/>
              <w:sz w:val="24"/>
              <w:szCs w:val="24"/>
              <w14:ligatures w14:val="standardContextual"/>
            </w:rPr>
          </w:pPr>
          <w:hyperlink w:anchor="_Toc195435220" w:history="1">
            <w:r w:rsidRPr="00DD46C0">
              <w:rPr>
                <w:rStyle w:val="Hyperlink"/>
                <w:noProof/>
              </w:rPr>
              <w:t>Approach</w:t>
            </w:r>
            <w:r>
              <w:rPr>
                <w:noProof/>
                <w:webHidden/>
              </w:rPr>
              <w:tab/>
            </w:r>
            <w:r>
              <w:rPr>
                <w:noProof/>
                <w:webHidden/>
              </w:rPr>
              <w:fldChar w:fldCharType="begin"/>
            </w:r>
            <w:r>
              <w:rPr>
                <w:noProof/>
                <w:webHidden/>
              </w:rPr>
              <w:instrText xml:space="preserve"> PAGEREF _Toc195435220 \h </w:instrText>
            </w:r>
            <w:r>
              <w:rPr>
                <w:noProof/>
                <w:webHidden/>
              </w:rPr>
            </w:r>
            <w:r>
              <w:rPr>
                <w:noProof/>
                <w:webHidden/>
              </w:rPr>
              <w:fldChar w:fldCharType="separate"/>
            </w:r>
            <w:r>
              <w:rPr>
                <w:noProof/>
                <w:webHidden/>
              </w:rPr>
              <w:t>6</w:t>
            </w:r>
            <w:r>
              <w:rPr>
                <w:noProof/>
                <w:webHidden/>
              </w:rPr>
              <w:fldChar w:fldCharType="end"/>
            </w:r>
          </w:hyperlink>
        </w:p>
        <w:p w14:paraId="08ED457F" w14:textId="5E6CD143"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21" w:history="1">
            <w:r w:rsidRPr="00DD46C0">
              <w:rPr>
                <w:rStyle w:val="Hyperlink"/>
                <w:noProof/>
              </w:rPr>
              <w:t>Executive Summary</w:t>
            </w:r>
            <w:r>
              <w:rPr>
                <w:noProof/>
                <w:webHidden/>
              </w:rPr>
              <w:tab/>
            </w:r>
            <w:r>
              <w:rPr>
                <w:noProof/>
                <w:webHidden/>
              </w:rPr>
              <w:fldChar w:fldCharType="begin"/>
            </w:r>
            <w:r>
              <w:rPr>
                <w:noProof/>
                <w:webHidden/>
              </w:rPr>
              <w:instrText xml:space="preserve"> PAGEREF _Toc195435221 \h </w:instrText>
            </w:r>
            <w:r>
              <w:rPr>
                <w:noProof/>
                <w:webHidden/>
              </w:rPr>
            </w:r>
            <w:r>
              <w:rPr>
                <w:noProof/>
                <w:webHidden/>
              </w:rPr>
              <w:fldChar w:fldCharType="separate"/>
            </w:r>
            <w:r>
              <w:rPr>
                <w:noProof/>
                <w:webHidden/>
              </w:rPr>
              <w:t>7</w:t>
            </w:r>
            <w:r>
              <w:rPr>
                <w:noProof/>
                <w:webHidden/>
              </w:rPr>
              <w:fldChar w:fldCharType="end"/>
            </w:r>
          </w:hyperlink>
        </w:p>
        <w:p w14:paraId="118FBF0E" w14:textId="650D93B7"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22" w:history="1">
            <w:r w:rsidRPr="00DD46C0">
              <w:rPr>
                <w:rStyle w:val="Hyperlink"/>
                <w:noProof/>
              </w:rPr>
              <w:t>Section I. Important Context for Understanding the Issues</w:t>
            </w:r>
            <w:r>
              <w:rPr>
                <w:noProof/>
                <w:webHidden/>
              </w:rPr>
              <w:tab/>
            </w:r>
            <w:r>
              <w:rPr>
                <w:noProof/>
                <w:webHidden/>
              </w:rPr>
              <w:fldChar w:fldCharType="begin"/>
            </w:r>
            <w:r>
              <w:rPr>
                <w:noProof/>
                <w:webHidden/>
              </w:rPr>
              <w:instrText xml:space="preserve"> PAGEREF _Toc195435222 \h </w:instrText>
            </w:r>
            <w:r>
              <w:rPr>
                <w:noProof/>
                <w:webHidden/>
              </w:rPr>
            </w:r>
            <w:r>
              <w:rPr>
                <w:noProof/>
                <w:webHidden/>
              </w:rPr>
              <w:fldChar w:fldCharType="separate"/>
            </w:r>
            <w:r>
              <w:rPr>
                <w:noProof/>
                <w:webHidden/>
              </w:rPr>
              <w:t>8</w:t>
            </w:r>
            <w:r>
              <w:rPr>
                <w:noProof/>
                <w:webHidden/>
              </w:rPr>
              <w:fldChar w:fldCharType="end"/>
            </w:r>
          </w:hyperlink>
        </w:p>
        <w:p w14:paraId="52A12C1D" w14:textId="068169D3"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23" w:history="1">
            <w:r w:rsidRPr="00DD46C0">
              <w:rPr>
                <w:rStyle w:val="Hyperlink"/>
                <w:noProof/>
              </w:rPr>
              <w:t>I.A. Examples of Issues and Common Questions</w:t>
            </w:r>
            <w:r>
              <w:rPr>
                <w:noProof/>
                <w:webHidden/>
              </w:rPr>
              <w:tab/>
            </w:r>
            <w:r>
              <w:rPr>
                <w:noProof/>
                <w:webHidden/>
              </w:rPr>
              <w:fldChar w:fldCharType="begin"/>
            </w:r>
            <w:r>
              <w:rPr>
                <w:noProof/>
                <w:webHidden/>
              </w:rPr>
              <w:instrText xml:space="preserve"> PAGEREF _Toc195435223 \h </w:instrText>
            </w:r>
            <w:r>
              <w:rPr>
                <w:noProof/>
                <w:webHidden/>
              </w:rPr>
            </w:r>
            <w:r>
              <w:rPr>
                <w:noProof/>
                <w:webHidden/>
              </w:rPr>
              <w:fldChar w:fldCharType="separate"/>
            </w:r>
            <w:r>
              <w:rPr>
                <w:noProof/>
                <w:webHidden/>
              </w:rPr>
              <w:t>8</w:t>
            </w:r>
            <w:r>
              <w:rPr>
                <w:noProof/>
                <w:webHidden/>
              </w:rPr>
              <w:fldChar w:fldCharType="end"/>
            </w:r>
          </w:hyperlink>
        </w:p>
        <w:p w14:paraId="0C263EF0" w14:textId="443085CB" w:rsidR="00FF1104" w:rsidRDefault="00FF1104">
          <w:pPr>
            <w:pStyle w:val="TOC3"/>
            <w:rPr>
              <w:rFonts w:asciiTheme="minorHAnsi" w:eastAsiaTheme="minorEastAsia" w:hAnsiTheme="minorHAnsi"/>
              <w:noProof/>
              <w:kern w:val="2"/>
              <w:sz w:val="24"/>
              <w:szCs w:val="24"/>
              <w14:ligatures w14:val="standardContextual"/>
            </w:rPr>
          </w:pPr>
          <w:hyperlink w:anchor="_Toc195435224" w:history="1">
            <w:r w:rsidRPr="00DD46C0">
              <w:rPr>
                <w:rStyle w:val="Hyperlink"/>
                <w:noProof/>
              </w:rPr>
              <w:t>State Rules for Sourcing Multistate Income – Generally</w:t>
            </w:r>
            <w:r>
              <w:rPr>
                <w:noProof/>
                <w:webHidden/>
              </w:rPr>
              <w:tab/>
            </w:r>
            <w:r>
              <w:rPr>
                <w:noProof/>
                <w:webHidden/>
              </w:rPr>
              <w:fldChar w:fldCharType="begin"/>
            </w:r>
            <w:r>
              <w:rPr>
                <w:noProof/>
                <w:webHidden/>
              </w:rPr>
              <w:instrText xml:space="preserve"> PAGEREF _Toc195435224 \h </w:instrText>
            </w:r>
            <w:r>
              <w:rPr>
                <w:noProof/>
                <w:webHidden/>
              </w:rPr>
            </w:r>
            <w:r>
              <w:rPr>
                <w:noProof/>
                <w:webHidden/>
              </w:rPr>
              <w:fldChar w:fldCharType="separate"/>
            </w:r>
            <w:r>
              <w:rPr>
                <w:noProof/>
                <w:webHidden/>
              </w:rPr>
              <w:t>8</w:t>
            </w:r>
            <w:r>
              <w:rPr>
                <w:noProof/>
                <w:webHidden/>
              </w:rPr>
              <w:fldChar w:fldCharType="end"/>
            </w:r>
          </w:hyperlink>
        </w:p>
        <w:p w14:paraId="32492DF8" w14:textId="6156E2E2" w:rsidR="00FF1104" w:rsidRDefault="00FF1104">
          <w:pPr>
            <w:pStyle w:val="TOC3"/>
            <w:rPr>
              <w:rFonts w:asciiTheme="minorHAnsi" w:eastAsiaTheme="minorEastAsia" w:hAnsiTheme="minorHAnsi"/>
              <w:noProof/>
              <w:kern w:val="2"/>
              <w:sz w:val="24"/>
              <w:szCs w:val="24"/>
              <w14:ligatures w14:val="standardContextual"/>
            </w:rPr>
          </w:pPr>
          <w:hyperlink w:anchor="_Toc195435225" w:history="1">
            <w:r w:rsidRPr="00DD46C0">
              <w:rPr>
                <w:rStyle w:val="Hyperlink"/>
                <w:noProof/>
              </w:rPr>
              <w:t>Treatment of Related Entities - Generally</w:t>
            </w:r>
            <w:r>
              <w:rPr>
                <w:noProof/>
                <w:webHidden/>
              </w:rPr>
              <w:tab/>
            </w:r>
            <w:r>
              <w:rPr>
                <w:noProof/>
                <w:webHidden/>
              </w:rPr>
              <w:fldChar w:fldCharType="begin"/>
            </w:r>
            <w:r>
              <w:rPr>
                <w:noProof/>
                <w:webHidden/>
              </w:rPr>
              <w:instrText xml:space="preserve"> PAGEREF _Toc195435225 \h </w:instrText>
            </w:r>
            <w:r>
              <w:rPr>
                <w:noProof/>
                <w:webHidden/>
              </w:rPr>
            </w:r>
            <w:r>
              <w:rPr>
                <w:noProof/>
                <w:webHidden/>
              </w:rPr>
              <w:fldChar w:fldCharType="separate"/>
            </w:r>
            <w:r>
              <w:rPr>
                <w:noProof/>
                <w:webHidden/>
              </w:rPr>
              <w:t>8</w:t>
            </w:r>
            <w:r>
              <w:rPr>
                <w:noProof/>
                <w:webHidden/>
              </w:rPr>
              <w:fldChar w:fldCharType="end"/>
            </w:r>
          </w:hyperlink>
        </w:p>
        <w:p w14:paraId="3C754016" w14:textId="26554DC2" w:rsidR="00FF1104" w:rsidRDefault="00FF1104">
          <w:pPr>
            <w:pStyle w:val="TOC3"/>
            <w:rPr>
              <w:rFonts w:asciiTheme="minorHAnsi" w:eastAsiaTheme="minorEastAsia" w:hAnsiTheme="minorHAnsi"/>
              <w:noProof/>
              <w:kern w:val="2"/>
              <w:sz w:val="24"/>
              <w:szCs w:val="24"/>
              <w14:ligatures w14:val="standardContextual"/>
            </w:rPr>
          </w:pPr>
          <w:hyperlink w:anchor="_Toc195435226" w:history="1">
            <w:r w:rsidRPr="00DD46C0">
              <w:rPr>
                <w:rStyle w:val="Hyperlink"/>
                <w:noProof/>
              </w:rPr>
              <w:t>Examples of Issues Created by the Pass-Through System</w:t>
            </w:r>
            <w:r>
              <w:rPr>
                <w:noProof/>
                <w:webHidden/>
              </w:rPr>
              <w:tab/>
            </w:r>
            <w:r>
              <w:rPr>
                <w:noProof/>
                <w:webHidden/>
              </w:rPr>
              <w:fldChar w:fldCharType="begin"/>
            </w:r>
            <w:r>
              <w:rPr>
                <w:noProof/>
                <w:webHidden/>
              </w:rPr>
              <w:instrText xml:space="preserve"> PAGEREF _Toc195435226 \h </w:instrText>
            </w:r>
            <w:r>
              <w:rPr>
                <w:noProof/>
                <w:webHidden/>
              </w:rPr>
            </w:r>
            <w:r>
              <w:rPr>
                <w:noProof/>
                <w:webHidden/>
              </w:rPr>
              <w:fldChar w:fldCharType="separate"/>
            </w:r>
            <w:r>
              <w:rPr>
                <w:noProof/>
                <w:webHidden/>
              </w:rPr>
              <w:t>9</w:t>
            </w:r>
            <w:r>
              <w:rPr>
                <w:noProof/>
                <w:webHidden/>
              </w:rPr>
              <w:fldChar w:fldCharType="end"/>
            </w:r>
          </w:hyperlink>
        </w:p>
        <w:p w14:paraId="79286049" w14:textId="77C675B0" w:rsidR="00FF1104" w:rsidRDefault="00FF1104">
          <w:pPr>
            <w:pStyle w:val="TOC3"/>
            <w:rPr>
              <w:rFonts w:asciiTheme="minorHAnsi" w:eastAsiaTheme="minorEastAsia" w:hAnsiTheme="minorHAnsi"/>
              <w:noProof/>
              <w:kern w:val="2"/>
              <w:sz w:val="24"/>
              <w:szCs w:val="24"/>
              <w14:ligatures w14:val="standardContextual"/>
            </w:rPr>
          </w:pPr>
          <w:hyperlink w:anchor="_Toc195435227" w:history="1">
            <w:r w:rsidRPr="00DD46C0">
              <w:rPr>
                <w:rStyle w:val="Hyperlink"/>
                <w:noProof/>
              </w:rPr>
              <w:t>Summary of Some Common Questions</w:t>
            </w:r>
            <w:r>
              <w:rPr>
                <w:noProof/>
                <w:webHidden/>
              </w:rPr>
              <w:tab/>
            </w:r>
            <w:r>
              <w:rPr>
                <w:noProof/>
                <w:webHidden/>
              </w:rPr>
              <w:fldChar w:fldCharType="begin"/>
            </w:r>
            <w:r>
              <w:rPr>
                <w:noProof/>
                <w:webHidden/>
              </w:rPr>
              <w:instrText xml:space="preserve"> PAGEREF _Toc195435227 \h </w:instrText>
            </w:r>
            <w:r>
              <w:rPr>
                <w:noProof/>
                <w:webHidden/>
              </w:rPr>
            </w:r>
            <w:r>
              <w:rPr>
                <w:noProof/>
                <w:webHidden/>
              </w:rPr>
              <w:fldChar w:fldCharType="separate"/>
            </w:r>
            <w:r>
              <w:rPr>
                <w:noProof/>
                <w:webHidden/>
              </w:rPr>
              <w:t>11</w:t>
            </w:r>
            <w:r>
              <w:rPr>
                <w:noProof/>
                <w:webHidden/>
              </w:rPr>
              <w:fldChar w:fldCharType="end"/>
            </w:r>
          </w:hyperlink>
        </w:p>
        <w:p w14:paraId="1D02B7A0" w14:textId="6C141522"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28" w:history="1">
            <w:r w:rsidRPr="00DD46C0">
              <w:rPr>
                <w:rStyle w:val="Hyperlink"/>
                <w:noProof/>
              </w:rPr>
              <w:t>I. B. Overview of Important Law</w:t>
            </w:r>
            <w:r>
              <w:rPr>
                <w:noProof/>
                <w:webHidden/>
              </w:rPr>
              <w:tab/>
            </w:r>
            <w:r>
              <w:rPr>
                <w:noProof/>
                <w:webHidden/>
              </w:rPr>
              <w:fldChar w:fldCharType="begin"/>
            </w:r>
            <w:r>
              <w:rPr>
                <w:noProof/>
                <w:webHidden/>
              </w:rPr>
              <w:instrText xml:space="preserve"> PAGEREF _Toc195435228 \h </w:instrText>
            </w:r>
            <w:r>
              <w:rPr>
                <w:noProof/>
                <w:webHidden/>
              </w:rPr>
            </w:r>
            <w:r>
              <w:rPr>
                <w:noProof/>
                <w:webHidden/>
              </w:rPr>
              <w:fldChar w:fldCharType="separate"/>
            </w:r>
            <w:r>
              <w:rPr>
                <w:noProof/>
                <w:webHidden/>
              </w:rPr>
              <w:t>11</w:t>
            </w:r>
            <w:r>
              <w:rPr>
                <w:noProof/>
                <w:webHidden/>
              </w:rPr>
              <w:fldChar w:fldCharType="end"/>
            </w:r>
          </w:hyperlink>
        </w:p>
        <w:p w14:paraId="0C4B2635" w14:textId="6C29A1D2" w:rsidR="00FF1104" w:rsidRDefault="00FF1104">
          <w:pPr>
            <w:pStyle w:val="TOC3"/>
            <w:rPr>
              <w:rFonts w:asciiTheme="minorHAnsi" w:eastAsiaTheme="minorEastAsia" w:hAnsiTheme="minorHAnsi"/>
              <w:noProof/>
              <w:kern w:val="2"/>
              <w:sz w:val="24"/>
              <w:szCs w:val="24"/>
              <w14:ligatures w14:val="standardContextual"/>
            </w:rPr>
          </w:pPr>
          <w:hyperlink w:anchor="_Toc195435229" w:history="1">
            <w:r w:rsidRPr="00DD46C0">
              <w:rPr>
                <w:rStyle w:val="Hyperlink"/>
                <w:noProof/>
              </w:rPr>
              <w:t>State Laws Governing Formation</w:t>
            </w:r>
            <w:r>
              <w:rPr>
                <w:noProof/>
                <w:webHidden/>
              </w:rPr>
              <w:tab/>
            </w:r>
            <w:r>
              <w:rPr>
                <w:noProof/>
                <w:webHidden/>
              </w:rPr>
              <w:fldChar w:fldCharType="begin"/>
            </w:r>
            <w:r>
              <w:rPr>
                <w:noProof/>
                <w:webHidden/>
              </w:rPr>
              <w:instrText xml:space="preserve"> PAGEREF _Toc195435229 \h </w:instrText>
            </w:r>
            <w:r>
              <w:rPr>
                <w:noProof/>
                <w:webHidden/>
              </w:rPr>
            </w:r>
            <w:r>
              <w:rPr>
                <w:noProof/>
                <w:webHidden/>
              </w:rPr>
              <w:fldChar w:fldCharType="separate"/>
            </w:r>
            <w:r>
              <w:rPr>
                <w:noProof/>
                <w:webHidden/>
              </w:rPr>
              <w:t>12</w:t>
            </w:r>
            <w:r>
              <w:rPr>
                <w:noProof/>
                <w:webHidden/>
              </w:rPr>
              <w:fldChar w:fldCharType="end"/>
            </w:r>
          </w:hyperlink>
        </w:p>
        <w:p w14:paraId="3A0571C2" w14:textId="306A4E9D" w:rsidR="00FF1104" w:rsidRDefault="00FF1104">
          <w:pPr>
            <w:pStyle w:val="TOC3"/>
            <w:rPr>
              <w:rFonts w:asciiTheme="minorHAnsi" w:eastAsiaTheme="minorEastAsia" w:hAnsiTheme="minorHAnsi"/>
              <w:noProof/>
              <w:kern w:val="2"/>
              <w:sz w:val="24"/>
              <w:szCs w:val="24"/>
              <w14:ligatures w14:val="standardContextual"/>
            </w:rPr>
          </w:pPr>
          <w:hyperlink w:anchor="_Toc195435230" w:history="1">
            <w:r w:rsidRPr="00DD46C0">
              <w:rPr>
                <w:rStyle w:val="Hyperlink"/>
                <w:noProof/>
              </w:rPr>
              <w:t>Federal Tax Law - Generally</w:t>
            </w:r>
            <w:r>
              <w:rPr>
                <w:noProof/>
                <w:webHidden/>
              </w:rPr>
              <w:tab/>
            </w:r>
            <w:r>
              <w:rPr>
                <w:noProof/>
                <w:webHidden/>
              </w:rPr>
              <w:fldChar w:fldCharType="begin"/>
            </w:r>
            <w:r>
              <w:rPr>
                <w:noProof/>
                <w:webHidden/>
              </w:rPr>
              <w:instrText xml:space="preserve"> PAGEREF _Toc195435230 \h </w:instrText>
            </w:r>
            <w:r>
              <w:rPr>
                <w:noProof/>
                <w:webHidden/>
              </w:rPr>
            </w:r>
            <w:r>
              <w:rPr>
                <w:noProof/>
                <w:webHidden/>
              </w:rPr>
              <w:fldChar w:fldCharType="separate"/>
            </w:r>
            <w:r>
              <w:rPr>
                <w:noProof/>
                <w:webHidden/>
              </w:rPr>
              <w:t>14</w:t>
            </w:r>
            <w:r>
              <w:rPr>
                <w:noProof/>
                <w:webHidden/>
              </w:rPr>
              <w:fldChar w:fldCharType="end"/>
            </w:r>
          </w:hyperlink>
        </w:p>
        <w:p w14:paraId="7DE9E349" w14:textId="71C83163" w:rsidR="00FF1104" w:rsidRDefault="00FF1104">
          <w:pPr>
            <w:pStyle w:val="TOC3"/>
            <w:rPr>
              <w:rFonts w:asciiTheme="minorHAnsi" w:eastAsiaTheme="minorEastAsia" w:hAnsiTheme="minorHAnsi"/>
              <w:noProof/>
              <w:kern w:val="2"/>
              <w:sz w:val="24"/>
              <w:szCs w:val="24"/>
              <w14:ligatures w14:val="standardContextual"/>
            </w:rPr>
          </w:pPr>
          <w:hyperlink w:anchor="_Toc195435231" w:history="1">
            <w:r w:rsidRPr="00DD46C0">
              <w:rPr>
                <w:rStyle w:val="Hyperlink"/>
                <w:noProof/>
              </w:rPr>
              <w:t>State Tax Sourcing Rules - Generally</w:t>
            </w:r>
            <w:r>
              <w:rPr>
                <w:noProof/>
                <w:webHidden/>
              </w:rPr>
              <w:tab/>
            </w:r>
            <w:r>
              <w:rPr>
                <w:noProof/>
                <w:webHidden/>
              </w:rPr>
              <w:fldChar w:fldCharType="begin"/>
            </w:r>
            <w:r>
              <w:rPr>
                <w:noProof/>
                <w:webHidden/>
              </w:rPr>
              <w:instrText xml:space="preserve"> PAGEREF _Toc195435231 \h </w:instrText>
            </w:r>
            <w:r>
              <w:rPr>
                <w:noProof/>
                <w:webHidden/>
              </w:rPr>
            </w:r>
            <w:r>
              <w:rPr>
                <w:noProof/>
                <w:webHidden/>
              </w:rPr>
              <w:fldChar w:fldCharType="separate"/>
            </w:r>
            <w:r>
              <w:rPr>
                <w:noProof/>
                <w:webHidden/>
              </w:rPr>
              <w:t>14</w:t>
            </w:r>
            <w:r>
              <w:rPr>
                <w:noProof/>
                <w:webHidden/>
              </w:rPr>
              <w:fldChar w:fldCharType="end"/>
            </w:r>
          </w:hyperlink>
        </w:p>
        <w:p w14:paraId="10C1501F" w14:textId="416B949C" w:rsidR="00FF1104" w:rsidRDefault="00FF1104">
          <w:pPr>
            <w:pStyle w:val="TOC3"/>
            <w:rPr>
              <w:rFonts w:asciiTheme="minorHAnsi" w:eastAsiaTheme="minorEastAsia" w:hAnsiTheme="minorHAnsi"/>
              <w:noProof/>
              <w:kern w:val="2"/>
              <w:sz w:val="24"/>
              <w:szCs w:val="24"/>
              <w14:ligatures w14:val="standardContextual"/>
            </w:rPr>
          </w:pPr>
          <w:hyperlink w:anchor="_Toc195435232" w:history="1">
            <w:r w:rsidRPr="00DD46C0">
              <w:rPr>
                <w:rStyle w:val="Hyperlink"/>
                <w:noProof/>
              </w:rPr>
              <w:t>Interactions Between These Three Categories of Law</w:t>
            </w:r>
            <w:r>
              <w:rPr>
                <w:noProof/>
                <w:webHidden/>
              </w:rPr>
              <w:tab/>
            </w:r>
            <w:r>
              <w:rPr>
                <w:noProof/>
                <w:webHidden/>
              </w:rPr>
              <w:fldChar w:fldCharType="begin"/>
            </w:r>
            <w:r>
              <w:rPr>
                <w:noProof/>
                <w:webHidden/>
              </w:rPr>
              <w:instrText xml:space="preserve"> PAGEREF _Toc195435232 \h </w:instrText>
            </w:r>
            <w:r>
              <w:rPr>
                <w:noProof/>
                <w:webHidden/>
              </w:rPr>
            </w:r>
            <w:r>
              <w:rPr>
                <w:noProof/>
                <w:webHidden/>
              </w:rPr>
              <w:fldChar w:fldCharType="separate"/>
            </w:r>
            <w:r>
              <w:rPr>
                <w:noProof/>
                <w:webHidden/>
              </w:rPr>
              <w:t>14</w:t>
            </w:r>
            <w:r>
              <w:rPr>
                <w:noProof/>
                <w:webHidden/>
              </w:rPr>
              <w:fldChar w:fldCharType="end"/>
            </w:r>
          </w:hyperlink>
        </w:p>
        <w:p w14:paraId="632B7E9D" w14:textId="0B7C60E3"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33" w:history="1">
            <w:r w:rsidRPr="00DD46C0">
              <w:rPr>
                <w:rStyle w:val="Hyperlink"/>
                <w:noProof/>
              </w:rPr>
              <w:t>I. C. Common Terms Used in the White Paper</w:t>
            </w:r>
            <w:r>
              <w:rPr>
                <w:noProof/>
                <w:webHidden/>
              </w:rPr>
              <w:tab/>
            </w:r>
            <w:r>
              <w:rPr>
                <w:noProof/>
                <w:webHidden/>
              </w:rPr>
              <w:fldChar w:fldCharType="begin"/>
            </w:r>
            <w:r>
              <w:rPr>
                <w:noProof/>
                <w:webHidden/>
              </w:rPr>
              <w:instrText xml:space="preserve"> PAGEREF _Toc195435233 \h </w:instrText>
            </w:r>
            <w:r>
              <w:rPr>
                <w:noProof/>
                <w:webHidden/>
              </w:rPr>
            </w:r>
            <w:r>
              <w:rPr>
                <w:noProof/>
                <w:webHidden/>
              </w:rPr>
              <w:fldChar w:fldCharType="separate"/>
            </w:r>
            <w:r>
              <w:rPr>
                <w:noProof/>
                <w:webHidden/>
              </w:rPr>
              <w:t>15</w:t>
            </w:r>
            <w:r>
              <w:rPr>
                <w:noProof/>
                <w:webHidden/>
              </w:rPr>
              <w:fldChar w:fldCharType="end"/>
            </w:r>
          </w:hyperlink>
        </w:p>
        <w:p w14:paraId="16A54692" w14:textId="117BD9D7" w:rsidR="00FF1104" w:rsidRDefault="00FF1104">
          <w:pPr>
            <w:pStyle w:val="TOC3"/>
            <w:rPr>
              <w:rFonts w:asciiTheme="minorHAnsi" w:eastAsiaTheme="minorEastAsia" w:hAnsiTheme="minorHAnsi"/>
              <w:noProof/>
              <w:kern w:val="2"/>
              <w:sz w:val="24"/>
              <w:szCs w:val="24"/>
              <w14:ligatures w14:val="standardContextual"/>
            </w:rPr>
          </w:pPr>
          <w:hyperlink w:anchor="_Toc195435234" w:history="1">
            <w:r w:rsidRPr="00DD46C0">
              <w:rPr>
                <w:rStyle w:val="Hyperlink"/>
                <w:noProof/>
              </w:rPr>
              <w:t>Terms Used Consistently with Subchapter K and Federal Tax</w:t>
            </w:r>
            <w:r>
              <w:rPr>
                <w:noProof/>
                <w:webHidden/>
              </w:rPr>
              <w:tab/>
            </w:r>
            <w:r>
              <w:rPr>
                <w:noProof/>
                <w:webHidden/>
              </w:rPr>
              <w:fldChar w:fldCharType="begin"/>
            </w:r>
            <w:r>
              <w:rPr>
                <w:noProof/>
                <w:webHidden/>
              </w:rPr>
              <w:instrText xml:space="preserve"> PAGEREF _Toc195435234 \h </w:instrText>
            </w:r>
            <w:r>
              <w:rPr>
                <w:noProof/>
                <w:webHidden/>
              </w:rPr>
            </w:r>
            <w:r>
              <w:rPr>
                <w:noProof/>
                <w:webHidden/>
              </w:rPr>
              <w:fldChar w:fldCharType="separate"/>
            </w:r>
            <w:r>
              <w:rPr>
                <w:noProof/>
                <w:webHidden/>
              </w:rPr>
              <w:t>15</w:t>
            </w:r>
            <w:r>
              <w:rPr>
                <w:noProof/>
                <w:webHidden/>
              </w:rPr>
              <w:fldChar w:fldCharType="end"/>
            </w:r>
          </w:hyperlink>
        </w:p>
        <w:p w14:paraId="5D911A57" w14:textId="555A407E" w:rsidR="00FF1104" w:rsidRDefault="00FF1104">
          <w:pPr>
            <w:pStyle w:val="TOC3"/>
            <w:rPr>
              <w:rFonts w:asciiTheme="minorHAnsi" w:eastAsiaTheme="minorEastAsia" w:hAnsiTheme="minorHAnsi"/>
              <w:noProof/>
              <w:kern w:val="2"/>
              <w:sz w:val="24"/>
              <w:szCs w:val="24"/>
              <w14:ligatures w14:val="standardContextual"/>
            </w:rPr>
          </w:pPr>
          <w:hyperlink w:anchor="_Toc195435235" w:history="1">
            <w:r w:rsidRPr="00DD46C0">
              <w:rPr>
                <w:rStyle w:val="Hyperlink"/>
                <w:noProof/>
              </w:rPr>
              <w:t>Terms Used Consistently with State Governing Laws (ULC References)</w:t>
            </w:r>
            <w:r>
              <w:rPr>
                <w:noProof/>
                <w:webHidden/>
              </w:rPr>
              <w:tab/>
            </w:r>
            <w:r>
              <w:rPr>
                <w:noProof/>
                <w:webHidden/>
              </w:rPr>
              <w:fldChar w:fldCharType="begin"/>
            </w:r>
            <w:r>
              <w:rPr>
                <w:noProof/>
                <w:webHidden/>
              </w:rPr>
              <w:instrText xml:space="preserve"> PAGEREF _Toc195435235 \h </w:instrText>
            </w:r>
            <w:r>
              <w:rPr>
                <w:noProof/>
                <w:webHidden/>
              </w:rPr>
            </w:r>
            <w:r>
              <w:rPr>
                <w:noProof/>
                <w:webHidden/>
              </w:rPr>
              <w:fldChar w:fldCharType="separate"/>
            </w:r>
            <w:r>
              <w:rPr>
                <w:noProof/>
                <w:webHidden/>
              </w:rPr>
              <w:t>17</w:t>
            </w:r>
            <w:r>
              <w:rPr>
                <w:noProof/>
                <w:webHidden/>
              </w:rPr>
              <w:fldChar w:fldCharType="end"/>
            </w:r>
          </w:hyperlink>
        </w:p>
        <w:p w14:paraId="22AC6A80" w14:textId="0CBD933C" w:rsidR="00FF1104" w:rsidRDefault="00FF1104">
          <w:pPr>
            <w:pStyle w:val="TOC3"/>
            <w:rPr>
              <w:rFonts w:asciiTheme="minorHAnsi" w:eastAsiaTheme="minorEastAsia" w:hAnsiTheme="minorHAnsi"/>
              <w:noProof/>
              <w:kern w:val="2"/>
              <w:sz w:val="24"/>
              <w:szCs w:val="24"/>
              <w14:ligatures w14:val="standardContextual"/>
            </w:rPr>
          </w:pPr>
          <w:hyperlink w:anchor="_Toc195435236" w:history="1">
            <w:r w:rsidRPr="00DD46C0">
              <w:rPr>
                <w:rStyle w:val="Hyperlink"/>
                <w:noProof/>
              </w:rPr>
              <w:t>State Tax Sourcing Terms as Used in this White Paper</w:t>
            </w:r>
            <w:r>
              <w:rPr>
                <w:noProof/>
                <w:webHidden/>
              </w:rPr>
              <w:tab/>
            </w:r>
            <w:r>
              <w:rPr>
                <w:noProof/>
                <w:webHidden/>
              </w:rPr>
              <w:fldChar w:fldCharType="begin"/>
            </w:r>
            <w:r>
              <w:rPr>
                <w:noProof/>
                <w:webHidden/>
              </w:rPr>
              <w:instrText xml:space="preserve"> PAGEREF _Toc195435236 \h </w:instrText>
            </w:r>
            <w:r>
              <w:rPr>
                <w:noProof/>
                <w:webHidden/>
              </w:rPr>
            </w:r>
            <w:r>
              <w:rPr>
                <w:noProof/>
                <w:webHidden/>
              </w:rPr>
              <w:fldChar w:fldCharType="separate"/>
            </w:r>
            <w:r>
              <w:rPr>
                <w:noProof/>
                <w:webHidden/>
              </w:rPr>
              <w:t>17</w:t>
            </w:r>
            <w:r>
              <w:rPr>
                <w:noProof/>
                <w:webHidden/>
              </w:rPr>
              <w:fldChar w:fldCharType="end"/>
            </w:r>
          </w:hyperlink>
        </w:p>
        <w:p w14:paraId="4B7E83BF" w14:textId="3E96649A"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37" w:history="1">
            <w:r w:rsidRPr="00DD46C0">
              <w:rPr>
                <w:rStyle w:val="Hyperlink"/>
                <w:noProof/>
              </w:rPr>
              <w:t>I.D. Conformity to the Federal Pass-Through Tax System</w:t>
            </w:r>
            <w:r>
              <w:rPr>
                <w:noProof/>
                <w:webHidden/>
              </w:rPr>
              <w:tab/>
            </w:r>
            <w:r>
              <w:rPr>
                <w:noProof/>
                <w:webHidden/>
              </w:rPr>
              <w:fldChar w:fldCharType="begin"/>
            </w:r>
            <w:r>
              <w:rPr>
                <w:noProof/>
                <w:webHidden/>
              </w:rPr>
              <w:instrText xml:space="preserve"> PAGEREF _Toc195435237 \h </w:instrText>
            </w:r>
            <w:r>
              <w:rPr>
                <w:noProof/>
                <w:webHidden/>
              </w:rPr>
            </w:r>
            <w:r>
              <w:rPr>
                <w:noProof/>
                <w:webHidden/>
              </w:rPr>
              <w:fldChar w:fldCharType="separate"/>
            </w:r>
            <w:r>
              <w:rPr>
                <w:noProof/>
                <w:webHidden/>
              </w:rPr>
              <w:t>18</w:t>
            </w:r>
            <w:r>
              <w:rPr>
                <w:noProof/>
                <w:webHidden/>
              </w:rPr>
              <w:fldChar w:fldCharType="end"/>
            </w:r>
          </w:hyperlink>
        </w:p>
        <w:p w14:paraId="4F9108A8" w14:textId="4C5C0177" w:rsidR="00FF1104" w:rsidRDefault="00FF1104">
          <w:pPr>
            <w:pStyle w:val="TOC3"/>
            <w:rPr>
              <w:rFonts w:asciiTheme="minorHAnsi" w:eastAsiaTheme="minorEastAsia" w:hAnsiTheme="minorHAnsi"/>
              <w:noProof/>
              <w:kern w:val="2"/>
              <w:sz w:val="24"/>
              <w:szCs w:val="24"/>
              <w14:ligatures w14:val="standardContextual"/>
            </w:rPr>
          </w:pPr>
          <w:hyperlink w:anchor="_Toc195435238" w:history="1">
            <w:r w:rsidRPr="00DD46C0">
              <w:rPr>
                <w:rStyle w:val="Hyperlink"/>
                <w:noProof/>
              </w:rPr>
              <w:t>Effects of State Conformity to Federal Tax Law - Assumptions</w:t>
            </w:r>
            <w:r>
              <w:rPr>
                <w:noProof/>
                <w:webHidden/>
              </w:rPr>
              <w:tab/>
            </w:r>
            <w:r>
              <w:rPr>
                <w:noProof/>
                <w:webHidden/>
              </w:rPr>
              <w:fldChar w:fldCharType="begin"/>
            </w:r>
            <w:r>
              <w:rPr>
                <w:noProof/>
                <w:webHidden/>
              </w:rPr>
              <w:instrText xml:space="preserve"> PAGEREF _Toc195435238 \h </w:instrText>
            </w:r>
            <w:r>
              <w:rPr>
                <w:noProof/>
                <w:webHidden/>
              </w:rPr>
            </w:r>
            <w:r>
              <w:rPr>
                <w:noProof/>
                <w:webHidden/>
              </w:rPr>
              <w:fldChar w:fldCharType="separate"/>
            </w:r>
            <w:r>
              <w:rPr>
                <w:noProof/>
                <w:webHidden/>
              </w:rPr>
              <w:t>18</w:t>
            </w:r>
            <w:r>
              <w:rPr>
                <w:noProof/>
                <w:webHidden/>
              </w:rPr>
              <w:fldChar w:fldCharType="end"/>
            </w:r>
          </w:hyperlink>
        </w:p>
        <w:p w14:paraId="0A05FFCF" w14:textId="0DE6CFDE" w:rsidR="00FF1104" w:rsidRDefault="00FF1104">
          <w:pPr>
            <w:pStyle w:val="TOC3"/>
            <w:rPr>
              <w:rFonts w:asciiTheme="minorHAnsi" w:eastAsiaTheme="minorEastAsia" w:hAnsiTheme="minorHAnsi"/>
              <w:noProof/>
              <w:kern w:val="2"/>
              <w:sz w:val="24"/>
              <w:szCs w:val="24"/>
              <w14:ligatures w14:val="standardContextual"/>
            </w:rPr>
          </w:pPr>
          <w:hyperlink w:anchor="_Toc195435239" w:history="1">
            <w:r w:rsidRPr="00DD46C0">
              <w:rPr>
                <w:rStyle w:val="Hyperlink"/>
                <w:noProof/>
              </w:rPr>
              <w:t>Elements of the Pass-Through System and Their State Tax Implications</w:t>
            </w:r>
            <w:r>
              <w:rPr>
                <w:noProof/>
                <w:webHidden/>
              </w:rPr>
              <w:tab/>
            </w:r>
            <w:r>
              <w:rPr>
                <w:noProof/>
                <w:webHidden/>
              </w:rPr>
              <w:fldChar w:fldCharType="begin"/>
            </w:r>
            <w:r>
              <w:rPr>
                <w:noProof/>
                <w:webHidden/>
              </w:rPr>
              <w:instrText xml:space="preserve"> PAGEREF _Toc195435239 \h </w:instrText>
            </w:r>
            <w:r>
              <w:rPr>
                <w:noProof/>
                <w:webHidden/>
              </w:rPr>
            </w:r>
            <w:r>
              <w:rPr>
                <w:noProof/>
                <w:webHidden/>
              </w:rPr>
              <w:fldChar w:fldCharType="separate"/>
            </w:r>
            <w:r>
              <w:rPr>
                <w:noProof/>
                <w:webHidden/>
              </w:rPr>
              <w:t>19</w:t>
            </w:r>
            <w:r>
              <w:rPr>
                <w:noProof/>
                <w:webHidden/>
              </w:rPr>
              <w:fldChar w:fldCharType="end"/>
            </w:r>
          </w:hyperlink>
        </w:p>
        <w:p w14:paraId="23335575" w14:textId="033AAC6E" w:rsidR="00FF1104" w:rsidRDefault="00FF1104">
          <w:pPr>
            <w:pStyle w:val="TOC3"/>
            <w:rPr>
              <w:rFonts w:asciiTheme="minorHAnsi" w:eastAsiaTheme="minorEastAsia" w:hAnsiTheme="minorHAnsi"/>
              <w:noProof/>
              <w:kern w:val="2"/>
              <w:sz w:val="24"/>
              <w:szCs w:val="24"/>
              <w14:ligatures w14:val="standardContextual"/>
            </w:rPr>
          </w:pPr>
          <w:hyperlink w:anchor="_Toc195435240" w:history="1">
            <w:r w:rsidRPr="00DD46C0">
              <w:rPr>
                <w:rStyle w:val="Hyperlink"/>
                <w:noProof/>
              </w:rPr>
              <w:t>Transactions Between Partners &amp; Partnership or Other Related Entities</w:t>
            </w:r>
            <w:r>
              <w:rPr>
                <w:noProof/>
                <w:webHidden/>
              </w:rPr>
              <w:tab/>
            </w:r>
            <w:r>
              <w:rPr>
                <w:noProof/>
                <w:webHidden/>
              </w:rPr>
              <w:fldChar w:fldCharType="begin"/>
            </w:r>
            <w:r>
              <w:rPr>
                <w:noProof/>
                <w:webHidden/>
              </w:rPr>
              <w:instrText xml:space="preserve"> PAGEREF _Toc195435240 \h </w:instrText>
            </w:r>
            <w:r>
              <w:rPr>
                <w:noProof/>
                <w:webHidden/>
              </w:rPr>
            </w:r>
            <w:r>
              <w:rPr>
                <w:noProof/>
                <w:webHidden/>
              </w:rPr>
              <w:fldChar w:fldCharType="separate"/>
            </w:r>
            <w:r>
              <w:rPr>
                <w:noProof/>
                <w:webHidden/>
              </w:rPr>
              <w:t>22</w:t>
            </w:r>
            <w:r>
              <w:rPr>
                <w:noProof/>
                <w:webHidden/>
              </w:rPr>
              <w:fldChar w:fldCharType="end"/>
            </w:r>
          </w:hyperlink>
        </w:p>
        <w:p w14:paraId="03623842" w14:textId="121AE33D" w:rsidR="00FF1104" w:rsidRDefault="00FF1104">
          <w:pPr>
            <w:pStyle w:val="TOC3"/>
            <w:rPr>
              <w:rFonts w:asciiTheme="minorHAnsi" w:eastAsiaTheme="minorEastAsia" w:hAnsiTheme="minorHAnsi"/>
              <w:noProof/>
              <w:kern w:val="2"/>
              <w:sz w:val="24"/>
              <w:szCs w:val="24"/>
              <w14:ligatures w14:val="standardContextual"/>
            </w:rPr>
          </w:pPr>
          <w:hyperlink w:anchor="_Toc195435241" w:history="1">
            <w:r w:rsidRPr="00DD46C0">
              <w:rPr>
                <w:rStyle w:val="Hyperlink"/>
                <w:noProof/>
              </w:rPr>
              <w:t>State Conformity and Federal Anti-Abuse Provisions - Implications</w:t>
            </w:r>
            <w:r>
              <w:rPr>
                <w:noProof/>
                <w:webHidden/>
              </w:rPr>
              <w:tab/>
            </w:r>
            <w:r>
              <w:rPr>
                <w:noProof/>
                <w:webHidden/>
              </w:rPr>
              <w:fldChar w:fldCharType="begin"/>
            </w:r>
            <w:r>
              <w:rPr>
                <w:noProof/>
                <w:webHidden/>
              </w:rPr>
              <w:instrText xml:space="preserve"> PAGEREF _Toc195435241 \h </w:instrText>
            </w:r>
            <w:r>
              <w:rPr>
                <w:noProof/>
                <w:webHidden/>
              </w:rPr>
            </w:r>
            <w:r>
              <w:rPr>
                <w:noProof/>
                <w:webHidden/>
              </w:rPr>
              <w:fldChar w:fldCharType="separate"/>
            </w:r>
            <w:r>
              <w:rPr>
                <w:noProof/>
                <w:webHidden/>
              </w:rPr>
              <w:t>25</w:t>
            </w:r>
            <w:r>
              <w:rPr>
                <w:noProof/>
                <w:webHidden/>
              </w:rPr>
              <w:fldChar w:fldCharType="end"/>
            </w:r>
          </w:hyperlink>
        </w:p>
        <w:p w14:paraId="6A14EBC7" w14:textId="1EDF1F7D"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42" w:history="1">
            <w:r w:rsidRPr="00DD46C0">
              <w:rPr>
                <w:rStyle w:val="Hyperlink"/>
                <w:noProof/>
              </w:rPr>
              <w:t>I.E. Importance of the Attribution or “Conduit” Principle</w:t>
            </w:r>
            <w:r>
              <w:rPr>
                <w:noProof/>
                <w:webHidden/>
              </w:rPr>
              <w:tab/>
            </w:r>
            <w:r>
              <w:rPr>
                <w:noProof/>
                <w:webHidden/>
              </w:rPr>
              <w:fldChar w:fldCharType="begin"/>
            </w:r>
            <w:r>
              <w:rPr>
                <w:noProof/>
                <w:webHidden/>
              </w:rPr>
              <w:instrText xml:space="preserve"> PAGEREF _Toc195435242 \h </w:instrText>
            </w:r>
            <w:r>
              <w:rPr>
                <w:noProof/>
                <w:webHidden/>
              </w:rPr>
            </w:r>
            <w:r>
              <w:rPr>
                <w:noProof/>
                <w:webHidden/>
              </w:rPr>
              <w:fldChar w:fldCharType="separate"/>
            </w:r>
            <w:r>
              <w:rPr>
                <w:noProof/>
                <w:webHidden/>
              </w:rPr>
              <w:t>27</w:t>
            </w:r>
            <w:r>
              <w:rPr>
                <w:noProof/>
                <w:webHidden/>
              </w:rPr>
              <w:fldChar w:fldCharType="end"/>
            </w:r>
          </w:hyperlink>
        </w:p>
        <w:p w14:paraId="3FA62D26" w14:textId="7DE65E43" w:rsidR="00FF1104" w:rsidRDefault="00FF1104">
          <w:pPr>
            <w:pStyle w:val="TOC3"/>
            <w:rPr>
              <w:rFonts w:asciiTheme="minorHAnsi" w:eastAsiaTheme="minorEastAsia" w:hAnsiTheme="minorHAnsi"/>
              <w:noProof/>
              <w:kern w:val="2"/>
              <w:sz w:val="24"/>
              <w:szCs w:val="24"/>
              <w14:ligatures w14:val="standardContextual"/>
            </w:rPr>
          </w:pPr>
          <w:hyperlink w:anchor="_Toc195435243" w:history="1">
            <w:r w:rsidRPr="00DD46C0">
              <w:rPr>
                <w:rStyle w:val="Hyperlink"/>
                <w:noProof/>
              </w:rPr>
              <w:t>Why the Attribution or “Conduit” Principle is Critical</w:t>
            </w:r>
            <w:r>
              <w:rPr>
                <w:noProof/>
                <w:webHidden/>
              </w:rPr>
              <w:tab/>
            </w:r>
            <w:r>
              <w:rPr>
                <w:noProof/>
                <w:webHidden/>
              </w:rPr>
              <w:fldChar w:fldCharType="begin"/>
            </w:r>
            <w:r>
              <w:rPr>
                <w:noProof/>
                <w:webHidden/>
              </w:rPr>
              <w:instrText xml:space="preserve"> PAGEREF _Toc195435243 \h </w:instrText>
            </w:r>
            <w:r>
              <w:rPr>
                <w:noProof/>
                <w:webHidden/>
              </w:rPr>
            </w:r>
            <w:r>
              <w:rPr>
                <w:noProof/>
                <w:webHidden/>
              </w:rPr>
              <w:fldChar w:fldCharType="separate"/>
            </w:r>
            <w:r>
              <w:rPr>
                <w:noProof/>
                <w:webHidden/>
              </w:rPr>
              <w:t>27</w:t>
            </w:r>
            <w:r>
              <w:rPr>
                <w:noProof/>
                <w:webHidden/>
              </w:rPr>
              <w:fldChar w:fldCharType="end"/>
            </w:r>
          </w:hyperlink>
        </w:p>
        <w:p w14:paraId="651EEE4F" w14:textId="68959EEA" w:rsidR="00FF1104" w:rsidRDefault="00FF1104">
          <w:pPr>
            <w:pStyle w:val="TOC3"/>
            <w:rPr>
              <w:rFonts w:asciiTheme="minorHAnsi" w:eastAsiaTheme="minorEastAsia" w:hAnsiTheme="minorHAnsi"/>
              <w:noProof/>
              <w:kern w:val="2"/>
              <w:sz w:val="24"/>
              <w:szCs w:val="24"/>
              <w14:ligatures w14:val="standardContextual"/>
            </w:rPr>
          </w:pPr>
          <w:hyperlink w:anchor="_Toc195435244" w:history="1">
            <w:r w:rsidRPr="00DD46C0">
              <w:rPr>
                <w:rStyle w:val="Hyperlink"/>
                <w:noProof/>
              </w:rPr>
              <w:t>How Attribution Works in Practice</w:t>
            </w:r>
            <w:r>
              <w:rPr>
                <w:noProof/>
                <w:webHidden/>
              </w:rPr>
              <w:tab/>
            </w:r>
            <w:r>
              <w:rPr>
                <w:noProof/>
                <w:webHidden/>
              </w:rPr>
              <w:fldChar w:fldCharType="begin"/>
            </w:r>
            <w:r>
              <w:rPr>
                <w:noProof/>
                <w:webHidden/>
              </w:rPr>
              <w:instrText xml:space="preserve"> PAGEREF _Toc195435244 \h </w:instrText>
            </w:r>
            <w:r>
              <w:rPr>
                <w:noProof/>
                <w:webHidden/>
              </w:rPr>
            </w:r>
            <w:r>
              <w:rPr>
                <w:noProof/>
                <w:webHidden/>
              </w:rPr>
              <w:fldChar w:fldCharType="separate"/>
            </w:r>
            <w:r>
              <w:rPr>
                <w:noProof/>
                <w:webHidden/>
              </w:rPr>
              <w:t>27</w:t>
            </w:r>
            <w:r>
              <w:rPr>
                <w:noProof/>
                <w:webHidden/>
              </w:rPr>
              <w:fldChar w:fldCharType="end"/>
            </w:r>
          </w:hyperlink>
        </w:p>
        <w:p w14:paraId="6EA92EED" w14:textId="0A4EB9E3" w:rsidR="00FF1104" w:rsidRDefault="00FF1104">
          <w:pPr>
            <w:pStyle w:val="TOC3"/>
            <w:rPr>
              <w:rFonts w:asciiTheme="minorHAnsi" w:eastAsiaTheme="minorEastAsia" w:hAnsiTheme="minorHAnsi"/>
              <w:noProof/>
              <w:kern w:val="2"/>
              <w:sz w:val="24"/>
              <w:szCs w:val="24"/>
              <w14:ligatures w14:val="standardContextual"/>
            </w:rPr>
          </w:pPr>
          <w:hyperlink w:anchor="_Toc195435245" w:history="1">
            <w:r w:rsidRPr="00DD46C0">
              <w:rPr>
                <w:rStyle w:val="Hyperlink"/>
                <w:noProof/>
              </w:rPr>
              <w:t>Federal Recognition of the Attribution Principle</w:t>
            </w:r>
            <w:r>
              <w:rPr>
                <w:noProof/>
                <w:webHidden/>
              </w:rPr>
              <w:tab/>
            </w:r>
            <w:r>
              <w:rPr>
                <w:noProof/>
                <w:webHidden/>
              </w:rPr>
              <w:fldChar w:fldCharType="begin"/>
            </w:r>
            <w:r>
              <w:rPr>
                <w:noProof/>
                <w:webHidden/>
              </w:rPr>
              <w:instrText xml:space="preserve"> PAGEREF _Toc195435245 \h </w:instrText>
            </w:r>
            <w:r>
              <w:rPr>
                <w:noProof/>
                <w:webHidden/>
              </w:rPr>
            </w:r>
            <w:r>
              <w:rPr>
                <w:noProof/>
                <w:webHidden/>
              </w:rPr>
              <w:fldChar w:fldCharType="separate"/>
            </w:r>
            <w:r>
              <w:rPr>
                <w:noProof/>
                <w:webHidden/>
              </w:rPr>
              <w:t>28</w:t>
            </w:r>
            <w:r>
              <w:rPr>
                <w:noProof/>
                <w:webHidden/>
              </w:rPr>
              <w:fldChar w:fldCharType="end"/>
            </w:r>
          </w:hyperlink>
        </w:p>
        <w:p w14:paraId="6B7A3F51" w14:textId="51C6122E" w:rsidR="00FF1104" w:rsidRDefault="00FF1104">
          <w:pPr>
            <w:pStyle w:val="TOC3"/>
            <w:rPr>
              <w:rFonts w:asciiTheme="minorHAnsi" w:eastAsiaTheme="minorEastAsia" w:hAnsiTheme="minorHAnsi"/>
              <w:noProof/>
              <w:kern w:val="2"/>
              <w:sz w:val="24"/>
              <w:szCs w:val="24"/>
              <w14:ligatures w14:val="standardContextual"/>
            </w:rPr>
          </w:pPr>
          <w:hyperlink w:anchor="_Toc195435246" w:history="1">
            <w:r w:rsidRPr="00DD46C0">
              <w:rPr>
                <w:rStyle w:val="Hyperlink"/>
                <w:noProof/>
              </w:rPr>
              <w:t>Attribution of an Item’s Domestic or Foreign Source</w:t>
            </w:r>
            <w:r>
              <w:rPr>
                <w:noProof/>
                <w:webHidden/>
              </w:rPr>
              <w:tab/>
            </w:r>
            <w:r>
              <w:rPr>
                <w:noProof/>
                <w:webHidden/>
              </w:rPr>
              <w:fldChar w:fldCharType="begin"/>
            </w:r>
            <w:r>
              <w:rPr>
                <w:noProof/>
                <w:webHidden/>
              </w:rPr>
              <w:instrText xml:space="preserve"> PAGEREF _Toc195435246 \h </w:instrText>
            </w:r>
            <w:r>
              <w:rPr>
                <w:noProof/>
                <w:webHidden/>
              </w:rPr>
            </w:r>
            <w:r>
              <w:rPr>
                <w:noProof/>
                <w:webHidden/>
              </w:rPr>
              <w:fldChar w:fldCharType="separate"/>
            </w:r>
            <w:r>
              <w:rPr>
                <w:noProof/>
                <w:webHidden/>
              </w:rPr>
              <w:t>28</w:t>
            </w:r>
            <w:r>
              <w:rPr>
                <w:noProof/>
                <w:webHidden/>
              </w:rPr>
              <w:fldChar w:fldCharType="end"/>
            </w:r>
          </w:hyperlink>
        </w:p>
        <w:p w14:paraId="4BDC0521" w14:textId="0F9A82EF" w:rsidR="00FF1104" w:rsidRDefault="00FF1104">
          <w:pPr>
            <w:pStyle w:val="TOC3"/>
            <w:rPr>
              <w:rFonts w:asciiTheme="minorHAnsi" w:eastAsiaTheme="minorEastAsia" w:hAnsiTheme="minorHAnsi"/>
              <w:noProof/>
              <w:kern w:val="2"/>
              <w:sz w:val="24"/>
              <w:szCs w:val="24"/>
              <w14:ligatures w14:val="standardContextual"/>
            </w:rPr>
          </w:pPr>
          <w:hyperlink w:anchor="_Toc195435247" w:history="1">
            <w:r w:rsidRPr="00DD46C0">
              <w:rPr>
                <w:rStyle w:val="Hyperlink"/>
                <w:noProof/>
              </w:rPr>
              <w:t>Attribution in the State Tax Context</w:t>
            </w:r>
            <w:r>
              <w:rPr>
                <w:noProof/>
                <w:webHidden/>
              </w:rPr>
              <w:tab/>
            </w:r>
            <w:r>
              <w:rPr>
                <w:noProof/>
                <w:webHidden/>
              </w:rPr>
              <w:fldChar w:fldCharType="begin"/>
            </w:r>
            <w:r>
              <w:rPr>
                <w:noProof/>
                <w:webHidden/>
              </w:rPr>
              <w:instrText xml:space="preserve"> PAGEREF _Toc195435247 \h </w:instrText>
            </w:r>
            <w:r>
              <w:rPr>
                <w:noProof/>
                <w:webHidden/>
              </w:rPr>
            </w:r>
            <w:r>
              <w:rPr>
                <w:noProof/>
                <w:webHidden/>
              </w:rPr>
              <w:fldChar w:fldCharType="separate"/>
            </w:r>
            <w:r>
              <w:rPr>
                <w:noProof/>
                <w:webHidden/>
              </w:rPr>
              <w:t>28</w:t>
            </w:r>
            <w:r>
              <w:rPr>
                <w:noProof/>
                <w:webHidden/>
              </w:rPr>
              <w:fldChar w:fldCharType="end"/>
            </w:r>
          </w:hyperlink>
        </w:p>
        <w:p w14:paraId="52BDA2D2" w14:textId="03786B05" w:rsidR="00FF1104" w:rsidRDefault="00FF1104">
          <w:pPr>
            <w:pStyle w:val="TOC3"/>
            <w:rPr>
              <w:rFonts w:asciiTheme="minorHAnsi" w:eastAsiaTheme="minorEastAsia" w:hAnsiTheme="minorHAnsi"/>
              <w:noProof/>
              <w:kern w:val="2"/>
              <w:sz w:val="24"/>
              <w:szCs w:val="24"/>
              <w14:ligatures w14:val="standardContextual"/>
            </w:rPr>
          </w:pPr>
          <w:hyperlink w:anchor="_Toc195435248" w:history="1">
            <w:r w:rsidRPr="00DD46C0">
              <w:rPr>
                <w:rStyle w:val="Hyperlink"/>
                <w:noProof/>
              </w:rPr>
              <w:t>Significance of the Attribution Principle to Sourcing of Multistate Income</w:t>
            </w:r>
            <w:r>
              <w:rPr>
                <w:noProof/>
                <w:webHidden/>
              </w:rPr>
              <w:tab/>
            </w:r>
            <w:r>
              <w:rPr>
                <w:noProof/>
                <w:webHidden/>
              </w:rPr>
              <w:fldChar w:fldCharType="begin"/>
            </w:r>
            <w:r>
              <w:rPr>
                <w:noProof/>
                <w:webHidden/>
              </w:rPr>
              <w:instrText xml:space="preserve"> PAGEREF _Toc195435248 \h </w:instrText>
            </w:r>
            <w:r>
              <w:rPr>
                <w:noProof/>
                <w:webHidden/>
              </w:rPr>
            </w:r>
            <w:r>
              <w:rPr>
                <w:noProof/>
                <w:webHidden/>
              </w:rPr>
              <w:fldChar w:fldCharType="separate"/>
            </w:r>
            <w:r>
              <w:rPr>
                <w:noProof/>
                <w:webHidden/>
              </w:rPr>
              <w:t>30</w:t>
            </w:r>
            <w:r>
              <w:rPr>
                <w:noProof/>
                <w:webHidden/>
              </w:rPr>
              <w:fldChar w:fldCharType="end"/>
            </w:r>
          </w:hyperlink>
        </w:p>
        <w:p w14:paraId="501C3857" w14:textId="19F4355C"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49" w:history="1">
            <w:r w:rsidRPr="00DD46C0">
              <w:rPr>
                <w:rStyle w:val="Hyperlink"/>
                <w:noProof/>
              </w:rPr>
              <w:t>I.F.  General State Sourcing Rules for Income of Businesses</w:t>
            </w:r>
            <w:r>
              <w:rPr>
                <w:noProof/>
                <w:webHidden/>
              </w:rPr>
              <w:tab/>
            </w:r>
            <w:r>
              <w:rPr>
                <w:noProof/>
                <w:webHidden/>
              </w:rPr>
              <w:fldChar w:fldCharType="begin"/>
            </w:r>
            <w:r>
              <w:rPr>
                <w:noProof/>
                <w:webHidden/>
              </w:rPr>
              <w:instrText xml:space="preserve"> PAGEREF _Toc195435249 \h </w:instrText>
            </w:r>
            <w:r>
              <w:rPr>
                <w:noProof/>
                <w:webHidden/>
              </w:rPr>
            </w:r>
            <w:r>
              <w:rPr>
                <w:noProof/>
                <w:webHidden/>
              </w:rPr>
              <w:fldChar w:fldCharType="separate"/>
            </w:r>
            <w:r>
              <w:rPr>
                <w:noProof/>
                <w:webHidden/>
              </w:rPr>
              <w:t>31</w:t>
            </w:r>
            <w:r>
              <w:rPr>
                <w:noProof/>
                <w:webHidden/>
              </w:rPr>
              <w:fldChar w:fldCharType="end"/>
            </w:r>
          </w:hyperlink>
        </w:p>
        <w:p w14:paraId="65AA4A94" w14:textId="189CE8D6" w:rsidR="00FF1104" w:rsidRDefault="00FF1104">
          <w:pPr>
            <w:pStyle w:val="TOC3"/>
            <w:rPr>
              <w:rFonts w:asciiTheme="minorHAnsi" w:eastAsiaTheme="minorEastAsia" w:hAnsiTheme="minorHAnsi"/>
              <w:noProof/>
              <w:kern w:val="2"/>
              <w:sz w:val="24"/>
              <w:szCs w:val="24"/>
              <w14:ligatures w14:val="standardContextual"/>
            </w:rPr>
          </w:pPr>
          <w:hyperlink w:anchor="_Toc195435250" w:history="1">
            <w:r w:rsidRPr="00DD46C0">
              <w:rPr>
                <w:rStyle w:val="Hyperlink"/>
                <w:noProof/>
              </w:rPr>
              <w:t>State Sourcing Rules – Generally</w:t>
            </w:r>
            <w:r>
              <w:rPr>
                <w:noProof/>
                <w:webHidden/>
              </w:rPr>
              <w:tab/>
            </w:r>
            <w:r>
              <w:rPr>
                <w:noProof/>
                <w:webHidden/>
              </w:rPr>
              <w:fldChar w:fldCharType="begin"/>
            </w:r>
            <w:r>
              <w:rPr>
                <w:noProof/>
                <w:webHidden/>
              </w:rPr>
              <w:instrText xml:space="preserve"> PAGEREF _Toc195435250 \h </w:instrText>
            </w:r>
            <w:r>
              <w:rPr>
                <w:noProof/>
                <w:webHidden/>
              </w:rPr>
            </w:r>
            <w:r>
              <w:rPr>
                <w:noProof/>
                <w:webHidden/>
              </w:rPr>
              <w:fldChar w:fldCharType="separate"/>
            </w:r>
            <w:r>
              <w:rPr>
                <w:noProof/>
                <w:webHidden/>
              </w:rPr>
              <w:t>31</w:t>
            </w:r>
            <w:r>
              <w:rPr>
                <w:noProof/>
                <w:webHidden/>
              </w:rPr>
              <w:fldChar w:fldCharType="end"/>
            </w:r>
          </w:hyperlink>
        </w:p>
        <w:p w14:paraId="50FBFBF6" w14:textId="5FDD36AD" w:rsidR="00FF1104" w:rsidRDefault="00FF1104">
          <w:pPr>
            <w:pStyle w:val="TOC3"/>
            <w:rPr>
              <w:rFonts w:asciiTheme="minorHAnsi" w:eastAsiaTheme="minorEastAsia" w:hAnsiTheme="minorHAnsi"/>
              <w:noProof/>
              <w:kern w:val="2"/>
              <w:sz w:val="24"/>
              <w:szCs w:val="24"/>
              <w14:ligatures w14:val="standardContextual"/>
            </w:rPr>
          </w:pPr>
          <w:hyperlink w:anchor="_Toc195435251" w:history="1">
            <w:r w:rsidRPr="00DD46C0">
              <w:rPr>
                <w:rStyle w:val="Hyperlink"/>
                <w:noProof/>
              </w:rPr>
              <w:t>Application of State Sourcing Methods – Corporations</w:t>
            </w:r>
            <w:r>
              <w:rPr>
                <w:noProof/>
                <w:webHidden/>
              </w:rPr>
              <w:tab/>
            </w:r>
            <w:r>
              <w:rPr>
                <w:noProof/>
                <w:webHidden/>
              </w:rPr>
              <w:fldChar w:fldCharType="begin"/>
            </w:r>
            <w:r>
              <w:rPr>
                <w:noProof/>
                <w:webHidden/>
              </w:rPr>
              <w:instrText xml:space="preserve"> PAGEREF _Toc195435251 \h </w:instrText>
            </w:r>
            <w:r>
              <w:rPr>
                <w:noProof/>
                <w:webHidden/>
              </w:rPr>
            </w:r>
            <w:r>
              <w:rPr>
                <w:noProof/>
                <w:webHidden/>
              </w:rPr>
              <w:fldChar w:fldCharType="separate"/>
            </w:r>
            <w:r>
              <w:rPr>
                <w:noProof/>
                <w:webHidden/>
              </w:rPr>
              <w:t>32</w:t>
            </w:r>
            <w:r>
              <w:rPr>
                <w:noProof/>
                <w:webHidden/>
              </w:rPr>
              <w:fldChar w:fldCharType="end"/>
            </w:r>
          </w:hyperlink>
        </w:p>
        <w:p w14:paraId="6DFDF14B" w14:textId="7D3D5A28" w:rsidR="00FF1104" w:rsidRDefault="00FF1104">
          <w:pPr>
            <w:pStyle w:val="TOC3"/>
            <w:rPr>
              <w:rFonts w:asciiTheme="minorHAnsi" w:eastAsiaTheme="minorEastAsia" w:hAnsiTheme="minorHAnsi"/>
              <w:noProof/>
              <w:kern w:val="2"/>
              <w:sz w:val="24"/>
              <w:szCs w:val="24"/>
              <w14:ligatures w14:val="standardContextual"/>
            </w:rPr>
          </w:pPr>
          <w:hyperlink w:anchor="_Toc195435252" w:history="1">
            <w:r w:rsidRPr="00DD46C0">
              <w:rPr>
                <w:rStyle w:val="Hyperlink"/>
                <w:noProof/>
              </w:rPr>
              <w:t>Application of State Sourcing Methods – Proprietorships</w:t>
            </w:r>
            <w:r>
              <w:rPr>
                <w:noProof/>
                <w:webHidden/>
              </w:rPr>
              <w:tab/>
            </w:r>
            <w:r>
              <w:rPr>
                <w:noProof/>
                <w:webHidden/>
              </w:rPr>
              <w:fldChar w:fldCharType="begin"/>
            </w:r>
            <w:r>
              <w:rPr>
                <w:noProof/>
                <w:webHidden/>
              </w:rPr>
              <w:instrText xml:space="preserve"> PAGEREF _Toc195435252 \h </w:instrText>
            </w:r>
            <w:r>
              <w:rPr>
                <w:noProof/>
                <w:webHidden/>
              </w:rPr>
            </w:r>
            <w:r>
              <w:rPr>
                <w:noProof/>
                <w:webHidden/>
              </w:rPr>
              <w:fldChar w:fldCharType="separate"/>
            </w:r>
            <w:r>
              <w:rPr>
                <w:noProof/>
                <w:webHidden/>
              </w:rPr>
              <w:t>33</w:t>
            </w:r>
            <w:r>
              <w:rPr>
                <w:noProof/>
                <w:webHidden/>
              </w:rPr>
              <w:fldChar w:fldCharType="end"/>
            </w:r>
          </w:hyperlink>
        </w:p>
        <w:p w14:paraId="421EBDC9" w14:textId="3B6E02A5" w:rsidR="00FF1104" w:rsidRDefault="00FF1104">
          <w:pPr>
            <w:pStyle w:val="TOC3"/>
            <w:rPr>
              <w:rFonts w:asciiTheme="minorHAnsi" w:eastAsiaTheme="minorEastAsia" w:hAnsiTheme="minorHAnsi"/>
              <w:noProof/>
              <w:kern w:val="2"/>
              <w:sz w:val="24"/>
              <w:szCs w:val="24"/>
              <w14:ligatures w14:val="standardContextual"/>
            </w:rPr>
          </w:pPr>
          <w:hyperlink w:anchor="_Toc195435253" w:history="1">
            <w:r w:rsidRPr="00DD46C0">
              <w:rPr>
                <w:rStyle w:val="Hyperlink"/>
                <w:noProof/>
              </w:rPr>
              <w:t>Application of State Sourcing Methods – Simple Partnerships</w:t>
            </w:r>
            <w:r>
              <w:rPr>
                <w:noProof/>
                <w:webHidden/>
              </w:rPr>
              <w:tab/>
            </w:r>
            <w:r>
              <w:rPr>
                <w:noProof/>
                <w:webHidden/>
              </w:rPr>
              <w:fldChar w:fldCharType="begin"/>
            </w:r>
            <w:r>
              <w:rPr>
                <w:noProof/>
                <w:webHidden/>
              </w:rPr>
              <w:instrText xml:space="preserve"> PAGEREF _Toc195435253 \h </w:instrText>
            </w:r>
            <w:r>
              <w:rPr>
                <w:noProof/>
                <w:webHidden/>
              </w:rPr>
            </w:r>
            <w:r>
              <w:rPr>
                <w:noProof/>
                <w:webHidden/>
              </w:rPr>
              <w:fldChar w:fldCharType="separate"/>
            </w:r>
            <w:r>
              <w:rPr>
                <w:noProof/>
                <w:webHidden/>
              </w:rPr>
              <w:t>33</w:t>
            </w:r>
            <w:r>
              <w:rPr>
                <w:noProof/>
                <w:webHidden/>
              </w:rPr>
              <w:fldChar w:fldCharType="end"/>
            </w:r>
          </w:hyperlink>
        </w:p>
        <w:p w14:paraId="3063A575" w14:textId="5D6931FE"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54" w:history="1">
            <w:r w:rsidRPr="00DD46C0">
              <w:rPr>
                <w:rStyle w:val="Hyperlink"/>
                <w:noProof/>
              </w:rPr>
              <w:t>I.G. Summary – Issues &amp; Important Context - Lessons</w:t>
            </w:r>
            <w:r>
              <w:rPr>
                <w:noProof/>
                <w:webHidden/>
              </w:rPr>
              <w:tab/>
            </w:r>
            <w:r>
              <w:rPr>
                <w:noProof/>
                <w:webHidden/>
              </w:rPr>
              <w:fldChar w:fldCharType="begin"/>
            </w:r>
            <w:r>
              <w:rPr>
                <w:noProof/>
                <w:webHidden/>
              </w:rPr>
              <w:instrText xml:space="preserve"> PAGEREF _Toc195435254 \h </w:instrText>
            </w:r>
            <w:r>
              <w:rPr>
                <w:noProof/>
                <w:webHidden/>
              </w:rPr>
            </w:r>
            <w:r>
              <w:rPr>
                <w:noProof/>
                <w:webHidden/>
              </w:rPr>
              <w:fldChar w:fldCharType="separate"/>
            </w:r>
            <w:r>
              <w:rPr>
                <w:noProof/>
                <w:webHidden/>
              </w:rPr>
              <w:t>34</w:t>
            </w:r>
            <w:r>
              <w:rPr>
                <w:noProof/>
                <w:webHidden/>
              </w:rPr>
              <w:fldChar w:fldCharType="end"/>
            </w:r>
          </w:hyperlink>
        </w:p>
        <w:p w14:paraId="79CF4062" w14:textId="03DAC613" w:rsidR="00FF1104" w:rsidRDefault="00FF1104">
          <w:pPr>
            <w:pStyle w:val="TOC3"/>
            <w:rPr>
              <w:rFonts w:asciiTheme="minorHAnsi" w:eastAsiaTheme="minorEastAsia" w:hAnsiTheme="minorHAnsi"/>
              <w:noProof/>
              <w:kern w:val="2"/>
              <w:sz w:val="24"/>
              <w:szCs w:val="24"/>
              <w14:ligatures w14:val="standardContextual"/>
            </w:rPr>
          </w:pPr>
          <w:hyperlink w:anchor="_Toc195435255" w:history="1">
            <w:r w:rsidRPr="00DD46C0">
              <w:rPr>
                <w:rStyle w:val="Hyperlink"/>
                <w:noProof/>
              </w:rPr>
              <w:t>Lessons for Applying State Sourcing Rules to Partnership Income</w:t>
            </w:r>
            <w:r>
              <w:rPr>
                <w:noProof/>
                <w:webHidden/>
              </w:rPr>
              <w:tab/>
            </w:r>
            <w:r>
              <w:rPr>
                <w:noProof/>
                <w:webHidden/>
              </w:rPr>
              <w:fldChar w:fldCharType="begin"/>
            </w:r>
            <w:r>
              <w:rPr>
                <w:noProof/>
                <w:webHidden/>
              </w:rPr>
              <w:instrText xml:space="preserve"> PAGEREF _Toc195435255 \h </w:instrText>
            </w:r>
            <w:r>
              <w:rPr>
                <w:noProof/>
                <w:webHidden/>
              </w:rPr>
            </w:r>
            <w:r>
              <w:rPr>
                <w:noProof/>
                <w:webHidden/>
              </w:rPr>
              <w:fldChar w:fldCharType="separate"/>
            </w:r>
            <w:r>
              <w:rPr>
                <w:noProof/>
                <w:webHidden/>
              </w:rPr>
              <w:t>34</w:t>
            </w:r>
            <w:r>
              <w:rPr>
                <w:noProof/>
                <w:webHidden/>
              </w:rPr>
              <w:fldChar w:fldCharType="end"/>
            </w:r>
          </w:hyperlink>
        </w:p>
        <w:p w14:paraId="1EE5E95D" w14:textId="17B88F42"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56" w:history="1">
            <w:r w:rsidRPr="00DD46C0">
              <w:rPr>
                <w:rStyle w:val="Hyperlink"/>
                <w:noProof/>
              </w:rPr>
              <w:t>Section II: Sourcing Partnership Income –  Proposals for Addressing The Complex Issues</w:t>
            </w:r>
            <w:r>
              <w:rPr>
                <w:noProof/>
                <w:webHidden/>
              </w:rPr>
              <w:tab/>
            </w:r>
            <w:r>
              <w:rPr>
                <w:noProof/>
                <w:webHidden/>
              </w:rPr>
              <w:fldChar w:fldCharType="begin"/>
            </w:r>
            <w:r>
              <w:rPr>
                <w:noProof/>
                <w:webHidden/>
              </w:rPr>
              <w:instrText xml:space="preserve"> PAGEREF _Toc195435256 \h </w:instrText>
            </w:r>
            <w:r>
              <w:rPr>
                <w:noProof/>
                <w:webHidden/>
              </w:rPr>
            </w:r>
            <w:r>
              <w:rPr>
                <w:noProof/>
                <w:webHidden/>
              </w:rPr>
              <w:fldChar w:fldCharType="separate"/>
            </w:r>
            <w:r>
              <w:rPr>
                <w:noProof/>
                <w:webHidden/>
              </w:rPr>
              <w:t>35</w:t>
            </w:r>
            <w:r>
              <w:rPr>
                <w:noProof/>
                <w:webHidden/>
              </w:rPr>
              <w:fldChar w:fldCharType="end"/>
            </w:r>
          </w:hyperlink>
        </w:p>
        <w:p w14:paraId="75364EB4" w14:textId="61AFB3E1"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57" w:history="1">
            <w:r w:rsidRPr="00DD46C0">
              <w:rPr>
                <w:rStyle w:val="Hyperlink"/>
                <w:noProof/>
              </w:rPr>
              <w:t>II. A. General Framework for Sourcing Partnership Income</w:t>
            </w:r>
            <w:r>
              <w:rPr>
                <w:noProof/>
                <w:webHidden/>
              </w:rPr>
              <w:tab/>
            </w:r>
            <w:r>
              <w:rPr>
                <w:noProof/>
                <w:webHidden/>
              </w:rPr>
              <w:fldChar w:fldCharType="begin"/>
            </w:r>
            <w:r>
              <w:rPr>
                <w:noProof/>
                <w:webHidden/>
              </w:rPr>
              <w:instrText xml:space="preserve"> PAGEREF _Toc195435257 \h </w:instrText>
            </w:r>
            <w:r>
              <w:rPr>
                <w:noProof/>
                <w:webHidden/>
              </w:rPr>
            </w:r>
            <w:r>
              <w:rPr>
                <w:noProof/>
                <w:webHidden/>
              </w:rPr>
              <w:fldChar w:fldCharType="separate"/>
            </w:r>
            <w:r>
              <w:rPr>
                <w:noProof/>
                <w:webHidden/>
              </w:rPr>
              <w:t>37</w:t>
            </w:r>
            <w:r>
              <w:rPr>
                <w:noProof/>
                <w:webHidden/>
              </w:rPr>
              <w:fldChar w:fldCharType="end"/>
            </w:r>
          </w:hyperlink>
        </w:p>
        <w:p w14:paraId="3F7638E4" w14:textId="1045BDA5"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58" w:history="1">
            <w:r w:rsidRPr="00DD46C0">
              <w:rPr>
                <w:rStyle w:val="Hyperlink"/>
                <w:noProof/>
              </w:rPr>
              <w:t>II.B. Use of Blended Apportionment</w:t>
            </w:r>
            <w:r>
              <w:rPr>
                <w:noProof/>
                <w:webHidden/>
              </w:rPr>
              <w:tab/>
            </w:r>
            <w:r>
              <w:rPr>
                <w:noProof/>
                <w:webHidden/>
              </w:rPr>
              <w:fldChar w:fldCharType="begin"/>
            </w:r>
            <w:r>
              <w:rPr>
                <w:noProof/>
                <w:webHidden/>
              </w:rPr>
              <w:instrText xml:space="preserve"> PAGEREF _Toc195435258 \h </w:instrText>
            </w:r>
            <w:r>
              <w:rPr>
                <w:noProof/>
                <w:webHidden/>
              </w:rPr>
            </w:r>
            <w:r>
              <w:rPr>
                <w:noProof/>
                <w:webHidden/>
              </w:rPr>
              <w:fldChar w:fldCharType="separate"/>
            </w:r>
            <w:r>
              <w:rPr>
                <w:noProof/>
                <w:webHidden/>
              </w:rPr>
              <w:t>38</w:t>
            </w:r>
            <w:r>
              <w:rPr>
                <w:noProof/>
                <w:webHidden/>
              </w:rPr>
              <w:fldChar w:fldCharType="end"/>
            </w:r>
          </w:hyperlink>
        </w:p>
        <w:p w14:paraId="35715314" w14:textId="46BBABA8" w:rsidR="00FF1104" w:rsidRDefault="00FF1104">
          <w:pPr>
            <w:pStyle w:val="TOC3"/>
            <w:rPr>
              <w:rFonts w:asciiTheme="minorHAnsi" w:eastAsiaTheme="minorEastAsia" w:hAnsiTheme="minorHAnsi"/>
              <w:noProof/>
              <w:kern w:val="2"/>
              <w:sz w:val="24"/>
              <w:szCs w:val="24"/>
              <w14:ligatures w14:val="standardContextual"/>
            </w:rPr>
          </w:pPr>
          <w:hyperlink w:anchor="_Toc195435259" w:history="1">
            <w:r w:rsidRPr="00DD46C0">
              <w:rPr>
                <w:rStyle w:val="Hyperlink"/>
                <w:noProof/>
              </w:rPr>
              <w:t>Effect of Blended Apportionment – Simple Example</w:t>
            </w:r>
            <w:r>
              <w:rPr>
                <w:noProof/>
                <w:webHidden/>
              </w:rPr>
              <w:tab/>
            </w:r>
            <w:r>
              <w:rPr>
                <w:noProof/>
                <w:webHidden/>
              </w:rPr>
              <w:fldChar w:fldCharType="begin"/>
            </w:r>
            <w:r>
              <w:rPr>
                <w:noProof/>
                <w:webHidden/>
              </w:rPr>
              <w:instrText xml:space="preserve"> PAGEREF _Toc195435259 \h </w:instrText>
            </w:r>
            <w:r>
              <w:rPr>
                <w:noProof/>
                <w:webHidden/>
              </w:rPr>
            </w:r>
            <w:r>
              <w:rPr>
                <w:noProof/>
                <w:webHidden/>
              </w:rPr>
              <w:fldChar w:fldCharType="separate"/>
            </w:r>
            <w:r>
              <w:rPr>
                <w:noProof/>
                <w:webHidden/>
              </w:rPr>
              <w:t>38</w:t>
            </w:r>
            <w:r>
              <w:rPr>
                <w:noProof/>
                <w:webHidden/>
              </w:rPr>
              <w:fldChar w:fldCharType="end"/>
            </w:r>
          </w:hyperlink>
        </w:p>
        <w:p w14:paraId="578CEE58" w14:textId="485CA3C1" w:rsidR="00FF1104" w:rsidRDefault="00FF1104">
          <w:pPr>
            <w:pStyle w:val="TOC3"/>
            <w:rPr>
              <w:rFonts w:asciiTheme="minorHAnsi" w:eastAsiaTheme="minorEastAsia" w:hAnsiTheme="minorHAnsi"/>
              <w:noProof/>
              <w:kern w:val="2"/>
              <w:sz w:val="24"/>
              <w:szCs w:val="24"/>
              <w14:ligatures w14:val="standardContextual"/>
            </w:rPr>
          </w:pPr>
          <w:hyperlink w:anchor="_Toc195435260" w:history="1">
            <w:r w:rsidRPr="00DD46C0">
              <w:rPr>
                <w:rStyle w:val="Hyperlink"/>
                <w:noProof/>
              </w:rPr>
              <w:t>Current State Use of Blended Apportionment</w:t>
            </w:r>
            <w:r>
              <w:rPr>
                <w:noProof/>
                <w:webHidden/>
              </w:rPr>
              <w:tab/>
            </w:r>
            <w:r>
              <w:rPr>
                <w:noProof/>
                <w:webHidden/>
              </w:rPr>
              <w:fldChar w:fldCharType="begin"/>
            </w:r>
            <w:r>
              <w:rPr>
                <w:noProof/>
                <w:webHidden/>
              </w:rPr>
              <w:instrText xml:space="preserve"> PAGEREF _Toc195435260 \h </w:instrText>
            </w:r>
            <w:r>
              <w:rPr>
                <w:noProof/>
                <w:webHidden/>
              </w:rPr>
            </w:r>
            <w:r>
              <w:rPr>
                <w:noProof/>
                <w:webHidden/>
              </w:rPr>
              <w:fldChar w:fldCharType="separate"/>
            </w:r>
            <w:r>
              <w:rPr>
                <w:noProof/>
                <w:webHidden/>
              </w:rPr>
              <w:t>39</w:t>
            </w:r>
            <w:r>
              <w:rPr>
                <w:noProof/>
                <w:webHidden/>
              </w:rPr>
              <w:fldChar w:fldCharType="end"/>
            </w:r>
          </w:hyperlink>
        </w:p>
        <w:p w14:paraId="54A09C21" w14:textId="68813650" w:rsidR="00FF1104" w:rsidRDefault="00FF1104">
          <w:pPr>
            <w:pStyle w:val="TOC3"/>
            <w:rPr>
              <w:rFonts w:asciiTheme="minorHAnsi" w:eastAsiaTheme="minorEastAsia" w:hAnsiTheme="minorHAnsi"/>
              <w:noProof/>
              <w:kern w:val="2"/>
              <w:sz w:val="24"/>
              <w:szCs w:val="24"/>
              <w14:ligatures w14:val="standardContextual"/>
            </w:rPr>
          </w:pPr>
          <w:hyperlink w:anchor="_Toc195435261" w:history="1">
            <w:r w:rsidRPr="00DD46C0">
              <w:rPr>
                <w:rStyle w:val="Hyperlink"/>
                <w:noProof/>
              </w:rPr>
              <w:t>How does blended apportionment work generally?</w:t>
            </w:r>
            <w:r>
              <w:rPr>
                <w:noProof/>
                <w:webHidden/>
              </w:rPr>
              <w:tab/>
            </w:r>
            <w:r>
              <w:rPr>
                <w:noProof/>
                <w:webHidden/>
              </w:rPr>
              <w:fldChar w:fldCharType="begin"/>
            </w:r>
            <w:r>
              <w:rPr>
                <w:noProof/>
                <w:webHidden/>
              </w:rPr>
              <w:instrText xml:space="preserve"> PAGEREF _Toc195435261 \h </w:instrText>
            </w:r>
            <w:r>
              <w:rPr>
                <w:noProof/>
                <w:webHidden/>
              </w:rPr>
            </w:r>
            <w:r>
              <w:rPr>
                <w:noProof/>
                <w:webHidden/>
              </w:rPr>
              <w:fldChar w:fldCharType="separate"/>
            </w:r>
            <w:r>
              <w:rPr>
                <w:noProof/>
                <w:webHidden/>
              </w:rPr>
              <w:t>39</w:t>
            </w:r>
            <w:r>
              <w:rPr>
                <w:noProof/>
                <w:webHidden/>
              </w:rPr>
              <w:fldChar w:fldCharType="end"/>
            </w:r>
          </w:hyperlink>
        </w:p>
        <w:p w14:paraId="309288FD" w14:textId="19125583" w:rsidR="00FF1104" w:rsidRDefault="00FF1104">
          <w:pPr>
            <w:pStyle w:val="TOC3"/>
            <w:rPr>
              <w:rFonts w:asciiTheme="minorHAnsi" w:eastAsiaTheme="minorEastAsia" w:hAnsiTheme="minorHAnsi"/>
              <w:noProof/>
              <w:kern w:val="2"/>
              <w:sz w:val="24"/>
              <w:szCs w:val="24"/>
              <w14:ligatures w14:val="standardContextual"/>
            </w:rPr>
          </w:pPr>
          <w:hyperlink w:anchor="_Toc195435262" w:history="1">
            <w:r w:rsidRPr="00DD46C0">
              <w:rPr>
                <w:rStyle w:val="Hyperlink"/>
                <w:noProof/>
              </w:rPr>
              <w:t>When should blended apportionment be used?</w:t>
            </w:r>
            <w:r>
              <w:rPr>
                <w:noProof/>
                <w:webHidden/>
              </w:rPr>
              <w:tab/>
            </w:r>
            <w:r>
              <w:rPr>
                <w:noProof/>
                <w:webHidden/>
              </w:rPr>
              <w:fldChar w:fldCharType="begin"/>
            </w:r>
            <w:r>
              <w:rPr>
                <w:noProof/>
                <w:webHidden/>
              </w:rPr>
              <w:instrText xml:space="preserve"> PAGEREF _Toc195435262 \h </w:instrText>
            </w:r>
            <w:r>
              <w:rPr>
                <w:noProof/>
                <w:webHidden/>
              </w:rPr>
            </w:r>
            <w:r>
              <w:rPr>
                <w:noProof/>
                <w:webHidden/>
              </w:rPr>
              <w:fldChar w:fldCharType="separate"/>
            </w:r>
            <w:r>
              <w:rPr>
                <w:noProof/>
                <w:webHidden/>
              </w:rPr>
              <w:t>44</w:t>
            </w:r>
            <w:r>
              <w:rPr>
                <w:noProof/>
                <w:webHidden/>
              </w:rPr>
              <w:fldChar w:fldCharType="end"/>
            </w:r>
          </w:hyperlink>
        </w:p>
        <w:p w14:paraId="009E1413" w14:textId="47755D83"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63" w:history="1">
            <w:r w:rsidRPr="00DD46C0">
              <w:rPr>
                <w:rStyle w:val="Hyperlink"/>
                <w:noProof/>
              </w:rPr>
              <w:t>II.C. Sourcing Special or Mandatory Allocations</w:t>
            </w:r>
            <w:r>
              <w:rPr>
                <w:noProof/>
                <w:webHidden/>
              </w:rPr>
              <w:tab/>
            </w:r>
            <w:r>
              <w:rPr>
                <w:noProof/>
                <w:webHidden/>
              </w:rPr>
              <w:fldChar w:fldCharType="begin"/>
            </w:r>
            <w:r>
              <w:rPr>
                <w:noProof/>
                <w:webHidden/>
              </w:rPr>
              <w:instrText xml:space="preserve"> PAGEREF _Toc195435263 \h </w:instrText>
            </w:r>
            <w:r>
              <w:rPr>
                <w:noProof/>
                <w:webHidden/>
              </w:rPr>
            </w:r>
            <w:r>
              <w:rPr>
                <w:noProof/>
                <w:webHidden/>
              </w:rPr>
              <w:fldChar w:fldCharType="separate"/>
            </w:r>
            <w:r>
              <w:rPr>
                <w:noProof/>
                <w:webHidden/>
              </w:rPr>
              <w:t>47</w:t>
            </w:r>
            <w:r>
              <w:rPr>
                <w:noProof/>
                <w:webHidden/>
              </w:rPr>
              <w:fldChar w:fldCharType="end"/>
            </w:r>
          </w:hyperlink>
        </w:p>
        <w:p w14:paraId="4B74DF4A" w14:textId="42E6911C"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64" w:history="1">
            <w:r w:rsidRPr="00DD46C0">
              <w:rPr>
                <w:rStyle w:val="Hyperlink"/>
                <w:noProof/>
              </w:rPr>
              <w:t>II.D. Other Related -Entity Transactions</w:t>
            </w:r>
            <w:r>
              <w:rPr>
                <w:noProof/>
                <w:webHidden/>
              </w:rPr>
              <w:tab/>
            </w:r>
            <w:r>
              <w:rPr>
                <w:noProof/>
                <w:webHidden/>
              </w:rPr>
              <w:fldChar w:fldCharType="begin"/>
            </w:r>
            <w:r>
              <w:rPr>
                <w:noProof/>
                <w:webHidden/>
              </w:rPr>
              <w:instrText xml:space="preserve"> PAGEREF _Toc195435264 \h </w:instrText>
            </w:r>
            <w:r>
              <w:rPr>
                <w:noProof/>
                <w:webHidden/>
              </w:rPr>
            </w:r>
            <w:r>
              <w:rPr>
                <w:noProof/>
                <w:webHidden/>
              </w:rPr>
              <w:fldChar w:fldCharType="separate"/>
            </w:r>
            <w:r>
              <w:rPr>
                <w:noProof/>
                <w:webHidden/>
              </w:rPr>
              <w:t>50</w:t>
            </w:r>
            <w:r>
              <w:rPr>
                <w:noProof/>
                <w:webHidden/>
              </w:rPr>
              <w:fldChar w:fldCharType="end"/>
            </w:r>
          </w:hyperlink>
        </w:p>
        <w:p w14:paraId="5DA6F12D" w14:textId="4343F6E5"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65" w:history="1">
            <w:r w:rsidRPr="00DD46C0">
              <w:rPr>
                <w:rStyle w:val="Hyperlink"/>
                <w:noProof/>
              </w:rPr>
              <w:t>II.E. Anti-Abuse Rules</w:t>
            </w:r>
            <w:r>
              <w:rPr>
                <w:noProof/>
                <w:webHidden/>
              </w:rPr>
              <w:tab/>
            </w:r>
            <w:r>
              <w:rPr>
                <w:noProof/>
                <w:webHidden/>
              </w:rPr>
              <w:fldChar w:fldCharType="begin"/>
            </w:r>
            <w:r>
              <w:rPr>
                <w:noProof/>
                <w:webHidden/>
              </w:rPr>
              <w:instrText xml:space="preserve"> PAGEREF _Toc195435265 \h </w:instrText>
            </w:r>
            <w:r>
              <w:rPr>
                <w:noProof/>
                <w:webHidden/>
              </w:rPr>
            </w:r>
            <w:r>
              <w:rPr>
                <w:noProof/>
                <w:webHidden/>
              </w:rPr>
              <w:fldChar w:fldCharType="separate"/>
            </w:r>
            <w:r>
              <w:rPr>
                <w:noProof/>
                <w:webHidden/>
              </w:rPr>
              <w:t>51</w:t>
            </w:r>
            <w:r>
              <w:rPr>
                <w:noProof/>
                <w:webHidden/>
              </w:rPr>
              <w:fldChar w:fldCharType="end"/>
            </w:r>
          </w:hyperlink>
        </w:p>
        <w:p w14:paraId="687F21BD" w14:textId="2BA10D62"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66" w:history="1">
            <w:r w:rsidRPr="00DD46C0">
              <w:rPr>
                <w:rStyle w:val="Hyperlink"/>
                <w:rFonts w:asciiTheme="majorHAnsi" w:eastAsiaTheme="majorEastAsia" w:hAnsiTheme="majorHAnsi" w:cstheme="majorBidi"/>
                <w:b/>
                <w:smallCaps/>
                <w:noProof/>
              </w:rPr>
              <w:t>III. Summary of Multistate Research On State Tax</w:t>
            </w:r>
            <w:r>
              <w:rPr>
                <w:noProof/>
                <w:webHidden/>
              </w:rPr>
              <w:tab/>
            </w:r>
            <w:r>
              <w:rPr>
                <w:noProof/>
                <w:webHidden/>
              </w:rPr>
              <w:fldChar w:fldCharType="begin"/>
            </w:r>
            <w:r>
              <w:rPr>
                <w:noProof/>
                <w:webHidden/>
              </w:rPr>
              <w:instrText xml:space="preserve"> PAGEREF _Toc195435266 \h </w:instrText>
            </w:r>
            <w:r>
              <w:rPr>
                <w:noProof/>
                <w:webHidden/>
              </w:rPr>
            </w:r>
            <w:r>
              <w:rPr>
                <w:noProof/>
                <w:webHidden/>
              </w:rPr>
              <w:fldChar w:fldCharType="separate"/>
            </w:r>
            <w:r>
              <w:rPr>
                <w:noProof/>
                <w:webHidden/>
              </w:rPr>
              <w:t>52</w:t>
            </w:r>
            <w:r>
              <w:rPr>
                <w:noProof/>
                <w:webHidden/>
              </w:rPr>
              <w:fldChar w:fldCharType="end"/>
            </w:r>
          </w:hyperlink>
        </w:p>
        <w:p w14:paraId="703E3A0E" w14:textId="1F1C9DB6" w:rsidR="00FF1104" w:rsidRDefault="00FF1104">
          <w:pPr>
            <w:pStyle w:val="TOC1"/>
            <w:rPr>
              <w:rFonts w:asciiTheme="minorHAnsi" w:eastAsiaTheme="minorEastAsia" w:hAnsiTheme="minorHAnsi"/>
              <w:b w:val="0"/>
              <w:bCs w:val="0"/>
              <w:noProof/>
              <w:color w:val="auto"/>
              <w:kern w:val="2"/>
              <w:sz w:val="24"/>
              <w:szCs w:val="24"/>
              <w14:ligatures w14:val="standardContextual"/>
            </w:rPr>
          </w:pPr>
          <w:hyperlink w:anchor="_Toc195435267" w:history="1">
            <w:r w:rsidRPr="00DD46C0">
              <w:rPr>
                <w:rStyle w:val="Hyperlink"/>
                <w:rFonts w:asciiTheme="majorHAnsi" w:eastAsiaTheme="majorEastAsia" w:hAnsiTheme="majorHAnsi" w:cstheme="majorBidi"/>
                <w:b/>
                <w:smallCaps/>
                <w:noProof/>
              </w:rPr>
              <w:t>Sourcing for Complex Partnership Structures</w:t>
            </w:r>
            <w:r>
              <w:rPr>
                <w:noProof/>
                <w:webHidden/>
              </w:rPr>
              <w:tab/>
            </w:r>
            <w:r>
              <w:rPr>
                <w:noProof/>
                <w:webHidden/>
              </w:rPr>
              <w:fldChar w:fldCharType="begin"/>
            </w:r>
            <w:r>
              <w:rPr>
                <w:noProof/>
                <w:webHidden/>
              </w:rPr>
              <w:instrText xml:space="preserve"> PAGEREF _Toc195435267 \h </w:instrText>
            </w:r>
            <w:r>
              <w:rPr>
                <w:noProof/>
                <w:webHidden/>
              </w:rPr>
            </w:r>
            <w:r>
              <w:rPr>
                <w:noProof/>
                <w:webHidden/>
              </w:rPr>
              <w:fldChar w:fldCharType="separate"/>
            </w:r>
            <w:r>
              <w:rPr>
                <w:noProof/>
                <w:webHidden/>
              </w:rPr>
              <w:t>52</w:t>
            </w:r>
            <w:r>
              <w:rPr>
                <w:noProof/>
                <w:webHidden/>
              </w:rPr>
              <w:fldChar w:fldCharType="end"/>
            </w:r>
          </w:hyperlink>
        </w:p>
        <w:p w14:paraId="1E462898" w14:textId="52AF2ECC"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68" w:history="1">
            <w:r w:rsidRPr="00DD46C0">
              <w:rPr>
                <w:rStyle w:val="Hyperlink"/>
                <w:rFonts w:asciiTheme="majorHAnsi" w:eastAsiaTheme="majorEastAsia" w:hAnsiTheme="majorHAnsi" w:cstheme="majorBidi"/>
                <w:noProof/>
              </w:rPr>
              <w:t>III. A.  Summary of Complex Partnership Structure</w:t>
            </w:r>
            <w:r>
              <w:rPr>
                <w:noProof/>
                <w:webHidden/>
              </w:rPr>
              <w:tab/>
            </w:r>
            <w:r>
              <w:rPr>
                <w:noProof/>
                <w:webHidden/>
              </w:rPr>
              <w:fldChar w:fldCharType="begin"/>
            </w:r>
            <w:r>
              <w:rPr>
                <w:noProof/>
                <w:webHidden/>
              </w:rPr>
              <w:instrText xml:space="preserve"> PAGEREF _Toc195435268 \h </w:instrText>
            </w:r>
            <w:r>
              <w:rPr>
                <w:noProof/>
                <w:webHidden/>
              </w:rPr>
            </w:r>
            <w:r>
              <w:rPr>
                <w:noProof/>
                <w:webHidden/>
              </w:rPr>
              <w:fldChar w:fldCharType="separate"/>
            </w:r>
            <w:r>
              <w:rPr>
                <w:noProof/>
                <w:webHidden/>
              </w:rPr>
              <w:t>52</w:t>
            </w:r>
            <w:r>
              <w:rPr>
                <w:noProof/>
                <w:webHidden/>
              </w:rPr>
              <w:fldChar w:fldCharType="end"/>
            </w:r>
          </w:hyperlink>
        </w:p>
        <w:p w14:paraId="04900C4A" w14:textId="21866182"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69" w:history="1">
            <w:r w:rsidRPr="00DD46C0">
              <w:rPr>
                <w:rStyle w:val="Hyperlink"/>
                <w:rFonts w:asciiTheme="majorHAnsi" w:eastAsiaTheme="majorEastAsia" w:hAnsiTheme="majorHAnsi" w:cstheme="majorBidi"/>
                <w:noProof/>
              </w:rPr>
              <w:t>Sourcing Issues Addressed by States</w:t>
            </w:r>
            <w:r>
              <w:rPr>
                <w:noProof/>
                <w:webHidden/>
              </w:rPr>
              <w:tab/>
            </w:r>
            <w:r>
              <w:rPr>
                <w:noProof/>
                <w:webHidden/>
              </w:rPr>
              <w:fldChar w:fldCharType="begin"/>
            </w:r>
            <w:r>
              <w:rPr>
                <w:noProof/>
                <w:webHidden/>
              </w:rPr>
              <w:instrText xml:space="preserve"> PAGEREF _Toc195435269 \h </w:instrText>
            </w:r>
            <w:r>
              <w:rPr>
                <w:noProof/>
                <w:webHidden/>
              </w:rPr>
            </w:r>
            <w:r>
              <w:rPr>
                <w:noProof/>
                <w:webHidden/>
              </w:rPr>
              <w:fldChar w:fldCharType="separate"/>
            </w:r>
            <w:r>
              <w:rPr>
                <w:noProof/>
                <w:webHidden/>
              </w:rPr>
              <w:t>52</w:t>
            </w:r>
            <w:r>
              <w:rPr>
                <w:noProof/>
                <w:webHidden/>
              </w:rPr>
              <w:fldChar w:fldCharType="end"/>
            </w:r>
          </w:hyperlink>
        </w:p>
        <w:p w14:paraId="253427C9" w14:textId="42CDBB48" w:rsidR="00FF1104" w:rsidRDefault="00FF1104">
          <w:pPr>
            <w:pStyle w:val="TOC2"/>
            <w:tabs>
              <w:tab w:val="right" w:leader="dot" w:pos="8774"/>
            </w:tabs>
            <w:rPr>
              <w:rFonts w:asciiTheme="minorHAnsi" w:eastAsiaTheme="minorEastAsia" w:hAnsiTheme="minorHAnsi"/>
              <w:noProof/>
              <w:kern w:val="2"/>
              <w:sz w:val="24"/>
              <w:szCs w:val="24"/>
              <w14:ligatures w14:val="standardContextual"/>
            </w:rPr>
          </w:pPr>
          <w:hyperlink w:anchor="_Toc195435270" w:history="1">
            <w:r w:rsidRPr="00DD46C0">
              <w:rPr>
                <w:rStyle w:val="Hyperlink"/>
                <w:rFonts w:asciiTheme="majorHAnsi" w:eastAsiaTheme="majorEastAsia" w:hAnsiTheme="majorHAnsi" w:cstheme="majorBidi"/>
                <w:noProof/>
              </w:rPr>
              <w:t>III. B.  State Rules on Sourcing for Complex Partnership Sourcing</w:t>
            </w:r>
            <w:r>
              <w:rPr>
                <w:noProof/>
                <w:webHidden/>
              </w:rPr>
              <w:tab/>
            </w:r>
            <w:r>
              <w:rPr>
                <w:noProof/>
                <w:webHidden/>
              </w:rPr>
              <w:fldChar w:fldCharType="begin"/>
            </w:r>
            <w:r>
              <w:rPr>
                <w:noProof/>
                <w:webHidden/>
              </w:rPr>
              <w:instrText xml:space="preserve"> PAGEREF _Toc195435270 \h </w:instrText>
            </w:r>
            <w:r>
              <w:rPr>
                <w:noProof/>
                <w:webHidden/>
              </w:rPr>
            </w:r>
            <w:r>
              <w:rPr>
                <w:noProof/>
                <w:webHidden/>
              </w:rPr>
              <w:fldChar w:fldCharType="separate"/>
            </w:r>
            <w:r>
              <w:rPr>
                <w:noProof/>
                <w:webHidden/>
              </w:rPr>
              <w:t>54</w:t>
            </w:r>
            <w:r>
              <w:rPr>
                <w:noProof/>
                <w:webHidden/>
              </w:rPr>
              <w:fldChar w:fldCharType="end"/>
            </w:r>
          </w:hyperlink>
        </w:p>
        <w:p w14:paraId="5CE706A3" w14:textId="30809F5A" w:rsidR="00FF1104" w:rsidRDefault="00FF1104">
          <w:pPr>
            <w:pStyle w:val="TOC3"/>
            <w:rPr>
              <w:rFonts w:asciiTheme="minorHAnsi" w:eastAsiaTheme="minorEastAsia" w:hAnsiTheme="minorHAnsi"/>
              <w:noProof/>
              <w:kern w:val="2"/>
              <w:sz w:val="24"/>
              <w:szCs w:val="24"/>
              <w14:ligatures w14:val="standardContextual"/>
            </w:rPr>
          </w:pPr>
          <w:hyperlink w:anchor="_Toc195435271" w:history="1">
            <w:r w:rsidRPr="00DD46C0">
              <w:rPr>
                <w:rStyle w:val="Hyperlink"/>
                <w:rFonts w:ascii="Californian FB" w:eastAsia="Times New Roman" w:hAnsi="Californian FB" w:cs="Times New Roman"/>
                <w:noProof/>
              </w:rPr>
              <w:t>Alabama</w:t>
            </w:r>
            <w:r>
              <w:rPr>
                <w:noProof/>
                <w:webHidden/>
              </w:rPr>
              <w:tab/>
            </w:r>
            <w:r>
              <w:rPr>
                <w:noProof/>
                <w:webHidden/>
              </w:rPr>
              <w:fldChar w:fldCharType="begin"/>
            </w:r>
            <w:r>
              <w:rPr>
                <w:noProof/>
                <w:webHidden/>
              </w:rPr>
              <w:instrText xml:space="preserve"> PAGEREF _Toc195435271 \h </w:instrText>
            </w:r>
            <w:r>
              <w:rPr>
                <w:noProof/>
                <w:webHidden/>
              </w:rPr>
            </w:r>
            <w:r>
              <w:rPr>
                <w:noProof/>
                <w:webHidden/>
              </w:rPr>
              <w:fldChar w:fldCharType="separate"/>
            </w:r>
            <w:r>
              <w:rPr>
                <w:noProof/>
                <w:webHidden/>
              </w:rPr>
              <w:t>54</w:t>
            </w:r>
            <w:r>
              <w:rPr>
                <w:noProof/>
                <w:webHidden/>
              </w:rPr>
              <w:fldChar w:fldCharType="end"/>
            </w:r>
          </w:hyperlink>
        </w:p>
        <w:p w14:paraId="25F67308" w14:textId="38E263B7" w:rsidR="00FF1104" w:rsidRDefault="00FF1104">
          <w:pPr>
            <w:pStyle w:val="TOC3"/>
            <w:rPr>
              <w:rFonts w:asciiTheme="minorHAnsi" w:eastAsiaTheme="minorEastAsia" w:hAnsiTheme="minorHAnsi"/>
              <w:noProof/>
              <w:kern w:val="2"/>
              <w:sz w:val="24"/>
              <w:szCs w:val="24"/>
              <w14:ligatures w14:val="standardContextual"/>
            </w:rPr>
          </w:pPr>
          <w:hyperlink w:anchor="_Toc195435272" w:history="1">
            <w:r w:rsidRPr="00DD46C0">
              <w:rPr>
                <w:rStyle w:val="Hyperlink"/>
                <w:rFonts w:ascii="Californian FB" w:eastAsia="Times New Roman" w:hAnsi="Californian FB" w:cs="Times New Roman"/>
                <w:noProof/>
              </w:rPr>
              <w:t>Alaska</w:t>
            </w:r>
            <w:r>
              <w:rPr>
                <w:noProof/>
                <w:webHidden/>
              </w:rPr>
              <w:tab/>
            </w:r>
            <w:r>
              <w:rPr>
                <w:noProof/>
                <w:webHidden/>
              </w:rPr>
              <w:fldChar w:fldCharType="begin"/>
            </w:r>
            <w:r>
              <w:rPr>
                <w:noProof/>
                <w:webHidden/>
              </w:rPr>
              <w:instrText xml:space="preserve"> PAGEREF _Toc195435272 \h </w:instrText>
            </w:r>
            <w:r>
              <w:rPr>
                <w:noProof/>
                <w:webHidden/>
              </w:rPr>
            </w:r>
            <w:r>
              <w:rPr>
                <w:noProof/>
                <w:webHidden/>
              </w:rPr>
              <w:fldChar w:fldCharType="separate"/>
            </w:r>
            <w:r>
              <w:rPr>
                <w:noProof/>
                <w:webHidden/>
              </w:rPr>
              <w:t>54</w:t>
            </w:r>
            <w:r>
              <w:rPr>
                <w:noProof/>
                <w:webHidden/>
              </w:rPr>
              <w:fldChar w:fldCharType="end"/>
            </w:r>
          </w:hyperlink>
        </w:p>
        <w:p w14:paraId="7AA7CF3F" w14:textId="100AE99F" w:rsidR="00FF1104" w:rsidRDefault="00FF1104">
          <w:pPr>
            <w:pStyle w:val="TOC3"/>
            <w:rPr>
              <w:rFonts w:asciiTheme="minorHAnsi" w:eastAsiaTheme="minorEastAsia" w:hAnsiTheme="minorHAnsi"/>
              <w:noProof/>
              <w:kern w:val="2"/>
              <w:sz w:val="24"/>
              <w:szCs w:val="24"/>
              <w14:ligatures w14:val="standardContextual"/>
            </w:rPr>
          </w:pPr>
          <w:hyperlink w:anchor="_Toc195435273" w:history="1">
            <w:r w:rsidRPr="00DD46C0">
              <w:rPr>
                <w:rStyle w:val="Hyperlink"/>
                <w:rFonts w:ascii="Californian FB" w:eastAsia="Times New Roman" w:hAnsi="Californian FB" w:cs="Times New Roman"/>
                <w:noProof/>
              </w:rPr>
              <w:t>Arizona</w:t>
            </w:r>
            <w:r>
              <w:rPr>
                <w:noProof/>
                <w:webHidden/>
              </w:rPr>
              <w:tab/>
            </w:r>
            <w:r>
              <w:rPr>
                <w:noProof/>
                <w:webHidden/>
              </w:rPr>
              <w:fldChar w:fldCharType="begin"/>
            </w:r>
            <w:r>
              <w:rPr>
                <w:noProof/>
                <w:webHidden/>
              </w:rPr>
              <w:instrText xml:space="preserve"> PAGEREF _Toc195435273 \h </w:instrText>
            </w:r>
            <w:r>
              <w:rPr>
                <w:noProof/>
                <w:webHidden/>
              </w:rPr>
            </w:r>
            <w:r>
              <w:rPr>
                <w:noProof/>
                <w:webHidden/>
              </w:rPr>
              <w:fldChar w:fldCharType="separate"/>
            </w:r>
            <w:r>
              <w:rPr>
                <w:noProof/>
                <w:webHidden/>
              </w:rPr>
              <w:t>54</w:t>
            </w:r>
            <w:r>
              <w:rPr>
                <w:noProof/>
                <w:webHidden/>
              </w:rPr>
              <w:fldChar w:fldCharType="end"/>
            </w:r>
          </w:hyperlink>
        </w:p>
        <w:p w14:paraId="12C69FD2" w14:textId="781F9786" w:rsidR="00FF1104" w:rsidRDefault="00FF1104">
          <w:pPr>
            <w:pStyle w:val="TOC3"/>
            <w:rPr>
              <w:rFonts w:asciiTheme="minorHAnsi" w:eastAsiaTheme="minorEastAsia" w:hAnsiTheme="minorHAnsi"/>
              <w:noProof/>
              <w:kern w:val="2"/>
              <w:sz w:val="24"/>
              <w:szCs w:val="24"/>
              <w14:ligatures w14:val="standardContextual"/>
            </w:rPr>
          </w:pPr>
          <w:hyperlink w:anchor="_Toc195435274" w:history="1">
            <w:r w:rsidRPr="00DD46C0">
              <w:rPr>
                <w:rStyle w:val="Hyperlink"/>
                <w:rFonts w:ascii="Californian FB" w:eastAsia="Times New Roman" w:hAnsi="Californian FB" w:cs="Times New Roman"/>
                <w:noProof/>
              </w:rPr>
              <w:t>Arkansas</w:t>
            </w:r>
            <w:r>
              <w:rPr>
                <w:noProof/>
                <w:webHidden/>
              </w:rPr>
              <w:tab/>
            </w:r>
            <w:r>
              <w:rPr>
                <w:noProof/>
                <w:webHidden/>
              </w:rPr>
              <w:fldChar w:fldCharType="begin"/>
            </w:r>
            <w:r>
              <w:rPr>
                <w:noProof/>
                <w:webHidden/>
              </w:rPr>
              <w:instrText xml:space="preserve"> PAGEREF _Toc195435274 \h </w:instrText>
            </w:r>
            <w:r>
              <w:rPr>
                <w:noProof/>
                <w:webHidden/>
              </w:rPr>
            </w:r>
            <w:r>
              <w:rPr>
                <w:noProof/>
                <w:webHidden/>
              </w:rPr>
              <w:fldChar w:fldCharType="separate"/>
            </w:r>
            <w:r>
              <w:rPr>
                <w:noProof/>
                <w:webHidden/>
              </w:rPr>
              <w:t>56</w:t>
            </w:r>
            <w:r>
              <w:rPr>
                <w:noProof/>
                <w:webHidden/>
              </w:rPr>
              <w:fldChar w:fldCharType="end"/>
            </w:r>
          </w:hyperlink>
        </w:p>
        <w:p w14:paraId="68EDFF8C" w14:textId="15336F1A" w:rsidR="00FF1104" w:rsidRDefault="00FF1104">
          <w:pPr>
            <w:pStyle w:val="TOC3"/>
            <w:rPr>
              <w:rFonts w:asciiTheme="minorHAnsi" w:eastAsiaTheme="minorEastAsia" w:hAnsiTheme="minorHAnsi"/>
              <w:noProof/>
              <w:kern w:val="2"/>
              <w:sz w:val="24"/>
              <w:szCs w:val="24"/>
              <w14:ligatures w14:val="standardContextual"/>
            </w:rPr>
          </w:pPr>
          <w:hyperlink w:anchor="_Toc195435275" w:history="1">
            <w:r w:rsidRPr="00DD46C0">
              <w:rPr>
                <w:rStyle w:val="Hyperlink"/>
                <w:rFonts w:ascii="Californian FB" w:eastAsia="Times New Roman" w:hAnsi="Californian FB" w:cs="Times New Roman"/>
                <w:noProof/>
              </w:rPr>
              <w:t>California</w:t>
            </w:r>
            <w:r>
              <w:rPr>
                <w:noProof/>
                <w:webHidden/>
              </w:rPr>
              <w:tab/>
            </w:r>
            <w:r>
              <w:rPr>
                <w:noProof/>
                <w:webHidden/>
              </w:rPr>
              <w:fldChar w:fldCharType="begin"/>
            </w:r>
            <w:r>
              <w:rPr>
                <w:noProof/>
                <w:webHidden/>
              </w:rPr>
              <w:instrText xml:space="preserve"> PAGEREF _Toc195435275 \h </w:instrText>
            </w:r>
            <w:r>
              <w:rPr>
                <w:noProof/>
                <w:webHidden/>
              </w:rPr>
            </w:r>
            <w:r>
              <w:rPr>
                <w:noProof/>
                <w:webHidden/>
              </w:rPr>
              <w:fldChar w:fldCharType="separate"/>
            </w:r>
            <w:r>
              <w:rPr>
                <w:noProof/>
                <w:webHidden/>
              </w:rPr>
              <w:t>56</w:t>
            </w:r>
            <w:r>
              <w:rPr>
                <w:noProof/>
                <w:webHidden/>
              </w:rPr>
              <w:fldChar w:fldCharType="end"/>
            </w:r>
          </w:hyperlink>
        </w:p>
        <w:p w14:paraId="0D7189E9" w14:textId="2663CE8C" w:rsidR="00FF1104" w:rsidRDefault="00FF1104">
          <w:pPr>
            <w:pStyle w:val="TOC3"/>
            <w:rPr>
              <w:rFonts w:asciiTheme="minorHAnsi" w:eastAsiaTheme="minorEastAsia" w:hAnsiTheme="minorHAnsi"/>
              <w:noProof/>
              <w:kern w:val="2"/>
              <w:sz w:val="24"/>
              <w:szCs w:val="24"/>
              <w14:ligatures w14:val="standardContextual"/>
            </w:rPr>
          </w:pPr>
          <w:hyperlink w:anchor="_Toc195435276" w:history="1">
            <w:r w:rsidRPr="00DD46C0">
              <w:rPr>
                <w:rStyle w:val="Hyperlink"/>
                <w:rFonts w:ascii="Californian FB" w:eastAsia="Times New Roman" w:hAnsi="Californian FB" w:cs="Times New Roman"/>
                <w:noProof/>
              </w:rPr>
              <w:t>Colorado</w:t>
            </w:r>
            <w:r>
              <w:rPr>
                <w:noProof/>
                <w:webHidden/>
              </w:rPr>
              <w:tab/>
            </w:r>
            <w:r>
              <w:rPr>
                <w:noProof/>
                <w:webHidden/>
              </w:rPr>
              <w:fldChar w:fldCharType="begin"/>
            </w:r>
            <w:r>
              <w:rPr>
                <w:noProof/>
                <w:webHidden/>
              </w:rPr>
              <w:instrText xml:space="preserve"> PAGEREF _Toc195435276 \h </w:instrText>
            </w:r>
            <w:r>
              <w:rPr>
                <w:noProof/>
                <w:webHidden/>
              </w:rPr>
            </w:r>
            <w:r>
              <w:rPr>
                <w:noProof/>
                <w:webHidden/>
              </w:rPr>
              <w:fldChar w:fldCharType="separate"/>
            </w:r>
            <w:r>
              <w:rPr>
                <w:noProof/>
                <w:webHidden/>
              </w:rPr>
              <w:t>61</w:t>
            </w:r>
            <w:r>
              <w:rPr>
                <w:noProof/>
                <w:webHidden/>
              </w:rPr>
              <w:fldChar w:fldCharType="end"/>
            </w:r>
          </w:hyperlink>
        </w:p>
        <w:p w14:paraId="57C46046" w14:textId="2C1E3BAC" w:rsidR="00FF1104" w:rsidRDefault="00FF1104">
          <w:pPr>
            <w:pStyle w:val="TOC3"/>
            <w:rPr>
              <w:rFonts w:asciiTheme="minorHAnsi" w:eastAsiaTheme="minorEastAsia" w:hAnsiTheme="minorHAnsi"/>
              <w:noProof/>
              <w:kern w:val="2"/>
              <w:sz w:val="24"/>
              <w:szCs w:val="24"/>
              <w14:ligatures w14:val="standardContextual"/>
            </w:rPr>
          </w:pPr>
          <w:hyperlink w:anchor="_Toc195435277" w:history="1">
            <w:r w:rsidRPr="00DD46C0">
              <w:rPr>
                <w:rStyle w:val="Hyperlink"/>
                <w:rFonts w:ascii="Californian FB" w:eastAsia="Times New Roman" w:hAnsi="Californian FB" w:cs="Times New Roman"/>
                <w:noProof/>
              </w:rPr>
              <w:t>Connecticut</w:t>
            </w:r>
            <w:r>
              <w:rPr>
                <w:noProof/>
                <w:webHidden/>
              </w:rPr>
              <w:tab/>
            </w:r>
            <w:r>
              <w:rPr>
                <w:noProof/>
                <w:webHidden/>
              </w:rPr>
              <w:fldChar w:fldCharType="begin"/>
            </w:r>
            <w:r>
              <w:rPr>
                <w:noProof/>
                <w:webHidden/>
              </w:rPr>
              <w:instrText xml:space="preserve"> PAGEREF _Toc195435277 \h </w:instrText>
            </w:r>
            <w:r>
              <w:rPr>
                <w:noProof/>
                <w:webHidden/>
              </w:rPr>
            </w:r>
            <w:r>
              <w:rPr>
                <w:noProof/>
                <w:webHidden/>
              </w:rPr>
              <w:fldChar w:fldCharType="separate"/>
            </w:r>
            <w:r>
              <w:rPr>
                <w:noProof/>
                <w:webHidden/>
              </w:rPr>
              <w:t>63</w:t>
            </w:r>
            <w:r>
              <w:rPr>
                <w:noProof/>
                <w:webHidden/>
              </w:rPr>
              <w:fldChar w:fldCharType="end"/>
            </w:r>
          </w:hyperlink>
        </w:p>
        <w:p w14:paraId="23AE32DA" w14:textId="0ACF7118" w:rsidR="00FF1104" w:rsidRDefault="00FF1104">
          <w:pPr>
            <w:pStyle w:val="TOC3"/>
            <w:rPr>
              <w:rFonts w:asciiTheme="minorHAnsi" w:eastAsiaTheme="minorEastAsia" w:hAnsiTheme="minorHAnsi"/>
              <w:noProof/>
              <w:kern w:val="2"/>
              <w:sz w:val="24"/>
              <w:szCs w:val="24"/>
              <w14:ligatures w14:val="standardContextual"/>
            </w:rPr>
          </w:pPr>
          <w:hyperlink w:anchor="_Toc195435278" w:history="1">
            <w:r w:rsidRPr="00DD46C0">
              <w:rPr>
                <w:rStyle w:val="Hyperlink"/>
                <w:rFonts w:ascii="Californian FB" w:eastAsia="Times New Roman" w:hAnsi="Californian FB" w:cs="Times New Roman"/>
                <w:noProof/>
              </w:rPr>
              <w:t>Delaware</w:t>
            </w:r>
            <w:r>
              <w:rPr>
                <w:noProof/>
                <w:webHidden/>
              </w:rPr>
              <w:tab/>
            </w:r>
            <w:r>
              <w:rPr>
                <w:noProof/>
                <w:webHidden/>
              </w:rPr>
              <w:fldChar w:fldCharType="begin"/>
            </w:r>
            <w:r>
              <w:rPr>
                <w:noProof/>
                <w:webHidden/>
              </w:rPr>
              <w:instrText xml:space="preserve"> PAGEREF _Toc195435278 \h </w:instrText>
            </w:r>
            <w:r>
              <w:rPr>
                <w:noProof/>
                <w:webHidden/>
              </w:rPr>
            </w:r>
            <w:r>
              <w:rPr>
                <w:noProof/>
                <w:webHidden/>
              </w:rPr>
              <w:fldChar w:fldCharType="separate"/>
            </w:r>
            <w:r>
              <w:rPr>
                <w:noProof/>
                <w:webHidden/>
              </w:rPr>
              <w:t>66</w:t>
            </w:r>
            <w:r>
              <w:rPr>
                <w:noProof/>
                <w:webHidden/>
              </w:rPr>
              <w:fldChar w:fldCharType="end"/>
            </w:r>
          </w:hyperlink>
        </w:p>
        <w:p w14:paraId="6CE18B5E" w14:textId="6A956B63" w:rsidR="00FF1104" w:rsidRDefault="00FF1104">
          <w:pPr>
            <w:pStyle w:val="TOC3"/>
            <w:rPr>
              <w:rFonts w:asciiTheme="minorHAnsi" w:eastAsiaTheme="minorEastAsia" w:hAnsiTheme="minorHAnsi"/>
              <w:noProof/>
              <w:kern w:val="2"/>
              <w:sz w:val="24"/>
              <w:szCs w:val="24"/>
              <w14:ligatures w14:val="standardContextual"/>
            </w:rPr>
          </w:pPr>
          <w:hyperlink w:anchor="_Toc195435279" w:history="1">
            <w:r w:rsidRPr="00DD46C0">
              <w:rPr>
                <w:rStyle w:val="Hyperlink"/>
                <w:rFonts w:ascii="Californian FB" w:eastAsia="Times New Roman" w:hAnsi="Californian FB" w:cs="Times New Roman"/>
                <w:noProof/>
              </w:rPr>
              <w:t>District of Columbia</w:t>
            </w:r>
            <w:r>
              <w:rPr>
                <w:noProof/>
                <w:webHidden/>
              </w:rPr>
              <w:tab/>
            </w:r>
            <w:r>
              <w:rPr>
                <w:noProof/>
                <w:webHidden/>
              </w:rPr>
              <w:fldChar w:fldCharType="begin"/>
            </w:r>
            <w:r>
              <w:rPr>
                <w:noProof/>
                <w:webHidden/>
              </w:rPr>
              <w:instrText xml:space="preserve"> PAGEREF _Toc195435279 \h </w:instrText>
            </w:r>
            <w:r>
              <w:rPr>
                <w:noProof/>
                <w:webHidden/>
              </w:rPr>
            </w:r>
            <w:r>
              <w:rPr>
                <w:noProof/>
                <w:webHidden/>
              </w:rPr>
              <w:fldChar w:fldCharType="separate"/>
            </w:r>
            <w:r>
              <w:rPr>
                <w:noProof/>
                <w:webHidden/>
              </w:rPr>
              <w:t>67</w:t>
            </w:r>
            <w:r>
              <w:rPr>
                <w:noProof/>
                <w:webHidden/>
              </w:rPr>
              <w:fldChar w:fldCharType="end"/>
            </w:r>
          </w:hyperlink>
        </w:p>
        <w:p w14:paraId="23AC7B81" w14:textId="73BF9AEB" w:rsidR="00FF1104" w:rsidRDefault="00FF1104">
          <w:pPr>
            <w:pStyle w:val="TOC3"/>
            <w:rPr>
              <w:rFonts w:asciiTheme="minorHAnsi" w:eastAsiaTheme="minorEastAsia" w:hAnsiTheme="minorHAnsi"/>
              <w:noProof/>
              <w:kern w:val="2"/>
              <w:sz w:val="24"/>
              <w:szCs w:val="24"/>
              <w14:ligatures w14:val="standardContextual"/>
            </w:rPr>
          </w:pPr>
          <w:hyperlink w:anchor="_Toc195435280" w:history="1">
            <w:r w:rsidRPr="00DD46C0">
              <w:rPr>
                <w:rStyle w:val="Hyperlink"/>
                <w:rFonts w:ascii="Californian FB" w:eastAsia="Times New Roman" w:hAnsi="Californian FB" w:cs="Times New Roman"/>
                <w:noProof/>
              </w:rPr>
              <w:t>Florida</w:t>
            </w:r>
            <w:r>
              <w:rPr>
                <w:noProof/>
                <w:webHidden/>
              </w:rPr>
              <w:tab/>
            </w:r>
            <w:r>
              <w:rPr>
                <w:noProof/>
                <w:webHidden/>
              </w:rPr>
              <w:fldChar w:fldCharType="begin"/>
            </w:r>
            <w:r>
              <w:rPr>
                <w:noProof/>
                <w:webHidden/>
              </w:rPr>
              <w:instrText xml:space="preserve"> PAGEREF _Toc195435280 \h </w:instrText>
            </w:r>
            <w:r>
              <w:rPr>
                <w:noProof/>
                <w:webHidden/>
              </w:rPr>
            </w:r>
            <w:r>
              <w:rPr>
                <w:noProof/>
                <w:webHidden/>
              </w:rPr>
              <w:fldChar w:fldCharType="separate"/>
            </w:r>
            <w:r>
              <w:rPr>
                <w:noProof/>
                <w:webHidden/>
              </w:rPr>
              <w:t>69</w:t>
            </w:r>
            <w:r>
              <w:rPr>
                <w:noProof/>
                <w:webHidden/>
              </w:rPr>
              <w:fldChar w:fldCharType="end"/>
            </w:r>
          </w:hyperlink>
        </w:p>
        <w:p w14:paraId="2B0ABC23" w14:textId="4FD74DC6" w:rsidR="00FF1104" w:rsidRDefault="00FF1104">
          <w:pPr>
            <w:pStyle w:val="TOC3"/>
            <w:rPr>
              <w:rFonts w:asciiTheme="minorHAnsi" w:eastAsiaTheme="minorEastAsia" w:hAnsiTheme="minorHAnsi"/>
              <w:noProof/>
              <w:kern w:val="2"/>
              <w:sz w:val="24"/>
              <w:szCs w:val="24"/>
              <w14:ligatures w14:val="standardContextual"/>
            </w:rPr>
          </w:pPr>
          <w:hyperlink w:anchor="_Toc195435281" w:history="1">
            <w:r w:rsidRPr="00DD46C0">
              <w:rPr>
                <w:rStyle w:val="Hyperlink"/>
                <w:rFonts w:ascii="Californian FB" w:eastAsia="Times New Roman" w:hAnsi="Californian FB" w:cs="Times New Roman"/>
                <w:noProof/>
              </w:rPr>
              <w:t>Georgia</w:t>
            </w:r>
            <w:r>
              <w:rPr>
                <w:noProof/>
                <w:webHidden/>
              </w:rPr>
              <w:tab/>
            </w:r>
            <w:r>
              <w:rPr>
                <w:noProof/>
                <w:webHidden/>
              </w:rPr>
              <w:fldChar w:fldCharType="begin"/>
            </w:r>
            <w:r>
              <w:rPr>
                <w:noProof/>
                <w:webHidden/>
              </w:rPr>
              <w:instrText xml:space="preserve"> PAGEREF _Toc195435281 \h </w:instrText>
            </w:r>
            <w:r>
              <w:rPr>
                <w:noProof/>
                <w:webHidden/>
              </w:rPr>
            </w:r>
            <w:r>
              <w:rPr>
                <w:noProof/>
                <w:webHidden/>
              </w:rPr>
              <w:fldChar w:fldCharType="separate"/>
            </w:r>
            <w:r>
              <w:rPr>
                <w:noProof/>
                <w:webHidden/>
              </w:rPr>
              <w:t>70</w:t>
            </w:r>
            <w:r>
              <w:rPr>
                <w:noProof/>
                <w:webHidden/>
              </w:rPr>
              <w:fldChar w:fldCharType="end"/>
            </w:r>
          </w:hyperlink>
        </w:p>
        <w:p w14:paraId="55E04E00" w14:textId="44C655A6" w:rsidR="00FF1104" w:rsidRDefault="00FF1104">
          <w:pPr>
            <w:pStyle w:val="TOC3"/>
            <w:rPr>
              <w:rFonts w:asciiTheme="minorHAnsi" w:eastAsiaTheme="minorEastAsia" w:hAnsiTheme="minorHAnsi"/>
              <w:noProof/>
              <w:kern w:val="2"/>
              <w:sz w:val="24"/>
              <w:szCs w:val="24"/>
              <w14:ligatures w14:val="standardContextual"/>
            </w:rPr>
          </w:pPr>
          <w:hyperlink w:anchor="_Toc195435282" w:history="1">
            <w:r w:rsidRPr="00DD46C0">
              <w:rPr>
                <w:rStyle w:val="Hyperlink"/>
                <w:rFonts w:ascii="Californian FB" w:eastAsia="Times New Roman" w:hAnsi="Californian FB" w:cs="Times New Roman"/>
                <w:noProof/>
              </w:rPr>
              <w:t>Hawaii</w:t>
            </w:r>
            <w:r>
              <w:rPr>
                <w:noProof/>
                <w:webHidden/>
              </w:rPr>
              <w:tab/>
            </w:r>
            <w:r>
              <w:rPr>
                <w:noProof/>
                <w:webHidden/>
              </w:rPr>
              <w:fldChar w:fldCharType="begin"/>
            </w:r>
            <w:r>
              <w:rPr>
                <w:noProof/>
                <w:webHidden/>
              </w:rPr>
              <w:instrText xml:space="preserve"> PAGEREF _Toc195435282 \h </w:instrText>
            </w:r>
            <w:r>
              <w:rPr>
                <w:noProof/>
                <w:webHidden/>
              </w:rPr>
            </w:r>
            <w:r>
              <w:rPr>
                <w:noProof/>
                <w:webHidden/>
              </w:rPr>
              <w:fldChar w:fldCharType="separate"/>
            </w:r>
            <w:r>
              <w:rPr>
                <w:noProof/>
                <w:webHidden/>
              </w:rPr>
              <w:t>71</w:t>
            </w:r>
            <w:r>
              <w:rPr>
                <w:noProof/>
                <w:webHidden/>
              </w:rPr>
              <w:fldChar w:fldCharType="end"/>
            </w:r>
          </w:hyperlink>
        </w:p>
        <w:p w14:paraId="191D3430" w14:textId="4995D458" w:rsidR="00FF1104" w:rsidRDefault="00FF1104">
          <w:pPr>
            <w:pStyle w:val="TOC3"/>
            <w:rPr>
              <w:rFonts w:asciiTheme="minorHAnsi" w:eastAsiaTheme="minorEastAsia" w:hAnsiTheme="minorHAnsi"/>
              <w:noProof/>
              <w:kern w:val="2"/>
              <w:sz w:val="24"/>
              <w:szCs w:val="24"/>
              <w14:ligatures w14:val="standardContextual"/>
            </w:rPr>
          </w:pPr>
          <w:hyperlink w:anchor="_Toc195435283" w:history="1">
            <w:r w:rsidRPr="00DD46C0">
              <w:rPr>
                <w:rStyle w:val="Hyperlink"/>
                <w:rFonts w:ascii="Californian FB" w:eastAsia="Times New Roman" w:hAnsi="Californian FB" w:cs="Times New Roman"/>
                <w:noProof/>
              </w:rPr>
              <w:t>Idaho</w:t>
            </w:r>
            <w:r>
              <w:rPr>
                <w:noProof/>
                <w:webHidden/>
              </w:rPr>
              <w:tab/>
            </w:r>
            <w:r>
              <w:rPr>
                <w:noProof/>
                <w:webHidden/>
              </w:rPr>
              <w:fldChar w:fldCharType="begin"/>
            </w:r>
            <w:r>
              <w:rPr>
                <w:noProof/>
                <w:webHidden/>
              </w:rPr>
              <w:instrText xml:space="preserve"> PAGEREF _Toc195435283 \h </w:instrText>
            </w:r>
            <w:r>
              <w:rPr>
                <w:noProof/>
                <w:webHidden/>
              </w:rPr>
            </w:r>
            <w:r>
              <w:rPr>
                <w:noProof/>
                <w:webHidden/>
              </w:rPr>
              <w:fldChar w:fldCharType="separate"/>
            </w:r>
            <w:r>
              <w:rPr>
                <w:noProof/>
                <w:webHidden/>
              </w:rPr>
              <w:t>72</w:t>
            </w:r>
            <w:r>
              <w:rPr>
                <w:noProof/>
                <w:webHidden/>
              </w:rPr>
              <w:fldChar w:fldCharType="end"/>
            </w:r>
          </w:hyperlink>
        </w:p>
        <w:p w14:paraId="1067D548" w14:textId="5CCEA276" w:rsidR="00FF1104" w:rsidRDefault="00FF1104">
          <w:pPr>
            <w:pStyle w:val="TOC3"/>
            <w:rPr>
              <w:rFonts w:asciiTheme="minorHAnsi" w:eastAsiaTheme="minorEastAsia" w:hAnsiTheme="minorHAnsi"/>
              <w:noProof/>
              <w:kern w:val="2"/>
              <w:sz w:val="24"/>
              <w:szCs w:val="24"/>
              <w14:ligatures w14:val="standardContextual"/>
            </w:rPr>
          </w:pPr>
          <w:hyperlink w:anchor="_Toc195435284" w:history="1">
            <w:r w:rsidRPr="00DD46C0">
              <w:rPr>
                <w:rStyle w:val="Hyperlink"/>
                <w:rFonts w:ascii="Californian FB" w:eastAsia="Times New Roman" w:hAnsi="Californian FB" w:cs="Times New Roman"/>
                <w:noProof/>
              </w:rPr>
              <w:t>Illinois</w:t>
            </w:r>
            <w:r>
              <w:rPr>
                <w:noProof/>
                <w:webHidden/>
              </w:rPr>
              <w:tab/>
            </w:r>
            <w:r>
              <w:rPr>
                <w:noProof/>
                <w:webHidden/>
              </w:rPr>
              <w:fldChar w:fldCharType="begin"/>
            </w:r>
            <w:r>
              <w:rPr>
                <w:noProof/>
                <w:webHidden/>
              </w:rPr>
              <w:instrText xml:space="preserve"> PAGEREF _Toc195435284 \h </w:instrText>
            </w:r>
            <w:r>
              <w:rPr>
                <w:noProof/>
                <w:webHidden/>
              </w:rPr>
            </w:r>
            <w:r>
              <w:rPr>
                <w:noProof/>
                <w:webHidden/>
              </w:rPr>
              <w:fldChar w:fldCharType="separate"/>
            </w:r>
            <w:r>
              <w:rPr>
                <w:noProof/>
                <w:webHidden/>
              </w:rPr>
              <w:t>73</w:t>
            </w:r>
            <w:r>
              <w:rPr>
                <w:noProof/>
                <w:webHidden/>
              </w:rPr>
              <w:fldChar w:fldCharType="end"/>
            </w:r>
          </w:hyperlink>
        </w:p>
        <w:p w14:paraId="7A6DD556" w14:textId="720F7055" w:rsidR="00FF1104" w:rsidRDefault="00FF1104">
          <w:pPr>
            <w:pStyle w:val="TOC3"/>
            <w:rPr>
              <w:rFonts w:asciiTheme="minorHAnsi" w:eastAsiaTheme="minorEastAsia" w:hAnsiTheme="minorHAnsi"/>
              <w:noProof/>
              <w:kern w:val="2"/>
              <w:sz w:val="24"/>
              <w:szCs w:val="24"/>
              <w14:ligatures w14:val="standardContextual"/>
            </w:rPr>
          </w:pPr>
          <w:hyperlink w:anchor="_Toc195435285" w:history="1">
            <w:r w:rsidRPr="00DD46C0">
              <w:rPr>
                <w:rStyle w:val="Hyperlink"/>
                <w:rFonts w:ascii="Californian FB" w:eastAsia="Times New Roman" w:hAnsi="Californian FB" w:cs="Times New Roman"/>
                <w:noProof/>
              </w:rPr>
              <w:t>Indiana</w:t>
            </w:r>
            <w:r>
              <w:rPr>
                <w:noProof/>
                <w:webHidden/>
              </w:rPr>
              <w:tab/>
            </w:r>
            <w:r>
              <w:rPr>
                <w:noProof/>
                <w:webHidden/>
              </w:rPr>
              <w:fldChar w:fldCharType="begin"/>
            </w:r>
            <w:r>
              <w:rPr>
                <w:noProof/>
                <w:webHidden/>
              </w:rPr>
              <w:instrText xml:space="preserve"> PAGEREF _Toc195435285 \h </w:instrText>
            </w:r>
            <w:r>
              <w:rPr>
                <w:noProof/>
                <w:webHidden/>
              </w:rPr>
            </w:r>
            <w:r>
              <w:rPr>
                <w:noProof/>
                <w:webHidden/>
              </w:rPr>
              <w:fldChar w:fldCharType="separate"/>
            </w:r>
            <w:r>
              <w:rPr>
                <w:noProof/>
                <w:webHidden/>
              </w:rPr>
              <w:t>79</w:t>
            </w:r>
            <w:r>
              <w:rPr>
                <w:noProof/>
                <w:webHidden/>
              </w:rPr>
              <w:fldChar w:fldCharType="end"/>
            </w:r>
          </w:hyperlink>
        </w:p>
        <w:p w14:paraId="629E4E8F" w14:textId="44DA0936" w:rsidR="00FF1104" w:rsidRDefault="00FF1104">
          <w:pPr>
            <w:pStyle w:val="TOC3"/>
            <w:rPr>
              <w:rFonts w:asciiTheme="minorHAnsi" w:eastAsiaTheme="minorEastAsia" w:hAnsiTheme="minorHAnsi"/>
              <w:noProof/>
              <w:kern w:val="2"/>
              <w:sz w:val="24"/>
              <w:szCs w:val="24"/>
              <w14:ligatures w14:val="standardContextual"/>
            </w:rPr>
          </w:pPr>
          <w:hyperlink w:anchor="_Toc195435286" w:history="1">
            <w:r w:rsidRPr="00DD46C0">
              <w:rPr>
                <w:rStyle w:val="Hyperlink"/>
                <w:rFonts w:ascii="Californian FB" w:eastAsia="Times New Roman" w:hAnsi="Californian FB" w:cs="Times New Roman"/>
                <w:noProof/>
              </w:rPr>
              <w:t>Iowa</w:t>
            </w:r>
            <w:r>
              <w:rPr>
                <w:noProof/>
                <w:webHidden/>
              </w:rPr>
              <w:tab/>
            </w:r>
            <w:r>
              <w:rPr>
                <w:noProof/>
                <w:webHidden/>
              </w:rPr>
              <w:fldChar w:fldCharType="begin"/>
            </w:r>
            <w:r>
              <w:rPr>
                <w:noProof/>
                <w:webHidden/>
              </w:rPr>
              <w:instrText xml:space="preserve"> PAGEREF _Toc195435286 \h </w:instrText>
            </w:r>
            <w:r>
              <w:rPr>
                <w:noProof/>
                <w:webHidden/>
              </w:rPr>
            </w:r>
            <w:r>
              <w:rPr>
                <w:noProof/>
                <w:webHidden/>
              </w:rPr>
              <w:fldChar w:fldCharType="separate"/>
            </w:r>
            <w:r>
              <w:rPr>
                <w:noProof/>
                <w:webHidden/>
              </w:rPr>
              <w:t>82</w:t>
            </w:r>
            <w:r>
              <w:rPr>
                <w:noProof/>
                <w:webHidden/>
              </w:rPr>
              <w:fldChar w:fldCharType="end"/>
            </w:r>
          </w:hyperlink>
        </w:p>
        <w:p w14:paraId="6E38A9C6" w14:textId="57AEC947" w:rsidR="00FF1104" w:rsidRDefault="00FF1104">
          <w:pPr>
            <w:pStyle w:val="TOC3"/>
            <w:rPr>
              <w:rFonts w:asciiTheme="minorHAnsi" w:eastAsiaTheme="minorEastAsia" w:hAnsiTheme="minorHAnsi"/>
              <w:noProof/>
              <w:kern w:val="2"/>
              <w:sz w:val="24"/>
              <w:szCs w:val="24"/>
              <w14:ligatures w14:val="standardContextual"/>
            </w:rPr>
          </w:pPr>
          <w:hyperlink w:anchor="_Toc195435287" w:history="1">
            <w:r w:rsidRPr="00DD46C0">
              <w:rPr>
                <w:rStyle w:val="Hyperlink"/>
                <w:rFonts w:ascii="Californian FB" w:eastAsia="Times New Roman" w:hAnsi="Californian FB" w:cs="Times New Roman"/>
                <w:noProof/>
              </w:rPr>
              <w:t>Kansas</w:t>
            </w:r>
            <w:r>
              <w:rPr>
                <w:noProof/>
                <w:webHidden/>
              </w:rPr>
              <w:tab/>
            </w:r>
            <w:r>
              <w:rPr>
                <w:noProof/>
                <w:webHidden/>
              </w:rPr>
              <w:fldChar w:fldCharType="begin"/>
            </w:r>
            <w:r>
              <w:rPr>
                <w:noProof/>
                <w:webHidden/>
              </w:rPr>
              <w:instrText xml:space="preserve"> PAGEREF _Toc195435287 \h </w:instrText>
            </w:r>
            <w:r>
              <w:rPr>
                <w:noProof/>
                <w:webHidden/>
              </w:rPr>
            </w:r>
            <w:r>
              <w:rPr>
                <w:noProof/>
                <w:webHidden/>
              </w:rPr>
              <w:fldChar w:fldCharType="separate"/>
            </w:r>
            <w:r>
              <w:rPr>
                <w:noProof/>
                <w:webHidden/>
              </w:rPr>
              <w:t>83</w:t>
            </w:r>
            <w:r>
              <w:rPr>
                <w:noProof/>
                <w:webHidden/>
              </w:rPr>
              <w:fldChar w:fldCharType="end"/>
            </w:r>
          </w:hyperlink>
        </w:p>
        <w:p w14:paraId="0ED60B5E" w14:textId="21DD8AAF" w:rsidR="00FF1104" w:rsidRDefault="00FF1104">
          <w:pPr>
            <w:pStyle w:val="TOC3"/>
            <w:rPr>
              <w:rFonts w:asciiTheme="minorHAnsi" w:eastAsiaTheme="minorEastAsia" w:hAnsiTheme="minorHAnsi"/>
              <w:noProof/>
              <w:kern w:val="2"/>
              <w:sz w:val="24"/>
              <w:szCs w:val="24"/>
              <w14:ligatures w14:val="standardContextual"/>
            </w:rPr>
          </w:pPr>
          <w:hyperlink w:anchor="_Toc195435288" w:history="1">
            <w:r w:rsidRPr="00DD46C0">
              <w:rPr>
                <w:rStyle w:val="Hyperlink"/>
                <w:rFonts w:ascii="Californian FB" w:eastAsia="Times New Roman" w:hAnsi="Californian FB" w:cs="Times New Roman"/>
                <w:noProof/>
              </w:rPr>
              <w:t>Kentucky</w:t>
            </w:r>
            <w:r>
              <w:rPr>
                <w:noProof/>
                <w:webHidden/>
              </w:rPr>
              <w:tab/>
            </w:r>
            <w:r>
              <w:rPr>
                <w:noProof/>
                <w:webHidden/>
              </w:rPr>
              <w:fldChar w:fldCharType="begin"/>
            </w:r>
            <w:r>
              <w:rPr>
                <w:noProof/>
                <w:webHidden/>
              </w:rPr>
              <w:instrText xml:space="preserve"> PAGEREF _Toc195435288 \h </w:instrText>
            </w:r>
            <w:r>
              <w:rPr>
                <w:noProof/>
                <w:webHidden/>
              </w:rPr>
            </w:r>
            <w:r>
              <w:rPr>
                <w:noProof/>
                <w:webHidden/>
              </w:rPr>
              <w:fldChar w:fldCharType="separate"/>
            </w:r>
            <w:r>
              <w:rPr>
                <w:noProof/>
                <w:webHidden/>
              </w:rPr>
              <w:t>84</w:t>
            </w:r>
            <w:r>
              <w:rPr>
                <w:noProof/>
                <w:webHidden/>
              </w:rPr>
              <w:fldChar w:fldCharType="end"/>
            </w:r>
          </w:hyperlink>
        </w:p>
        <w:p w14:paraId="447EC122" w14:textId="7D3DF714" w:rsidR="00FF1104" w:rsidRDefault="00FF1104">
          <w:pPr>
            <w:pStyle w:val="TOC3"/>
            <w:rPr>
              <w:rFonts w:asciiTheme="minorHAnsi" w:eastAsiaTheme="minorEastAsia" w:hAnsiTheme="minorHAnsi"/>
              <w:noProof/>
              <w:kern w:val="2"/>
              <w:sz w:val="24"/>
              <w:szCs w:val="24"/>
              <w14:ligatures w14:val="standardContextual"/>
            </w:rPr>
          </w:pPr>
          <w:hyperlink w:anchor="_Toc195435289" w:history="1">
            <w:r w:rsidRPr="00DD46C0">
              <w:rPr>
                <w:rStyle w:val="Hyperlink"/>
                <w:rFonts w:ascii="Californian FB" w:eastAsia="Times New Roman" w:hAnsi="Californian FB" w:cs="Times New Roman"/>
                <w:noProof/>
              </w:rPr>
              <w:t>Louisiana</w:t>
            </w:r>
            <w:r>
              <w:rPr>
                <w:noProof/>
                <w:webHidden/>
              </w:rPr>
              <w:tab/>
            </w:r>
            <w:r>
              <w:rPr>
                <w:noProof/>
                <w:webHidden/>
              </w:rPr>
              <w:fldChar w:fldCharType="begin"/>
            </w:r>
            <w:r>
              <w:rPr>
                <w:noProof/>
                <w:webHidden/>
              </w:rPr>
              <w:instrText xml:space="preserve"> PAGEREF _Toc195435289 \h </w:instrText>
            </w:r>
            <w:r>
              <w:rPr>
                <w:noProof/>
                <w:webHidden/>
              </w:rPr>
            </w:r>
            <w:r>
              <w:rPr>
                <w:noProof/>
                <w:webHidden/>
              </w:rPr>
              <w:fldChar w:fldCharType="separate"/>
            </w:r>
            <w:r>
              <w:rPr>
                <w:noProof/>
                <w:webHidden/>
              </w:rPr>
              <w:t>86</w:t>
            </w:r>
            <w:r>
              <w:rPr>
                <w:noProof/>
                <w:webHidden/>
              </w:rPr>
              <w:fldChar w:fldCharType="end"/>
            </w:r>
          </w:hyperlink>
        </w:p>
        <w:p w14:paraId="4DC400BB" w14:textId="0313700B" w:rsidR="00FF1104" w:rsidRDefault="00FF1104">
          <w:pPr>
            <w:pStyle w:val="TOC3"/>
            <w:rPr>
              <w:rFonts w:asciiTheme="minorHAnsi" w:eastAsiaTheme="minorEastAsia" w:hAnsiTheme="minorHAnsi"/>
              <w:noProof/>
              <w:kern w:val="2"/>
              <w:sz w:val="24"/>
              <w:szCs w:val="24"/>
              <w14:ligatures w14:val="standardContextual"/>
            </w:rPr>
          </w:pPr>
          <w:hyperlink w:anchor="_Toc195435290" w:history="1">
            <w:r w:rsidRPr="00DD46C0">
              <w:rPr>
                <w:rStyle w:val="Hyperlink"/>
                <w:rFonts w:ascii="Californian FB" w:eastAsia="Times New Roman" w:hAnsi="Californian FB" w:cs="Times New Roman"/>
                <w:noProof/>
              </w:rPr>
              <w:t>Maine</w:t>
            </w:r>
            <w:r>
              <w:rPr>
                <w:noProof/>
                <w:webHidden/>
              </w:rPr>
              <w:tab/>
            </w:r>
            <w:r>
              <w:rPr>
                <w:noProof/>
                <w:webHidden/>
              </w:rPr>
              <w:fldChar w:fldCharType="begin"/>
            </w:r>
            <w:r>
              <w:rPr>
                <w:noProof/>
                <w:webHidden/>
              </w:rPr>
              <w:instrText xml:space="preserve"> PAGEREF _Toc195435290 \h </w:instrText>
            </w:r>
            <w:r>
              <w:rPr>
                <w:noProof/>
                <w:webHidden/>
              </w:rPr>
            </w:r>
            <w:r>
              <w:rPr>
                <w:noProof/>
                <w:webHidden/>
              </w:rPr>
              <w:fldChar w:fldCharType="separate"/>
            </w:r>
            <w:r>
              <w:rPr>
                <w:noProof/>
                <w:webHidden/>
              </w:rPr>
              <w:t>87</w:t>
            </w:r>
            <w:r>
              <w:rPr>
                <w:noProof/>
                <w:webHidden/>
              </w:rPr>
              <w:fldChar w:fldCharType="end"/>
            </w:r>
          </w:hyperlink>
        </w:p>
        <w:p w14:paraId="735CD56E" w14:textId="572A4A9A" w:rsidR="00FF1104" w:rsidRDefault="00FF1104">
          <w:pPr>
            <w:pStyle w:val="TOC3"/>
            <w:rPr>
              <w:rFonts w:asciiTheme="minorHAnsi" w:eastAsiaTheme="minorEastAsia" w:hAnsiTheme="minorHAnsi"/>
              <w:noProof/>
              <w:kern w:val="2"/>
              <w:sz w:val="24"/>
              <w:szCs w:val="24"/>
              <w14:ligatures w14:val="standardContextual"/>
            </w:rPr>
          </w:pPr>
          <w:hyperlink w:anchor="_Toc195435291" w:history="1">
            <w:r w:rsidRPr="00DD46C0">
              <w:rPr>
                <w:rStyle w:val="Hyperlink"/>
                <w:rFonts w:ascii="Californian FB" w:eastAsia="Times New Roman" w:hAnsi="Californian FB" w:cs="Times New Roman"/>
                <w:noProof/>
              </w:rPr>
              <w:t>Maryland</w:t>
            </w:r>
            <w:r>
              <w:rPr>
                <w:noProof/>
                <w:webHidden/>
              </w:rPr>
              <w:tab/>
            </w:r>
            <w:r>
              <w:rPr>
                <w:noProof/>
                <w:webHidden/>
              </w:rPr>
              <w:fldChar w:fldCharType="begin"/>
            </w:r>
            <w:r>
              <w:rPr>
                <w:noProof/>
                <w:webHidden/>
              </w:rPr>
              <w:instrText xml:space="preserve"> PAGEREF _Toc195435291 \h </w:instrText>
            </w:r>
            <w:r>
              <w:rPr>
                <w:noProof/>
                <w:webHidden/>
              </w:rPr>
            </w:r>
            <w:r>
              <w:rPr>
                <w:noProof/>
                <w:webHidden/>
              </w:rPr>
              <w:fldChar w:fldCharType="separate"/>
            </w:r>
            <w:r>
              <w:rPr>
                <w:noProof/>
                <w:webHidden/>
              </w:rPr>
              <w:t>89</w:t>
            </w:r>
            <w:r>
              <w:rPr>
                <w:noProof/>
                <w:webHidden/>
              </w:rPr>
              <w:fldChar w:fldCharType="end"/>
            </w:r>
          </w:hyperlink>
        </w:p>
        <w:p w14:paraId="4B74D273" w14:textId="4E8E557A" w:rsidR="00FF1104" w:rsidRDefault="00FF1104">
          <w:pPr>
            <w:pStyle w:val="TOC3"/>
            <w:rPr>
              <w:rFonts w:asciiTheme="minorHAnsi" w:eastAsiaTheme="minorEastAsia" w:hAnsiTheme="minorHAnsi"/>
              <w:noProof/>
              <w:kern w:val="2"/>
              <w:sz w:val="24"/>
              <w:szCs w:val="24"/>
              <w14:ligatures w14:val="standardContextual"/>
            </w:rPr>
          </w:pPr>
          <w:hyperlink w:anchor="_Toc195435292" w:history="1">
            <w:r w:rsidRPr="00DD46C0">
              <w:rPr>
                <w:rStyle w:val="Hyperlink"/>
                <w:rFonts w:ascii="Californian FB" w:eastAsia="Times New Roman" w:hAnsi="Californian FB" w:cs="Times New Roman"/>
                <w:noProof/>
              </w:rPr>
              <w:t>Massachusetts</w:t>
            </w:r>
            <w:r>
              <w:rPr>
                <w:noProof/>
                <w:webHidden/>
              </w:rPr>
              <w:tab/>
            </w:r>
            <w:r>
              <w:rPr>
                <w:noProof/>
                <w:webHidden/>
              </w:rPr>
              <w:fldChar w:fldCharType="begin"/>
            </w:r>
            <w:r>
              <w:rPr>
                <w:noProof/>
                <w:webHidden/>
              </w:rPr>
              <w:instrText xml:space="preserve"> PAGEREF _Toc195435292 \h </w:instrText>
            </w:r>
            <w:r>
              <w:rPr>
                <w:noProof/>
                <w:webHidden/>
              </w:rPr>
            </w:r>
            <w:r>
              <w:rPr>
                <w:noProof/>
                <w:webHidden/>
              </w:rPr>
              <w:fldChar w:fldCharType="separate"/>
            </w:r>
            <w:r>
              <w:rPr>
                <w:noProof/>
                <w:webHidden/>
              </w:rPr>
              <w:t>90</w:t>
            </w:r>
            <w:r>
              <w:rPr>
                <w:noProof/>
                <w:webHidden/>
              </w:rPr>
              <w:fldChar w:fldCharType="end"/>
            </w:r>
          </w:hyperlink>
        </w:p>
        <w:p w14:paraId="5BBA586C" w14:textId="369CA1F0" w:rsidR="00FF1104" w:rsidRDefault="00FF1104">
          <w:pPr>
            <w:pStyle w:val="TOC3"/>
            <w:rPr>
              <w:rFonts w:asciiTheme="minorHAnsi" w:eastAsiaTheme="minorEastAsia" w:hAnsiTheme="minorHAnsi"/>
              <w:noProof/>
              <w:kern w:val="2"/>
              <w:sz w:val="24"/>
              <w:szCs w:val="24"/>
              <w14:ligatures w14:val="standardContextual"/>
            </w:rPr>
          </w:pPr>
          <w:hyperlink w:anchor="_Toc195435293" w:history="1">
            <w:r w:rsidRPr="00DD46C0">
              <w:rPr>
                <w:rStyle w:val="Hyperlink"/>
                <w:rFonts w:ascii="Californian FB" w:eastAsia="Times New Roman" w:hAnsi="Californian FB" w:cs="Times New Roman"/>
                <w:noProof/>
              </w:rPr>
              <w:t>Michigan</w:t>
            </w:r>
            <w:r>
              <w:rPr>
                <w:noProof/>
                <w:webHidden/>
              </w:rPr>
              <w:tab/>
            </w:r>
            <w:r>
              <w:rPr>
                <w:noProof/>
                <w:webHidden/>
              </w:rPr>
              <w:fldChar w:fldCharType="begin"/>
            </w:r>
            <w:r>
              <w:rPr>
                <w:noProof/>
                <w:webHidden/>
              </w:rPr>
              <w:instrText xml:space="preserve"> PAGEREF _Toc195435293 \h </w:instrText>
            </w:r>
            <w:r>
              <w:rPr>
                <w:noProof/>
                <w:webHidden/>
              </w:rPr>
            </w:r>
            <w:r>
              <w:rPr>
                <w:noProof/>
                <w:webHidden/>
              </w:rPr>
              <w:fldChar w:fldCharType="separate"/>
            </w:r>
            <w:r>
              <w:rPr>
                <w:noProof/>
                <w:webHidden/>
              </w:rPr>
              <w:t>101</w:t>
            </w:r>
            <w:r>
              <w:rPr>
                <w:noProof/>
                <w:webHidden/>
              </w:rPr>
              <w:fldChar w:fldCharType="end"/>
            </w:r>
          </w:hyperlink>
        </w:p>
        <w:p w14:paraId="16DF0E7D" w14:textId="22222E9E" w:rsidR="00FF1104" w:rsidRDefault="00FF1104">
          <w:pPr>
            <w:pStyle w:val="TOC3"/>
            <w:rPr>
              <w:rFonts w:asciiTheme="minorHAnsi" w:eastAsiaTheme="minorEastAsia" w:hAnsiTheme="minorHAnsi"/>
              <w:noProof/>
              <w:kern w:val="2"/>
              <w:sz w:val="24"/>
              <w:szCs w:val="24"/>
              <w14:ligatures w14:val="standardContextual"/>
            </w:rPr>
          </w:pPr>
          <w:hyperlink w:anchor="_Toc195435294" w:history="1">
            <w:r w:rsidRPr="00DD46C0">
              <w:rPr>
                <w:rStyle w:val="Hyperlink"/>
                <w:rFonts w:ascii="Californian FB" w:eastAsia="Times New Roman" w:hAnsi="Californian FB" w:cs="Times New Roman"/>
                <w:noProof/>
              </w:rPr>
              <w:t>Minnesota</w:t>
            </w:r>
            <w:r>
              <w:rPr>
                <w:noProof/>
                <w:webHidden/>
              </w:rPr>
              <w:tab/>
            </w:r>
            <w:r>
              <w:rPr>
                <w:noProof/>
                <w:webHidden/>
              </w:rPr>
              <w:fldChar w:fldCharType="begin"/>
            </w:r>
            <w:r>
              <w:rPr>
                <w:noProof/>
                <w:webHidden/>
              </w:rPr>
              <w:instrText xml:space="preserve"> PAGEREF _Toc195435294 \h </w:instrText>
            </w:r>
            <w:r>
              <w:rPr>
                <w:noProof/>
                <w:webHidden/>
              </w:rPr>
            </w:r>
            <w:r>
              <w:rPr>
                <w:noProof/>
                <w:webHidden/>
              </w:rPr>
              <w:fldChar w:fldCharType="separate"/>
            </w:r>
            <w:r>
              <w:rPr>
                <w:noProof/>
                <w:webHidden/>
              </w:rPr>
              <w:t>102</w:t>
            </w:r>
            <w:r>
              <w:rPr>
                <w:noProof/>
                <w:webHidden/>
              </w:rPr>
              <w:fldChar w:fldCharType="end"/>
            </w:r>
          </w:hyperlink>
        </w:p>
        <w:p w14:paraId="063B906E" w14:textId="339E55F4" w:rsidR="00FF1104" w:rsidRDefault="00FF1104">
          <w:pPr>
            <w:pStyle w:val="TOC3"/>
            <w:rPr>
              <w:rFonts w:asciiTheme="minorHAnsi" w:eastAsiaTheme="minorEastAsia" w:hAnsiTheme="minorHAnsi"/>
              <w:noProof/>
              <w:kern w:val="2"/>
              <w:sz w:val="24"/>
              <w:szCs w:val="24"/>
              <w14:ligatures w14:val="standardContextual"/>
            </w:rPr>
          </w:pPr>
          <w:hyperlink w:anchor="_Toc195435295" w:history="1">
            <w:r w:rsidRPr="00DD46C0">
              <w:rPr>
                <w:rStyle w:val="Hyperlink"/>
                <w:rFonts w:ascii="Californian FB" w:eastAsia="Times New Roman" w:hAnsi="Californian FB" w:cs="Times New Roman"/>
                <w:noProof/>
              </w:rPr>
              <w:t>Mississippi</w:t>
            </w:r>
            <w:r>
              <w:rPr>
                <w:noProof/>
                <w:webHidden/>
              </w:rPr>
              <w:tab/>
            </w:r>
            <w:r>
              <w:rPr>
                <w:noProof/>
                <w:webHidden/>
              </w:rPr>
              <w:fldChar w:fldCharType="begin"/>
            </w:r>
            <w:r>
              <w:rPr>
                <w:noProof/>
                <w:webHidden/>
              </w:rPr>
              <w:instrText xml:space="preserve"> PAGEREF _Toc195435295 \h </w:instrText>
            </w:r>
            <w:r>
              <w:rPr>
                <w:noProof/>
                <w:webHidden/>
              </w:rPr>
            </w:r>
            <w:r>
              <w:rPr>
                <w:noProof/>
                <w:webHidden/>
              </w:rPr>
              <w:fldChar w:fldCharType="separate"/>
            </w:r>
            <w:r>
              <w:rPr>
                <w:noProof/>
                <w:webHidden/>
              </w:rPr>
              <w:t>104</w:t>
            </w:r>
            <w:r>
              <w:rPr>
                <w:noProof/>
                <w:webHidden/>
              </w:rPr>
              <w:fldChar w:fldCharType="end"/>
            </w:r>
          </w:hyperlink>
        </w:p>
        <w:p w14:paraId="36207639" w14:textId="51BFC268" w:rsidR="00FF1104" w:rsidRDefault="00FF1104">
          <w:pPr>
            <w:pStyle w:val="TOC3"/>
            <w:rPr>
              <w:rFonts w:asciiTheme="minorHAnsi" w:eastAsiaTheme="minorEastAsia" w:hAnsiTheme="minorHAnsi"/>
              <w:noProof/>
              <w:kern w:val="2"/>
              <w:sz w:val="24"/>
              <w:szCs w:val="24"/>
              <w14:ligatures w14:val="standardContextual"/>
            </w:rPr>
          </w:pPr>
          <w:hyperlink w:anchor="_Toc195435296" w:history="1">
            <w:r w:rsidRPr="00DD46C0">
              <w:rPr>
                <w:rStyle w:val="Hyperlink"/>
                <w:rFonts w:ascii="Californian FB" w:eastAsia="Times New Roman" w:hAnsi="Californian FB" w:cs="Times New Roman"/>
                <w:noProof/>
              </w:rPr>
              <w:t>Missouri</w:t>
            </w:r>
            <w:r>
              <w:rPr>
                <w:noProof/>
                <w:webHidden/>
              </w:rPr>
              <w:tab/>
            </w:r>
            <w:r>
              <w:rPr>
                <w:noProof/>
                <w:webHidden/>
              </w:rPr>
              <w:fldChar w:fldCharType="begin"/>
            </w:r>
            <w:r>
              <w:rPr>
                <w:noProof/>
                <w:webHidden/>
              </w:rPr>
              <w:instrText xml:space="preserve"> PAGEREF _Toc195435296 \h </w:instrText>
            </w:r>
            <w:r>
              <w:rPr>
                <w:noProof/>
                <w:webHidden/>
              </w:rPr>
            </w:r>
            <w:r>
              <w:rPr>
                <w:noProof/>
                <w:webHidden/>
              </w:rPr>
              <w:fldChar w:fldCharType="separate"/>
            </w:r>
            <w:r>
              <w:rPr>
                <w:noProof/>
                <w:webHidden/>
              </w:rPr>
              <w:t>105</w:t>
            </w:r>
            <w:r>
              <w:rPr>
                <w:noProof/>
                <w:webHidden/>
              </w:rPr>
              <w:fldChar w:fldCharType="end"/>
            </w:r>
          </w:hyperlink>
        </w:p>
        <w:p w14:paraId="16642D45" w14:textId="638B4785" w:rsidR="00FF1104" w:rsidRDefault="00FF1104">
          <w:pPr>
            <w:pStyle w:val="TOC3"/>
            <w:rPr>
              <w:rFonts w:asciiTheme="minorHAnsi" w:eastAsiaTheme="minorEastAsia" w:hAnsiTheme="minorHAnsi"/>
              <w:noProof/>
              <w:kern w:val="2"/>
              <w:sz w:val="24"/>
              <w:szCs w:val="24"/>
              <w14:ligatures w14:val="standardContextual"/>
            </w:rPr>
          </w:pPr>
          <w:hyperlink w:anchor="_Toc195435297" w:history="1">
            <w:r w:rsidRPr="00DD46C0">
              <w:rPr>
                <w:rStyle w:val="Hyperlink"/>
                <w:rFonts w:ascii="Californian FB" w:eastAsia="Times New Roman" w:hAnsi="Californian FB" w:cs="Times New Roman"/>
                <w:noProof/>
              </w:rPr>
              <w:t>Montana</w:t>
            </w:r>
            <w:r>
              <w:rPr>
                <w:noProof/>
                <w:webHidden/>
              </w:rPr>
              <w:tab/>
            </w:r>
            <w:r>
              <w:rPr>
                <w:noProof/>
                <w:webHidden/>
              </w:rPr>
              <w:fldChar w:fldCharType="begin"/>
            </w:r>
            <w:r>
              <w:rPr>
                <w:noProof/>
                <w:webHidden/>
              </w:rPr>
              <w:instrText xml:space="preserve"> PAGEREF _Toc195435297 \h </w:instrText>
            </w:r>
            <w:r>
              <w:rPr>
                <w:noProof/>
                <w:webHidden/>
              </w:rPr>
            </w:r>
            <w:r>
              <w:rPr>
                <w:noProof/>
                <w:webHidden/>
              </w:rPr>
              <w:fldChar w:fldCharType="separate"/>
            </w:r>
            <w:r>
              <w:rPr>
                <w:noProof/>
                <w:webHidden/>
              </w:rPr>
              <w:t>107</w:t>
            </w:r>
            <w:r>
              <w:rPr>
                <w:noProof/>
                <w:webHidden/>
              </w:rPr>
              <w:fldChar w:fldCharType="end"/>
            </w:r>
          </w:hyperlink>
        </w:p>
        <w:p w14:paraId="1C296B43" w14:textId="454C8363" w:rsidR="00FF1104" w:rsidRDefault="00FF1104">
          <w:pPr>
            <w:pStyle w:val="TOC3"/>
            <w:rPr>
              <w:rFonts w:asciiTheme="minorHAnsi" w:eastAsiaTheme="minorEastAsia" w:hAnsiTheme="minorHAnsi"/>
              <w:noProof/>
              <w:kern w:val="2"/>
              <w:sz w:val="24"/>
              <w:szCs w:val="24"/>
              <w14:ligatures w14:val="standardContextual"/>
            </w:rPr>
          </w:pPr>
          <w:hyperlink w:anchor="_Toc195435298" w:history="1">
            <w:r w:rsidRPr="00DD46C0">
              <w:rPr>
                <w:rStyle w:val="Hyperlink"/>
                <w:rFonts w:ascii="Californian FB" w:eastAsia="Times New Roman" w:hAnsi="Californian FB" w:cs="Times New Roman"/>
                <w:noProof/>
              </w:rPr>
              <w:t>Nebraska</w:t>
            </w:r>
            <w:r>
              <w:rPr>
                <w:noProof/>
                <w:webHidden/>
              </w:rPr>
              <w:tab/>
            </w:r>
            <w:r>
              <w:rPr>
                <w:noProof/>
                <w:webHidden/>
              </w:rPr>
              <w:fldChar w:fldCharType="begin"/>
            </w:r>
            <w:r>
              <w:rPr>
                <w:noProof/>
                <w:webHidden/>
              </w:rPr>
              <w:instrText xml:space="preserve"> PAGEREF _Toc195435298 \h </w:instrText>
            </w:r>
            <w:r>
              <w:rPr>
                <w:noProof/>
                <w:webHidden/>
              </w:rPr>
            </w:r>
            <w:r>
              <w:rPr>
                <w:noProof/>
                <w:webHidden/>
              </w:rPr>
              <w:fldChar w:fldCharType="separate"/>
            </w:r>
            <w:r>
              <w:rPr>
                <w:noProof/>
                <w:webHidden/>
              </w:rPr>
              <w:t>109</w:t>
            </w:r>
            <w:r>
              <w:rPr>
                <w:noProof/>
                <w:webHidden/>
              </w:rPr>
              <w:fldChar w:fldCharType="end"/>
            </w:r>
          </w:hyperlink>
        </w:p>
        <w:p w14:paraId="7C04AFD8" w14:textId="2AE998E9" w:rsidR="00FF1104" w:rsidRDefault="00FF1104">
          <w:pPr>
            <w:pStyle w:val="TOC3"/>
            <w:rPr>
              <w:rFonts w:asciiTheme="minorHAnsi" w:eastAsiaTheme="minorEastAsia" w:hAnsiTheme="minorHAnsi"/>
              <w:noProof/>
              <w:kern w:val="2"/>
              <w:sz w:val="24"/>
              <w:szCs w:val="24"/>
              <w14:ligatures w14:val="standardContextual"/>
            </w:rPr>
          </w:pPr>
          <w:hyperlink w:anchor="_Toc195435299" w:history="1">
            <w:r w:rsidRPr="00DD46C0">
              <w:rPr>
                <w:rStyle w:val="Hyperlink"/>
                <w:rFonts w:ascii="Californian FB" w:eastAsia="Times New Roman" w:hAnsi="Californian FB" w:cs="Times New Roman"/>
                <w:noProof/>
              </w:rPr>
              <w:t>New Hampshire</w:t>
            </w:r>
            <w:r>
              <w:rPr>
                <w:noProof/>
                <w:webHidden/>
              </w:rPr>
              <w:tab/>
            </w:r>
            <w:r>
              <w:rPr>
                <w:noProof/>
                <w:webHidden/>
              </w:rPr>
              <w:fldChar w:fldCharType="begin"/>
            </w:r>
            <w:r>
              <w:rPr>
                <w:noProof/>
                <w:webHidden/>
              </w:rPr>
              <w:instrText xml:space="preserve"> PAGEREF _Toc195435299 \h </w:instrText>
            </w:r>
            <w:r>
              <w:rPr>
                <w:noProof/>
                <w:webHidden/>
              </w:rPr>
            </w:r>
            <w:r>
              <w:rPr>
                <w:noProof/>
                <w:webHidden/>
              </w:rPr>
              <w:fldChar w:fldCharType="separate"/>
            </w:r>
            <w:r>
              <w:rPr>
                <w:noProof/>
                <w:webHidden/>
              </w:rPr>
              <w:t>111</w:t>
            </w:r>
            <w:r>
              <w:rPr>
                <w:noProof/>
                <w:webHidden/>
              </w:rPr>
              <w:fldChar w:fldCharType="end"/>
            </w:r>
          </w:hyperlink>
        </w:p>
        <w:p w14:paraId="5ADAEEBF" w14:textId="7180D8A7" w:rsidR="00FF1104" w:rsidRDefault="00FF1104">
          <w:pPr>
            <w:pStyle w:val="TOC3"/>
            <w:rPr>
              <w:rFonts w:asciiTheme="minorHAnsi" w:eastAsiaTheme="minorEastAsia" w:hAnsiTheme="minorHAnsi"/>
              <w:noProof/>
              <w:kern w:val="2"/>
              <w:sz w:val="24"/>
              <w:szCs w:val="24"/>
              <w14:ligatures w14:val="standardContextual"/>
            </w:rPr>
          </w:pPr>
          <w:hyperlink w:anchor="_Toc195435300" w:history="1">
            <w:r w:rsidRPr="00DD46C0">
              <w:rPr>
                <w:rStyle w:val="Hyperlink"/>
                <w:rFonts w:ascii="Californian FB" w:eastAsia="Times New Roman" w:hAnsi="Californian FB" w:cs="Times New Roman"/>
                <w:noProof/>
              </w:rPr>
              <w:t>New Jersey</w:t>
            </w:r>
            <w:r>
              <w:rPr>
                <w:noProof/>
                <w:webHidden/>
              </w:rPr>
              <w:tab/>
            </w:r>
            <w:r>
              <w:rPr>
                <w:noProof/>
                <w:webHidden/>
              </w:rPr>
              <w:fldChar w:fldCharType="begin"/>
            </w:r>
            <w:r>
              <w:rPr>
                <w:noProof/>
                <w:webHidden/>
              </w:rPr>
              <w:instrText xml:space="preserve"> PAGEREF _Toc195435300 \h </w:instrText>
            </w:r>
            <w:r>
              <w:rPr>
                <w:noProof/>
                <w:webHidden/>
              </w:rPr>
            </w:r>
            <w:r>
              <w:rPr>
                <w:noProof/>
                <w:webHidden/>
              </w:rPr>
              <w:fldChar w:fldCharType="separate"/>
            </w:r>
            <w:r>
              <w:rPr>
                <w:noProof/>
                <w:webHidden/>
              </w:rPr>
              <w:t>112</w:t>
            </w:r>
            <w:r>
              <w:rPr>
                <w:noProof/>
                <w:webHidden/>
              </w:rPr>
              <w:fldChar w:fldCharType="end"/>
            </w:r>
          </w:hyperlink>
        </w:p>
        <w:p w14:paraId="1C060A34" w14:textId="5E7A5C2D" w:rsidR="00FF1104" w:rsidRDefault="00FF1104">
          <w:pPr>
            <w:pStyle w:val="TOC3"/>
            <w:rPr>
              <w:rFonts w:asciiTheme="minorHAnsi" w:eastAsiaTheme="minorEastAsia" w:hAnsiTheme="minorHAnsi"/>
              <w:noProof/>
              <w:kern w:val="2"/>
              <w:sz w:val="24"/>
              <w:szCs w:val="24"/>
              <w14:ligatures w14:val="standardContextual"/>
            </w:rPr>
          </w:pPr>
          <w:hyperlink w:anchor="_Toc195435301" w:history="1">
            <w:r w:rsidRPr="00DD46C0">
              <w:rPr>
                <w:rStyle w:val="Hyperlink"/>
                <w:rFonts w:ascii="Californian FB" w:eastAsia="Times New Roman" w:hAnsi="Californian FB" w:cs="Times New Roman"/>
                <w:noProof/>
              </w:rPr>
              <w:t>New Mexico</w:t>
            </w:r>
            <w:r>
              <w:rPr>
                <w:noProof/>
                <w:webHidden/>
              </w:rPr>
              <w:tab/>
            </w:r>
            <w:r>
              <w:rPr>
                <w:noProof/>
                <w:webHidden/>
              </w:rPr>
              <w:fldChar w:fldCharType="begin"/>
            </w:r>
            <w:r>
              <w:rPr>
                <w:noProof/>
                <w:webHidden/>
              </w:rPr>
              <w:instrText xml:space="preserve"> PAGEREF _Toc195435301 \h </w:instrText>
            </w:r>
            <w:r>
              <w:rPr>
                <w:noProof/>
                <w:webHidden/>
              </w:rPr>
            </w:r>
            <w:r>
              <w:rPr>
                <w:noProof/>
                <w:webHidden/>
              </w:rPr>
              <w:fldChar w:fldCharType="separate"/>
            </w:r>
            <w:r>
              <w:rPr>
                <w:noProof/>
                <w:webHidden/>
              </w:rPr>
              <w:t>113</w:t>
            </w:r>
            <w:r>
              <w:rPr>
                <w:noProof/>
                <w:webHidden/>
              </w:rPr>
              <w:fldChar w:fldCharType="end"/>
            </w:r>
          </w:hyperlink>
        </w:p>
        <w:p w14:paraId="2EC22730" w14:textId="703BAD59" w:rsidR="00FF1104" w:rsidRDefault="00FF1104">
          <w:pPr>
            <w:pStyle w:val="TOC3"/>
            <w:rPr>
              <w:rFonts w:asciiTheme="minorHAnsi" w:eastAsiaTheme="minorEastAsia" w:hAnsiTheme="minorHAnsi"/>
              <w:noProof/>
              <w:kern w:val="2"/>
              <w:sz w:val="24"/>
              <w:szCs w:val="24"/>
              <w14:ligatures w14:val="standardContextual"/>
            </w:rPr>
          </w:pPr>
          <w:hyperlink w:anchor="_Toc195435302" w:history="1">
            <w:r w:rsidRPr="00DD46C0">
              <w:rPr>
                <w:rStyle w:val="Hyperlink"/>
                <w:rFonts w:ascii="Californian FB" w:eastAsia="Times New Roman" w:hAnsi="Californian FB" w:cs="Times New Roman"/>
                <w:noProof/>
              </w:rPr>
              <w:t>New York</w:t>
            </w:r>
            <w:r>
              <w:rPr>
                <w:noProof/>
                <w:webHidden/>
              </w:rPr>
              <w:tab/>
            </w:r>
            <w:r>
              <w:rPr>
                <w:noProof/>
                <w:webHidden/>
              </w:rPr>
              <w:fldChar w:fldCharType="begin"/>
            </w:r>
            <w:r>
              <w:rPr>
                <w:noProof/>
                <w:webHidden/>
              </w:rPr>
              <w:instrText xml:space="preserve"> PAGEREF _Toc195435302 \h </w:instrText>
            </w:r>
            <w:r>
              <w:rPr>
                <w:noProof/>
                <w:webHidden/>
              </w:rPr>
            </w:r>
            <w:r>
              <w:rPr>
                <w:noProof/>
                <w:webHidden/>
              </w:rPr>
              <w:fldChar w:fldCharType="separate"/>
            </w:r>
            <w:r>
              <w:rPr>
                <w:noProof/>
                <w:webHidden/>
              </w:rPr>
              <w:t>114</w:t>
            </w:r>
            <w:r>
              <w:rPr>
                <w:noProof/>
                <w:webHidden/>
              </w:rPr>
              <w:fldChar w:fldCharType="end"/>
            </w:r>
          </w:hyperlink>
        </w:p>
        <w:p w14:paraId="69661C0D" w14:textId="24604C5A" w:rsidR="00FF1104" w:rsidRDefault="00FF1104">
          <w:pPr>
            <w:pStyle w:val="TOC3"/>
            <w:rPr>
              <w:rFonts w:asciiTheme="minorHAnsi" w:eastAsiaTheme="minorEastAsia" w:hAnsiTheme="minorHAnsi"/>
              <w:noProof/>
              <w:kern w:val="2"/>
              <w:sz w:val="24"/>
              <w:szCs w:val="24"/>
              <w14:ligatures w14:val="standardContextual"/>
            </w:rPr>
          </w:pPr>
          <w:hyperlink w:anchor="_Toc195435303" w:history="1">
            <w:r w:rsidRPr="00DD46C0">
              <w:rPr>
                <w:rStyle w:val="Hyperlink"/>
                <w:rFonts w:ascii="Californian FB" w:eastAsia="Times New Roman" w:hAnsi="Californian FB" w:cs="Times New Roman"/>
                <w:noProof/>
              </w:rPr>
              <w:t>North Carolina</w:t>
            </w:r>
            <w:r>
              <w:rPr>
                <w:noProof/>
                <w:webHidden/>
              </w:rPr>
              <w:tab/>
            </w:r>
            <w:r>
              <w:rPr>
                <w:noProof/>
                <w:webHidden/>
              </w:rPr>
              <w:fldChar w:fldCharType="begin"/>
            </w:r>
            <w:r>
              <w:rPr>
                <w:noProof/>
                <w:webHidden/>
              </w:rPr>
              <w:instrText xml:space="preserve"> PAGEREF _Toc195435303 \h </w:instrText>
            </w:r>
            <w:r>
              <w:rPr>
                <w:noProof/>
                <w:webHidden/>
              </w:rPr>
            </w:r>
            <w:r>
              <w:rPr>
                <w:noProof/>
                <w:webHidden/>
              </w:rPr>
              <w:fldChar w:fldCharType="separate"/>
            </w:r>
            <w:r>
              <w:rPr>
                <w:noProof/>
                <w:webHidden/>
              </w:rPr>
              <w:t>117</w:t>
            </w:r>
            <w:r>
              <w:rPr>
                <w:noProof/>
                <w:webHidden/>
              </w:rPr>
              <w:fldChar w:fldCharType="end"/>
            </w:r>
          </w:hyperlink>
        </w:p>
        <w:p w14:paraId="0D4F00BB" w14:textId="79E7F346" w:rsidR="00FF1104" w:rsidRDefault="00FF1104">
          <w:pPr>
            <w:pStyle w:val="TOC3"/>
            <w:rPr>
              <w:rFonts w:asciiTheme="minorHAnsi" w:eastAsiaTheme="minorEastAsia" w:hAnsiTheme="minorHAnsi"/>
              <w:noProof/>
              <w:kern w:val="2"/>
              <w:sz w:val="24"/>
              <w:szCs w:val="24"/>
              <w14:ligatures w14:val="standardContextual"/>
            </w:rPr>
          </w:pPr>
          <w:hyperlink w:anchor="_Toc195435304" w:history="1">
            <w:r w:rsidRPr="00DD46C0">
              <w:rPr>
                <w:rStyle w:val="Hyperlink"/>
                <w:rFonts w:ascii="Californian FB" w:eastAsia="Times New Roman" w:hAnsi="Californian FB" w:cs="Times New Roman"/>
                <w:noProof/>
              </w:rPr>
              <w:t>North Dakota</w:t>
            </w:r>
            <w:r>
              <w:rPr>
                <w:noProof/>
                <w:webHidden/>
              </w:rPr>
              <w:tab/>
            </w:r>
            <w:r>
              <w:rPr>
                <w:noProof/>
                <w:webHidden/>
              </w:rPr>
              <w:fldChar w:fldCharType="begin"/>
            </w:r>
            <w:r>
              <w:rPr>
                <w:noProof/>
                <w:webHidden/>
              </w:rPr>
              <w:instrText xml:space="preserve"> PAGEREF _Toc195435304 \h </w:instrText>
            </w:r>
            <w:r>
              <w:rPr>
                <w:noProof/>
                <w:webHidden/>
              </w:rPr>
            </w:r>
            <w:r>
              <w:rPr>
                <w:noProof/>
                <w:webHidden/>
              </w:rPr>
              <w:fldChar w:fldCharType="separate"/>
            </w:r>
            <w:r>
              <w:rPr>
                <w:noProof/>
                <w:webHidden/>
              </w:rPr>
              <w:t>120</w:t>
            </w:r>
            <w:r>
              <w:rPr>
                <w:noProof/>
                <w:webHidden/>
              </w:rPr>
              <w:fldChar w:fldCharType="end"/>
            </w:r>
          </w:hyperlink>
        </w:p>
        <w:p w14:paraId="2ADBCFE4" w14:textId="0680DFFA" w:rsidR="00FF1104" w:rsidRDefault="00FF1104">
          <w:pPr>
            <w:pStyle w:val="TOC3"/>
            <w:rPr>
              <w:rFonts w:asciiTheme="minorHAnsi" w:eastAsiaTheme="minorEastAsia" w:hAnsiTheme="minorHAnsi"/>
              <w:noProof/>
              <w:kern w:val="2"/>
              <w:sz w:val="24"/>
              <w:szCs w:val="24"/>
              <w14:ligatures w14:val="standardContextual"/>
            </w:rPr>
          </w:pPr>
          <w:hyperlink w:anchor="_Toc195435305" w:history="1">
            <w:r w:rsidRPr="00DD46C0">
              <w:rPr>
                <w:rStyle w:val="Hyperlink"/>
                <w:rFonts w:ascii="Californian FB" w:eastAsia="Times New Roman" w:hAnsi="Californian FB" w:cs="Times New Roman"/>
                <w:noProof/>
              </w:rPr>
              <w:t>Ohio</w:t>
            </w:r>
            <w:r>
              <w:rPr>
                <w:noProof/>
                <w:webHidden/>
              </w:rPr>
              <w:tab/>
            </w:r>
            <w:r>
              <w:rPr>
                <w:noProof/>
                <w:webHidden/>
              </w:rPr>
              <w:fldChar w:fldCharType="begin"/>
            </w:r>
            <w:r>
              <w:rPr>
                <w:noProof/>
                <w:webHidden/>
              </w:rPr>
              <w:instrText xml:space="preserve"> PAGEREF _Toc195435305 \h </w:instrText>
            </w:r>
            <w:r>
              <w:rPr>
                <w:noProof/>
                <w:webHidden/>
              </w:rPr>
            </w:r>
            <w:r>
              <w:rPr>
                <w:noProof/>
                <w:webHidden/>
              </w:rPr>
              <w:fldChar w:fldCharType="separate"/>
            </w:r>
            <w:r>
              <w:rPr>
                <w:noProof/>
                <w:webHidden/>
              </w:rPr>
              <w:t>122</w:t>
            </w:r>
            <w:r>
              <w:rPr>
                <w:noProof/>
                <w:webHidden/>
              </w:rPr>
              <w:fldChar w:fldCharType="end"/>
            </w:r>
          </w:hyperlink>
        </w:p>
        <w:p w14:paraId="4DC31C05" w14:textId="618AE365" w:rsidR="00FF1104" w:rsidRDefault="00FF1104">
          <w:pPr>
            <w:pStyle w:val="TOC3"/>
            <w:rPr>
              <w:rFonts w:asciiTheme="minorHAnsi" w:eastAsiaTheme="minorEastAsia" w:hAnsiTheme="minorHAnsi"/>
              <w:noProof/>
              <w:kern w:val="2"/>
              <w:sz w:val="24"/>
              <w:szCs w:val="24"/>
              <w14:ligatures w14:val="standardContextual"/>
            </w:rPr>
          </w:pPr>
          <w:hyperlink w:anchor="_Toc195435306" w:history="1">
            <w:r w:rsidRPr="00DD46C0">
              <w:rPr>
                <w:rStyle w:val="Hyperlink"/>
                <w:rFonts w:ascii="Californian FB" w:eastAsia="Times New Roman" w:hAnsi="Californian FB" w:cs="Times New Roman"/>
                <w:noProof/>
              </w:rPr>
              <w:t>Oklahoma</w:t>
            </w:r>
            <w:r>
              <w:rPr>
                <w:noProof/>
                <w:webHidden/>
              </w:rPr>
              <w:tab/>
            </w:r>
            <w:r>
              <w:rPr>
                <w:noProof/>
                <w:webHidden/>
              </w:rPr>
              <w:fldChar w:fldCharType="begin"/>
            </w:r>
            <w:r>
              <w:rPr>
                <w:noProof/>
                <w:webHidden/>
              </w:rPr>
              <w:instrText xml:space="preserve"> PAGEREF _Toc195435306 \h </w:instrText>
            </w:r>
            <w:r>
              <w:rPr>
                <w:noProof/>
                <w:webHidden/>
              </w:rPr>
            </w:r>
            <w:r>
              <w:rPr>
                <w:noProof/>
                <w:webHidden/>
              </w:rPr>
              <w:fldChar w:fldCharType="separate"/>
            </w:r>
            <w:r>
              <w:rPr>
                <w:noProof/>
                <w:webHidden/>
              </w:rPr>
              <w:t>124</w:t>
            </w:r>
            <w:r>
              <w:rPr>
                <w:noProof/>
                <w:webHidden/>
              </w:rPr>
              <w:fldChar w:fldCharType="end"/>
            </w:r>
          </w:hyperlink>
        </w:p>
        <w:p w14:paraId="5116BC83" w14:textId="129A16D6" w:rsidR="00FF1104" w:rsidRDefault="00FF1104">
          <w:pPr>
            <w:pStyle w:val="TOC3"/>
            <w:rPr>
              <w:rFonts w:asciiTheme="minorHAnsi" w:eastAsiaTheme="minorEastAsia" w:hAnsiTheme="minorHAnsi"/>
              <w:noProof/>
              <w:kern w:val="2"/>
              <w:sz w:val="24"/>
              <w:szCs w:val="24"/>
              <w14:ligatures w14:val="standardContextual"/>
            </w:rPr>
          </w:pPr>
          <w:hyperlink w:anchor="_Toc195435307" w:history="1">
            <w:r w:rsidRPr="00DD46C0">
              <w:rPr>
                <w:rStyle w:val="Hyperlink"/>
                <w:rFonts w:ascii="Californian FB" w:eastAsia="Times New Roman" w:hAnsi="Californian FB" w:cs="Times New Roman"/>
                <w:noProof/>
              </w:rPr>
              <w:t>Oregon</w:t>
            </w:r>
            <w:r>
              <w:rPr>
                <w:noProof/>
                <w:webHidden/>
              </w:rPr>
              <w:tab/>
            </w:r>
            <w:r>
              <w:rPr>
                <w:noProof/>
                <w:webHidden/>
              </w:rPr>
              <w:fldChar w:fldCharType="begin"/>
            </w:r>
            <w:r>
              <w:rPr>
                <w:noProof/>
                <w:webHidden/>
              </w:rPr>
              <w:instrText xml:space="preserve"> PAGEREF _Toc195435307 \h </w:instrText>
            </w:r>
            <w:r>
              <w:rPr>
                <w:noProof/>
                <w:webHidden/>
              </w:rPr>
            </w:r>
            <w:r>
              <w:rPr>
                <w:noProof/>
                <w:webHidden/>
              </w:rPr>
              <w:fldChar w:fldCharType="separate"/>
            </w:r>
            <w:r>
              <w:rPr>
                <w:noProof/>
                <w:webHidden/>
              </w:rPr>
              <w:t>125</w:t>
            </w:r>
            <w:r>
              <w:rPr>
                <w:noProof/>
                <w:webHidden/>
              </w:rPr>
              <w:fldChar w:fldCharType="end"/>
            </w:r>
          </w:hyperlink>
        </w:p>
        <w:p w14:paraId="704ADF7A" w14:textId="174563AA" w:rsidR="00FF1104" w:rsidRDefault="00FF1104">
          <w:pPr>
            <w:pStyle w:val="TOC3"/>
            <w:rPr>
              <w:rFonts w:asciiTheme="minorHAnsi" w:eastAsiaTheme="minorEastAsia" w:hAnsiTheme="minorHAnsi"/>
              <w:noProof/>
              <w:kern w:val="2"/>
              <w:sz w:val="24"/>
              <w:szCs w:val="24"/>
              <w14:ligatures w14:val="standardContextual"/>
            </w:rPr>
          </w:pPr>
          <w:hyperlink w:anchor="_Toc195435308" w:history="1">
            <w:r w:rsidRPr="00DD46C0">
              <w:rPr>
                <w:rStyle w:val="Hyperlink"/>
                <w:rFonts w:ascii="Californian FB" w:eastAsia="Times New Roman" w:hAnsi="Californian FB" w:cs="Times New Roman"/>
                <w:noProof/>
              </w:rPr>
              <w:t>Pennsylvania</w:t>
            </w:r>
            <w:r>
              <w:rPr>
                <w:noProof/>
                <w:webHidden/>
              </w:rPr>
              <w:tab/>
            </w:r>
            <w:r>
              <w:rPr>
                <w:noProof/>
                <w:webHidden/>
              </w:rPr>
              <w:fldChar w:fldCharType="begin"/>
            </w:r>
            <w:r>
              <w:rPr>
                <w:noProof/>
                <w:webHidden/>
              </w:rPr>
              <w:instrText xml:space="preserve"> PAGEREF _Toc195435308 \h </w:instrText>
            </w:r>
            <w:r>
              <w:rPr>
                <w:noProof/>
                <w:webHidden/>
              </w:rPr>
            </w:r>
            <w:r>
              <w:rPr>
                <w:noProof/>
                <w:webHidden/>
              </w:rPr>
              <w:fldChar w:fldCharType="separate"/>
            </w:r>
            <w:r>
              <w:rPr>
                <w:noProof/>
                <w:webHidden/>
              </w:rPr>
              <w:t>127</w:t>
            </w:r>
            <w:r>
              <w:rPr>
                <w:noProof/>
                <w:webHidden/>
              </w:rPr>
              <w:fldChar w:fldCharType="end"/>
            </w:r>
          </w:hyperlink>
        </w:p>
        <w:p w14:paraId="036C4F20" w14:textId="76BE7E00" w:rsidR="00FF1104" w:rsidRDefault="00FF1104">
          <w:pPr>
            <w:pStyle w:val="TOC3"/>
            <w:rPr>
              <w:rFonts w:asciiTheme="minorHAnsi" w:eastAsiaTheme="minorEastAsia" w:hAnsiTheme="minorHAnsi"/>
              <w:noProof/>
              <w:kern w:val="2"/>
              <w:sz w:val="24"/>
              <w:szCs w:val="24"/>
              <w14:ligatures w14:val="standardContextual"/>
            </w:rPr>
          </w:pPr>
          <w:hyperlink w:anchor="_Toc195435309" w:history="1">
            <w:r w:rsidRPr="00DD46C0">
              <w:rPr>
                <w:rStyle w:val="Hyperlink"/>
                <w:rFonts w:ascii="Californian FB" w:eastAsia="Times New Roman" w:hAnsi="Californian FB" w:cs="Times New Roman"/>
                <w:noProof/>
              </w:rPr>
              <w:t>Rhode Island</w:t>
            </w:r>
            <w:r>
              <w:rPr>
                <w:noProof/>
                <w:webHidden/>
              </w:rPr>
              <w:tab/>
            </w:r>
            <w:r>
              <w:rPr>
                <w:noProof/>
                <w:webHidden/>
              </w:rPr>
              <w:fldChar w:fldCharType="begin"/>
            </w:r>
            <w:r>
              <w:rPr>
                <w:noProof/>
                <w:webHidden/>
              </w:rPr>
              <w:instrText xml:space="preserve"> PAGEREF _Toc195435309 \h </w:instrText>
            </w:r>
            <w:r>
              <w:rPr>
                <w:noProof/>
                <w:webHidden/>
              </w:rPr>
            </w:r>
            <w:r>
              <w:rPr>
                <w:noProof/>
                <w:webHidden/>
              </w:rPr>
              <w:fldChar w:fldCharType="separate"/>
            </w:r>
            <w:r>
              <w:rPr>
                <w:noProof/>
                <w:webHidden/>
              </w:rPr>
              <w:t>130</w:t>
            </w:r>
            <w:r>
              <w:rPr>
                <w:noProof/>
                <w:webHidden/>
              </w:rPr>
              <w:fldChar w:fldCharType="end"/>
            </w:r>
          </w:hyperlink>
        </w:p>
        <w:p w14:paraId="6D241F37" w14:textId="40276CCC" w:rsidR="00FF1104" w:rsidRDefault="00FF1104">
          <w:pPr>
            <w:pStyle w:val="TOC3"/>
            <w:rPr>
              <w:rFonts w:asciiTheme="minorHAnsi" w:eastAsiaTheme="minorEastAsia" w:hAnsiTheme="minorHAnsi"/>
              <w:noProof/>
              <w:kern w:val="2"/>
              <w:sz w:val="24"/>
              <w:szCs w:val="24"/>
              <w14:ligatures w14:val="standardContextual"/>
            </w:rPr>
          </w:pPr>
          <w:hyperlink w:anchor="_Toc195435310" w:history="1">
            <w:r w:rsidRPr="00DD46C0">
              <w:rPr>
                <w:rStyle w:val="Hyperlink"/>
                <w:rFonts w:ascii="Californian FB" w:eastAsia="Times New Roman" w:hAnsi="Californian FB" w:cs="Times New Roman"/>
                <w:noProof/>
              </w:rPr>
              <w:t>South Carolina</w:t>
            </w:r>
            <w:r>
              <w:rPr>
                <w:noProof/>
                <w:webHidden/>
              </w:rPr>
              <w:tab/>
            </w:r>
            <w:r>
              <w:rPr>
                <w:noProof/>
                <w:webHidden/>
              </w:rPr>
              <w:fldChar w:fldCharType="begin"/>
            </w:r>
            <w:r>
              <w:rPr>
                <w:noProof/>
                <w:webHidden/>
              </w:rPr>
              <w:instrText xml:space="preserve"> PAGEREF _Toc195435310 \h </w:instrText>
            </w:r>
            <w:r>
              <w:rPr>
                <w:noProof/>
                <w:webHidden/>
              </w:rPr>
            </w:r>
            <w:r>
              <w:rPr>
                <w:noProof/>
                <w:webHidden/>
              </w:rPr>
              <w:fldChar w:fldCharType="separate"/>
            </w:r>
            <w:r>
              <w:rPr>
                <w:noProof/>
                <w:webHidden/>
              </w:rPr>
              <w:t>132</w:t>
            </w:r>
            <w:r>
              <w:rPr>
                <w:noProof/>
                <w:webHidden/>
              </w:rPr>
              <w:fldChar w:fldCharType="end"/>
            </w:r>
          </w:hyperlink>
        </w:p>
        <w:p w14:paraId="1DCE81B6" w14:textId="027658AB" w:rsidR="00FF1104" w:rsidRDefault="00FF1104">
          <w:pPr>
            <w:pStyle w:val="TOC3"/>
            <w:rPr>
              <w:rFonts w:asciiTheme="minorHAnsi" w:eastAsiaTheme="minorEastAsia" w:hAnsiTheme="minorHAnsi"/>
              <w:noProof/>
              <w:kern w:val="2"/>
              <w:sz w:val="24"/>
              <w:szCs w:val="24"/>
              <w14:ligatures w14:val="standardContextual"/>
            </w:rPr>
          </w:pPr>
          <w:hyperlink w:anchor="_Toc195435311" w:history="1">
            <w:r w:rsidRPr="00DD46C0">
              <w:rPr>
                <w:rStyle w:val="Hyperlink"/>
                <w:rFonts w:ascii="Californian FB" w:eastAsia="Times New Roman" w:hAnsi="Californian FB" w:cs="Times New Roman"/>
                <w:noProof/>
              </w:rPr>
              <w:t>Tennessee</w:t>
            </w:r>
            <w:r>
              <w:rPr>
                <w:noProof/>
                <w:webHidden/>
              </w:rPr>
              <w:tab/>
            </w:r>
            <w:r>
              <w:rPr>
                <w:noProof/>
                <w:webHidden/>
              </w:rPr>
              <w:fldChar w:fldCharType="begin"/>
            </w:r>
            <w:r>
              <w:rPr>
                <w:noProof/>
                <w:webHidden/>
              </w:rPr>
              <w:instrText xml:space="preserve"> PAGEREF _Toc195435311 \h </w:instrText>
            </w:r>
            <w:r>
              <w:rPr>
                <w:noProof/>
                <w:webHidden/>
              </w:rPr>
            </w:r>
            <w:r>
              <w:rPr>
                <w:noProof/>
                <w:webHidden/>
              </w:rPr>
              <w:fldChar w:fldCharType="separate"/>
            </w:r>
            <w:r>
              <w:rPr>
                <w:noProof/>
                <w:webHidden/>
              </w:rPr>
              <w:t>134</w:t>
            </w:r>
            <w:r>
              <w:rPr>
                <w:noProof/>
                <w:webHidden/>
              </w:rPr>
              <w:fldChar w:fldCharType="end"/>
            </w:r>
          </w:hyperlink>
        </w:p>
        <w:p w14:paraId="1652D8FE" w14:textId="364EABDA" w:rsidR="00FF1104" w:rsidRDefault="00FF1104">
          <w:pPr>
            <w:pStyle w:val="TOC3"/>
            <w:rPr>
              <w:rFonts w:asciiTheme="minorHAnsi" w:eastAsiaTheme="minorEastAsia" w:hAnsiTheme="minorHAnsi"/>
              <w:noProof/>
              <w:kern w:val="2"/>
              <w:sz w:val="24"/>
              <w:szCs w:val="24"/>
              <w14:ligatures w14:val="standardContextual"/>
            </w:rPr>
          </w:pPr>
          <w:hyperlink w:anchor="_Toc195435312" w:history="1">
            <w:r w:rsidRPr="00DD46C0">
              <w:rPr>
                <w:rStyle w:val="Hyperlink"/>
                <w:rFonts w:ascii="Californian FB" w:eastAsia="Times New Roman" w:hAnsi="Californian FB" w:cs="Times New Roman"/>
                <w:noProof/>
              </w:rPr>
              <w:t>Texas</w:t>
            </w:r>
            <w:r>
              <w:rPr>
                <w:noProof/>
                <w:webHidden/>
              </w:rPr>
              <w:tab/>
            </w:r>
            <w:r>
              <w:rPr>
                <w:noProof/>
                <w:webHidden/>
              </w:rPr>
              <w:fldChar w:fldCharType="begin"/>
            </w:r>
            <w:r>
              <w:rPr>
                <w:noProof/>
                <w:webHidden/>
              </w:rPr>
              <w:instrText xml:space="preserve"> PAGEREF _Toc195435312 \h </w:instrText>
            </w:r>
            <w:r>
              <w:rPr>
                <w:noProof/>
                <w:webHidden/>
              </w:rPr>
            </w:r>
            <w:r>
              <w:rPr>
                <w:noProof/>
                <w:webHidden/>
              </w:rPr>
              <w:fldChar w:fldCharType="separate"/>
            </w:r>
            <w:r>
              <w:rPr>
                <w:noProof/>
                <w:webHidden/>
              </w:rPr>
              <w:t>136</w:t>
            </w:r>
            <w:r>
              <w:rPr>
                <w:noProof/>
                <w:webHidden/>
              </w:rPr>
              <w:fldChar w:fldCharType="end"/>
            </w:r>
          </w:hyperlink>
        </w:p>
        <w:p w14:paraId="035B52C2" w14:textId="20FA6A59" w:rsidR="00FF1104" w:rsidRDefault="00FF1104">
          <w:pPr>
            <w:pStyle w:val="TOC3"/>
            <w:rPr>
              <w:rFonts w:asciiTheme="minorHAnsi" w:eastAsiaTheme="minorEastAsia" w:hAnsiTheme="minorHAnsi"/>
              <w:noProof/>
              <w:kern w:val="2"/>
              <w:sz w:val="24"/>
              <w:szCs w:val="24"/>
              <w14:ligatures w14:val="standardContextual"/>
            </w:rPr>
          </w:pPr>
          <w:hyperlink w:anchor="_Toc195435313" w:history="1">
            <w:r w:rsidRPr="00DD46C0">
              <w:rPr>
                <w:rStyle w:val="Hyperlink"/>
                <w:rFonts w:ascii="Californian FB" w:eastAsia="Times New Roman" w:hAnsi="Californian FB" w:cs="Times New Roman"/>
                <w:noProof/>
              </w:rPr>
              <w:t>Utah</w:t>
            </w:r>
            <w:r>
              <w:rPr>
                <w:noProof/>
                <w:webHidden/>
              </w:rPr>
              <w:tab/>
            </w:r>
            <w:r>
              <w:rPr>
                <w:noProof/>
                <w:webHidden/>
              </w:rPr>
              <w:fldChar w:fldCharType="begin"/>
            </w:r>
            <w:r>
              <w:rPr>
                <w:noProof/>
                <w:webHidden/>
              </w:rPr>
              <w:instrText xml:space="preserve"> PAGEREF _Toc195435313 \h </w:instrText>
            </w:r>
            <w:r>
              <w:rPr>
                <w:noProof/>
                <w:webHidden/>
              </w:rPr>
            </w:r>
            <w:r>
              <w:rPr>
                <w:noProof/>
                <w:webHidden/>
              </w:rPr>
              <w:fldChar w:fldCharType="separate"/>
            </w:r>
            <w:r>
              <w:rPr>
                <w:noProof/>
                <w:webHidden/>
              </w:rPr>
              <w:t>139</w:t>
            </w:r>
            <w:r>
              <w:rPr>
                <w:noProof/>
                <w:webHidden/>
              </w:rPr>
              <w:fldChar w:fldCharType="end"/>
            </w:r>
          </w:hyperlink>
        </w:p>
        <w:p w14:paraId="61827EB8" w14:textId="173D7E9B" w:rsidR="00FF1104" w:rsidRDefault="00FF1104">
          <w:pPr>
            <w:pStyle w:val="TOC3"/>
            <w:rPr>
              <w:rFonts w:asciiTheme="minorHAnsi" w:eastAsiaTheme="minorEastAsia" w:hAnsiTheme="minorHAnsi"/>
              <w:noProof/>
              <w:kern w:val="2"/>
              <w:sz w:val="24"/>
              <w:szCs w:val="24"/>
              <w14:ligatures w14:val="standardContextual"/>
            </w:rPr>
          </w:pPr>
          <w:hyperlink w:anchor="_Toc195435314" w:history="1">
            <w:r w:rsidRPr="00DD46C0">
              <w:rPr>
                <w:rStyle w:val="Hyperlink"/>
                <w:rFonts w:ascii="Californian FB" w:eastAsia="Times New Roman" w:hAnsi="Californian FB" w:cs="Times New Roman"/>
                <w:noProof/>
              </w:rPr>
              <w:t>Vermont</w:t>
            </w:r>
            <w:r>
              <w:rPr>
                <w:noProof/>
                <w:webHidden/>
              </w:rPr>
              <w:tab/>
            </w:r>
            <w:r>
              <w:rPr>
                <w:noProof/>
                <w:webHidden/>
              </w:rPr>
              <w:fldChar w:fldCharType="begin"/>
            </w:r>
            <w:r>
              <w:rPr>
                <w:noProof/>
                <w:webHidden/>
              </w:rPr>
              <w:instrText xml:space="preserve"> PAGEREF _Toc195435314 \h </w:instrText>
            </w:r>
            <w:r>
              <w:rPr>
                <w:noProof/>
                <w:webHidden/>
              </w:rPr>
            </w:r>
            <w:r>
              <w:rPr>
                <w:noProof/>
                <w:webHidden/>
              </w:rPr>
              <w:fldChar w:fldCharType="separate"/>
            </w:r>
            <w:r>
              <w:rPr>
                <w:noProof/>
                <w:webHidden/>
              </w:rPr>
              <w:t>140</w:t>
            </w:r>
            <w:r>
              <w:rPr>
                <w:noProof/>
                <w:webHidden/>
              </w:rPr>
              <w:fldChar w:fldCharType="end"/>
            </w:r>
          </w:hyperlink>
        </w:p>
        <w:p w14:paraId="6644330E" w14:textId="34D80A69" w:rsidR="00FF1104" w:rsidRDefault="00FF1104">
          <w:pPr>
            <w:pStyle w:val="TOC3"/>
            <w:rPr>
              <w:rFonts w:asciiTheme="minorHAnsi" w:eastAsiaTheme="minorEastAsia" w:hAnsiTheme="minorHAnsi"/>
              <w:noProof/>
              <w:kern w:val="2"/>
              <w:sz w:val="24"/>
              <w:szCs w:val="24"/>
              <w14:ligatures w14:val="standardContextual"/>
            </w:rPr>
          </w:pPr>
          <w:hyperlink w:anchor="_Toc195435315" w:history="1">
            <w:r w:rsidRPr="00DD46C0">
              <w:rPr>
                <w:rStyle w:val="Hyperlink"/>
                <w:rFonts w:ascii="Californian FB" w:eastAsia="Times New Roman" w:hAnsi="Californian FB" w:cs="Times New Roman"/>
                <w:noProof/>
              </w:rPr>
              <w:t>Virginia</w:t>
            </w:r>
            <w:r>
              <w:rPr>
                <w:noProof/>
                <w:webHidden/>
              </w:rPr>
              <w:tab/>
            </w:r>
            <w:r>
              <w:rPr>
                <w:noProof/>
                <w:webHidden/>
              </w:rPr>
              <w:fldChar w:fldCharType="begin"/>
            </w:r>
            <w:r>
              <w:rPr>
                <w:noProof/>
                <w:webHidden/>
              </w:rPr>
              <w:instrText xml:space="preserve"> PAGEREF _Toc195435315 \h </w:instrText>
            </w:r>
            <w:r>
              <w:rPr>
                <w:noProof/>
                <w:webHidden/>
              </w:rPr>
            </w:r>
            <w:r>
              <w:rPr>
                <w:noProof/>
                <w:webHidden/>
              </w:rPr>
              <w:fldChar w:fldCharType="separate"/>
            </w:r>
            <w:r>
              <w:rPr>
                <w:noProof/>
                <w:webHidden/>
              </w:rPr>
              <w:t>144</w:t>
            </w:r>
            <w:r>
              <w:rPr>
                <w:noProof/>
                <w:webHidden/>
              </w:rPr>
              <w:fldChar w:fldCharType="end"/>
            </w:r>
          </w:hyperlink>
        </w:p>
        <w:p w14:paraId="61679499" w14:textId="09EF8929" w:rsidR="00FF1104" w:rsidRDefault="00FF1104">
          <w:pPr>
            <w:pStyle w:val="TOC3"/>
            <w:rPr>
              <w:rFonts w:asciiTheme="minorHAnsi" w:eastAsiaTheme="minorEastAsia" w:hAnsiTheme="minorHAnsi"/>
              <w:noProof/>
              <w:kern w:val="2"/>
              <w:sz w:val="24"/>
              <w:szCs w:val="24"/>
              <w14:ligatures w14:val="standardContextual"/>
            </w:rPr>
          </w:pPr>
          <w:hyperlink w:anchor="_Toc195435316" w:history="1">
            <w:r w:rsidRPr="00DD46C0">
              <w:rPr>
                <w:rStyle w:val="Hyperlink"/>
                <w:rFonts w:ascii="Californian FB" w:eastAsia="Times New Roman" w:hAnsi="Californian FB" w:cs="Times New Roman"/>
                <w:noProof/>
              </w:rPr>
              <w:t>West Virginia</w:t>
            </w:r>
            <w:r>
              <w:rPr>
                <w:noProof/>
                <w:webHidden/>
              </w:rPr>
              <w:tab/>
            </w:r>
            <w:r>
              <w:rPr>
                <w:noProof/>
                <w:webHidden/>
              </w:rPr>
              <w:fldChar w:fldCharType="begin"/>
            </w:r>
            <w:r>
              <w:rPr>
                <w:noProof/>
                <w:webHidden/>
              </w:rPr>
              <w:instrText xml:space="preserve"> PAGEREF _Toc195435316 \h </w:instrText>
            </w:r>
            <w:r>
              <w:rPr>
                <w:noProof/>
                <w:webHidden/>
              </w:rPr>
            </w:r>
            <w:r>
              <w:rPr>
                <w:noProof/>
                <w:webHidden/>
              </w:rPr>
              <w:fldChar w:fldCharType="separate"/>
            </w:r>
            <w:r>
              <w:rPr>
                <w:noProof/>
                <w:webHidden/>
              </w:rPr>
              <w:t>147</w:t>
            </w:r>
            <w:r>
              <w:rPr>
                <w:noProof/>
                <w:webHidden/>
              </w:rPr>
              <w:fldChar w:fldCharType="end"/>
            </w:r>
          </w:hyperlink>
        </w:p>
        <w:p w14:paraId="5DBC9CBA" w14:textId="240C2B9E" w:rsidR="00FF1104" w:rsidRDefault="00FF1104">
          <w:pPr>
            <w:pStyle w:val="TOC3"/>
            <w:rPr>
              <w:rFonts w:asciiTheme="minorHAnsi" w:eastAsiaTheme="minorEastAsia" w:hAnsiTheme="minorHAnsi"/>
              <w:noProof/>
              <w:kern w:val="2"/>
              <w:sz w:val="24"/>
              <w:szCs w:val="24"/>
              <w14:ligatures w14:val="standardContextual"/>
            </w:rPr>
          </w:pPr>
          <w:hyperlink w:anchor="_Toc195435317" w:history="1">
            <w:r w:rsidRPr="00DD46C0">
              <w:rPr>
                <w:rStyle w:val="Hyperlink"/>
                <w:rFonts w:ascii="Californian FB" w:eastAsia="Times New Roman" w:hAnsi="Californian FB" w:cs="Times New Roman"/>
                <w:noProof/>
              </w:rPr>
              <w:t>Wisconsin</w:t>
            </w:r>
            <w:r>
              <w:rPr>
                <w:noProof/>
                <w:webHidden/>
              </w:rPr>
              <w:tab/>
            </w:r>
            <w:r>
              <w:rPr>
                <w:noProof/>
                <w:webHidden/>
              </w:rPr>
              <w:fldChar w:fldCharType="begin"/>
            </w:r>
            <w:r>
              <w:rPr>
                <w:noProof/>
                <w:webHidden/>
              </w:rPr>
              <w:instrText xml:space="preserve"> PAGEREF _Toc195435317 \h </w:instrText>
            </w:r>
            <w:r>
              <w:rPr>
                <w:noProof/>
                <w:webHidden/>
              </w:rPr>
            </w:r>
            <w:r>
              <w:rPr>
                <w:noProof/>
                <w:webHidden/>
              </w:rPr>
              <w:fldChar w:fldCharType="separate"/>
            </w:r>
            <w:r>
              <w:rPr>
                <w:noProof/>
                <w:webHidden/>
              </w:rPr>
              <w:t>150</w:t>
            </w:r>
            <w:r>
              <w:rPr>
                <w:noProof/>
                <w:webHidden/>
              </w:rPr>
              <w:fldChar w:fldCharType="end"/>
            </w:r>
          </w:hyperlink>
        </w:p>
        <w:p w14:paraId="43FA234D" w14:textId="27D58209" w:rsidR="00F717F0" w:rsidRDefault="00F717F0">
          <w:r>
            <w:rPr>
              <w:b/>
              <w:bCs/>
              <w:noProof/>
            </w:rPr>
            <w:fldChar w:fldCharType="end"/>
          </w:r>
        </w:p>
      </w:sdtContent>
    </w:sdt>
    <w:p w14:paraId="179E1E9F" w14:textId="77777777" w:rsidR="00F717F0" w:rsidRPr="00F717F0" w:rsidRDefault="00F717F0" w:rsidP="00F717F0"/>
    <w:p w14:paraId="28DB96F8" w14:textId="6ECC5198" w:rsidR="009E7F86" w:rsidRDefault="009E7F86">
      <w:pPr>
        <w:spacing w:line="276" w:lineRule="auto"/>
        <w:jc w:val="left"/>
      </w:pPr>
      <w:r>
        <w:br w:type="page"/>
      </w:r>
    </w:p>
    <w:p w14:paraId="2F631720" w14:textId="63F8CB2F" w:rsidR="009E7F86" w:rsidRDefault="009E7F86" w:rsidP="009E7F86">
      <w:pPr>
        <w:pStyle w:val="Heading1"/>
      </w:pPr>
      <w:bookmarkStart w:id="3" w:name="_Toc195435213"/>
      <w:r>
        <w:lastRenderedPageBreak/>
        <w:t>Executive Summary</w:t>
      </w:r>
      <w:bookmarkEnd w:id="3"/>
    </w:p>
    <w:p w14:paraId="128848B7" w14:textId="112CA4B6" w:rsidR="00F717F0" w:rsidRDefault="009E7F86" w:rsidP="00F717F0">
      <w:pPr>
        <w:pStyle w:val="Heading2"/>
      </w:pPr>
      <w:bookmarkStart w:id="4" w:name="_Toc195435214"/>
      <w:r>
        <w:t>Findings</w:t>
      </w:r>
      <w:bookmarkEnd w:id="4"/>
    </w:p>
    <w:p w14:paraId="33D9DC3D" w14:textId="0028A199" w:rsidR="00F717F0" w:rsidRDefault="00F717F0" w:rsidP="00F717F0">
      <w:r>
        <w:t>[TBD]</w:t>
      </w:r>
    </w:p>
    <w:p w14:paraId="64D66F16" w14:textId="77777777" w:rsidR="00F717F0" w:rsidRDefault="00F717F0" w:rsidP="00F717F0"/>
    <w:p w14:paraId="2739629E" w14:textId="77777777" w:rsidR="00F717F0" w:rsidRPr="00F717F0" w:rsidRDefault="00F717F0" w:rsidP="00F717F0"/>
    <w:p w14:paraId="51A980DD" w14:textId="03955270" w:rsidR="009E7F86" w:rsidRDefault="009E7F86" w:rsidP="009E7F86">
      <w:pPr>
        <w:pStyle w:val="Heading2"/>
      </w:pPr>
      <w:bookmarkStart w:id="5" w:name="_Toc195435215"/>
      <w:r>
        <w:t>Recommendations</w:t>
      </w:r>
      <w:bookmarkEnd w:id="5"/>
    </w:p>
    <w:p w14:paraId="06F67B23" w14:textId="3E415EB2" w:rsidR="009E7F86" w:rsidRDefault="00F717F0">
      <w:pPr>
        <w:spacing w:line="276" w:lineRule="auto"/>
        <w:jc w:val="left"/>
        <w:rPr>
          <w:rFonts w:asciiTheme="majorHAnsi" w:eastAsiaTheme="majorEastAsia" w:hAnsiTheme="majorHAnsi" w:cstheme="majorBidi"/>
          <w:b/>
          <w:smallCaps/>
          <w:color w:val="851C00" w:themeColor="accent6" w:themeShade="BF"/>
          <w:sz w:val="32"/>
          <w:szCs w:val="32"/>
        </w:rPr>
      </w:pPr>
      <w:bookmarkStart w:id="6" w:name="_Toc153291121"/>
      <w:r>
        <w:t>[TBD]</w:t>
      </w:r>
      <w:r w:rsidR="009E7F86">
        <w:br w:type="page"/>
      </w:r>
    </w:p>
    <w:p w14:paraId="6D25DB46" w14:textId="25D34FA1" w:rsidR="00EE070D" w:rsidRDefault="00EE070D" w:rsidP="00B5459F">
      <w:pPr>
        <w:pStyle w:val="Heading1"/>
      </w:pPr>
      <w:bookmarkStart w:id="7" w:name="_Toc195435216"/>
      <w:r>
        <w:lastRenderedPageBreak/>
        <w:t>Introduction</w:t>
      </w:r>
      <w:bookmarkEnd w:id="6"/>
      <w:r w:rsidR="00DB2CB9">
        <w:t xml:space="preserve"> to the White Paper</w:t>
      </w:r>
      <w:bookmarkEnd w:id="7"/>
    </w:p>
    <w:p w14:paraId="60858FD7" w14:textId="122F7E5D" w:rsidR="004E378F" w:rsidRDefault="004E378F" w:rsidP="004E378F">
      <w:bookmarkStart w:id="8" w:name="_Toc153291122"/>
      <w:r w:rsidRPr="00FA3680">
        <w:rPr>
          <w:b/>
          <w:bCs/>
          <w:color w:val="851C00" w:themeColor="accent6" w:themeShade="BF"/>
          <w:sz w:val="24"/>
          <w:szCs w:val="28"/>
        </w:rPr>
        <w:t>NOTE:</w:t>
      </w:r>
      <w:r w:rsidRPr="004E378F">
        <w:rPr>
          <w:color w:val="B22600" w:themeColor="accent6"/>
        </w:rPr>
        <w:t xml:space="preserve"> </w:t>
      </w:r>
      <w:r>
        <w:t xml:space="preserve">Materials related </w:t>
      </w:r>
      <w:r w:rsidR="00D5381E">
        <w:t xml:space="preserve">to </w:t>
      </w:r>
      <w:r>
        <w:t xml:space="preserve">the MTC </w:t>
      </w:r>
      <w:r w:rsidR="00900D28">
        <w:t>State Taxation of Partnerships project</w:t>
      </w:r>
      <w:r>
        <w:t xml:space="preserve"> can be fou</w:t>
      </w:r>
      <w:r w:rsidR="002566FC">
        <w:softHyphen/>
      </w:r>
      <w:r>
        <w:t xml:space="preserve">nd </w:t>
      </w:r>
      <w:r w:rsidR="009E7F86">
        <w:t xml:space="preserve">on the </w:t>
      </w:r>
      <w:r>
        <w:t xml:space="preserve">MTC website, here:  </w:t>
      </w:r>
      <w:hyperlink r:id="rId11" w:history="1">
        <w:r w:rsidRPr="002E144A">
          <w:rPr>
            <w:rStyle w:val="Hyperlink"/>
          </w:rPr>
          <w:t>MTC Partnership Projec</w:t>
        </w:r>
        <w:r w:rsidR="00D5381E" w:rsidRPr="002E144A">
          <w:rPr>
            <w:rStyle w:val="Hyperlink"/>
          </w:rPr>
          <w:t>t Webpage</w:t>
        </w:r>
      </w:hyperlink>
      <w:r>
        <w:t>.</w:t>
      </w:r>
    </w:p>
    <w:p w14:paraId="4A7F06FB" w14:textId="15FDADF0" w:rsidR="00DB2CB9" w:rsidRPr="00EE070D" w:rsidRDefault="00DB2CB9" w:rsidP="00DB2CB9">
      <w:pPr>
        <w:pStyle w:val="Heading3"/>
        <w:spacing w:before="160"/>
      </w:pPr>
      <w:bookmarkStart w:id="9" w:name="_Toc195435217"/>
      <w:bookmarkStart w:id="10" w:name="_Toc153291124"/>
      <w:r>
        <w:t>Preparation</w:t>
      </w:r>
      <w:bookmarkEnd w:id="9"/>
    </w:p>
    <w:p w14:paraId="063BA1A8" w14:textId="192ADB1E" w:rsidR="00DB2CB9" w:rsidRPr="00EE070D" w:rsidRDefault="00DB2CB9" w:rsidP="00DB2CB9">
      <w:r w:rsidRPr="00EE070D">
        <w:t xml:space="preserve">This white paper was </w:t>
      </w:r>
      <w:r>
        <w:t>drafted</w:t>
      </w:r>
      <w:r w:rsidRPr="00EE070D">
        <w:t xml:space="preserve"> by the Multistate Tax Commission</w:t>
      </w:r>
      <w:r>
        <w:t xml:space="preserve"> </w:t>
      </w:r>
      <w:r w:rsidRPr="00EE070D">
        <w:t>with</w:t>
      </w:r>
      <w:r w:rsidR="000E5E4D">
        <w:t xml:space="preserve"> the</w:t>
      </w:r>
      <w:r w:rsidRPr="00EE070D">
        <w:t xml:space="preserve"> </w:t>
      </w:r>
      <w:r w:rsidR="00735D2C">
        <w:t xml:space="preserve">direction and </w:t>
      </w:r>
      <w:r w:rsidRPr="00EE070D">
        <w:t xml:space="preserve">advice of </w:t>
      </w:r>
      <w:r>
        <w:t xml:space="preserve">the </w:t>
      </w:r>
      <w:r w:rsidRPr="00EE070D">
        <w:t xml:space="preserve">work group established by the MTC </w:t>
      </w:r>
      <w:r>
        <w:t>U</w:t>
      </w:r>
      <w:r w:rsidRPr="00EE070D">
        <w:t xml:space="preserve">niformity </w:t>
      </w:r>
      <w:r>
        <w:t>C</w:t>
      </w:r>
      <w:r w:rsidRPr="00EE070D">
        <w:t>ommittee</w:t>
      </w:r>
      <w:r w:rsidR="000D50D2">
        <w:t xml:space="preserve"> to study state taxation of partnerships. </w:t>
      </w:r>
    </w:p>
    <w:p w14:paraId="59F0604A" w14:textId="23AE7527" w:rsidR="00543B8C" w:rsidRDefault="000D50D2" w:rsidP="00543B8C">
      <w:pPr>
        <w:pStyle w:val="Heading3"/>
        <w:spacing w:before="160"/>
      </w:pPr>
      <w:bookmarkStart w:id="11" w:name="_Toc195435218"/>
      <w:r w:rsidRPr="009D31E6">
        <w:rPr>
          <w:noProof/>
        </w:rPr>
        <w:drawing>
          <wp:anchor distT="0" distB="0" distL="114300" distR="114300" simplePos="0" relativeHeight="251664896" behindDoc="0" locked="0" layoutInCell="1" allowOverlap="1" wp14:anchorId="2C4DE768" wp14:editId="3A34C77B">
            <wp:simplePos x="0" y="0"/>
            <wp:positionH relativeFrom="margin">
              <wp:posOffset>2929890</wp:posOffset>
            </wp:positionH>
            <wp:positionV relativeFrom="paragraph">
              <wp:posOffset>207645</wp:posOffset>
            </wp:positionV>
            <wp:extent cx="2830830" cy="1990725"/>
            <wp:effectExtent l="0" t="0" r="7620" b="9525"/>
            <wp:wrapSquare wrapText="bothSides"/>
            <wp:docPr id="446170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0291" name=""/>
                    <pic:cNvPicPr/>
                  </pic:nvPicPr>
                  <pic:blipFill>
                    <a:blip r:embed="rId12">
                      <a:extLst>
                        <a:ext uri="{28A0092B-C50C-407E-A947-70E740481C1C}">
                          <a14:useLocalDpi xmlns:a14="http://schemas.microsoft.com/office/drawing/2010/main" val="0"/>
                        </a:ext>
                      </a:extLst>
                    </a:blip>
                    <a:stretch>
                      <a:fillRect/>
                    </a:stretch>
                  </pic:blipFill>
                  <pic:spPr>
                    <a:xfrm>
                      <a:off x="0" y="0"/>
                      <a:ext cx="2830830" cy="1990725"/>
                    </a:xfrm>
                    <a:prstGeom prst="rect">
                      <a:avLst/>
                    </a:prstGeom>
                  </pic:spPr>
                </pic:pic>
              </a:graphicData>
            </a:graphic>
            <wp14:sizeRelH relativeFrom="margin">
              <wp14:pctWidth>0</wp14:pctWidth>
            </wp14:sizeRelH>
            <wp14:sizeRelV relativeFrom="margin">
              <wp14:pctHeight>0</wp14:pctHeight>
            </wp14:sizeRelV>
          </wp:anchor>
        </w:drawing>
      </w:r>
      <w:r w:rsidR="00543B8C" w:rsidRPr="00EE070D">
        <w:t>Reason</w:t>
      </w:r>
      <w:bookmarkEnd w:id="10"/>
      <w:r>
        <w:t>s</w:t>
      </w:r>
      <w:bookmarkEnd w:id="11"/>
    </w:p>
    <w:p w14:paraId="4D8BC6D9" w14:textId="6CDAAF33" w:rsidR="00964DD4" w:rsidRPr="00964DD4" w:rsidRDefault="00964DD4" w:rsidP="00EC62B2">
      <w:pPr>
        <w:spacing w:after="120"/>
      </w:pPr>
      <w:r>
        <w:t xml:space="preserve">The </w:t>
      </w:r>
      <w:r w:rsidR="00312FA8">
        <w:t>Uniformity Committee chose to focus on</w:t>
      </w:r>
      <w:r w:rsidR="00080B43">
        <w:t xml:space="preserve"> the</w:t>
      </w:r>
      <w:r w:rsidR="00312FA8">
        <w:t xml:space="preserve"> taxation of partnerships and on the issues of sourcing partnership income for a number of reasons:</w:t>
      </w:r>
    </w:p>
    <w:p w14:paraId="32183D54" w14:textId="18DFABB3" w:rsidR="000D50D2" w:rsidRDefault="000D50D2" w:rsidP="00955008">
      <w:pPr>
        <w:pStyle w:val="ListParagraph"/>
        <w:numPr>
          <w:ilvl w:val="0"/>
          <w:numId w:val="12"/>
        </w:numPr>
        <w:spacing w:after="40"/>
        <w:contextualSpacing w:val="0"/>
      </w:pPr>
      <w:r>
        <w:t xml:space="preserve">The </w:t>
      </w:r>
      <w:r w:rsidR="00735D2C">
        <w:t xml:space="preserve">share of total </w:t>
      </w:r>
      <w:r w:rsidR="00E31512">
        <w:t>business net</w:t>
      </w:r>
      <w:r w:rsidR="00735D2C">
        <w:t xml:space="preserve"> income </w:t>
      </w:r>
      <w:r w:rsidR="00DF1800">
        <w:t xml:space="preserve">earned </w:t>
      </w:r>
      <w:r w:rsidR="00735D2C">
        <w:t xml:space="preserve">by partnerships </w:t>
      </w:r>
      <w:r w:rsidR="00E31512">
        <w:t xml:space="preserve">has </w:t>
      </w:r>
      <w:r w:rsidR="00545C7C">
        <w:t xml:space="preserve">grown. </w:t>
      </w:r>
      <w:r w:rsidR="009D31E6">
        <w:t>(</w:t>
      </w:r>
      <w:r w:rsidR="00735D2C">
        <w:t>See the</w:t>
      </w:r>
      <w:r w:rsidR="009D31E6">
        <w:t xml:space="preserve"> graphic to the right.</w:t>
      </w:r>
      <w:r w:rsidR="009D31E6">
        <w:rPr>
          <w:rStyle w:val="FootnoteReference"/>
        </w:rPr>
        <w:footnoteReference w:id="2"/>
      </w:r>
      <w:r w:rsidR="00052128">
        <w:t>)</w:t>
      </w:r>
      <w:r w:rsidR="00735D2C">
        <w:t xml:space="preserve"> </w:t>
      </w:r>
    </w:p>
    <w:p w14:paraId="7670B095" w14:textId="48521477" w:rsidR="000D50D2" w:rsidRDefault="009F74B3" w:rsidP="00955008">
      <w:pPr>
        <w:pStyle w:val="ListParagraph"/>
        <w:numPr>
          <w:ilvl w:val="0"/>
          <w:numId w:val="12"/>
        </w:numPr>
        <w:spacing w:after="40"/>
        <w:contextualSpacing w:val="0"/>
      </w:pPr>
      <w:r>
        <w:t>Today, t</w:t>
      </w:r>
      <w:r w:rsidR="00545C7C">
        <w:t xml:space="preserve">here </w:t>
      </w:r>
      <w:r w:rsidR="000F78F5">
        <w:t xml:space="preserve">are </w:t>
      </w:r>
      <w:r w:rsidR="006E791A">
        <w:t xml:space="preserve">many </w:t>
      </w:r>
      <w:r w:rsidR="00545C7C">
        <w:t>more large, complex</w:t>
      </w:r>
      <w:r w:rsidR="00735D2C">
        <w:t xml:space="preserve"> p</w:t>
      </w:r>
      <w:r w:rsidR="00B75BB5">
        <w:t>artnership</w:t>
      </w:r>
      <w:r w:rsidR="000F3B39">
        <w:t xml:space="preserve"> structures</w:t>
      </w:r>
      <w:r w:rsidR="006E791A">
        <w:t xml:space="preserve"> than in prior years</w:t>
      </w:r>
      <w:r w:rsidR="00B75BB5">
        <w:t>.</w:t>
      </w:r>
      <w:r w:rsidR="00052128">
        <w:rPr>
          <w:rStyle w:val="FootnoteReference"/>
        </w:rPr>
        <w:footnoteReference w:id="3"/>
      </w:r>
      <w:r w:rsidR="00B75BB5">
        <w:t xml:space="preserve"> </w:t>
      </w:r>
    </w:p>
    <w:p w14:paraId="2EC353FD" w14:textId="329BE46E" w:rsidR="00DB2CB9" w:rsidRDefault="006E791A" w:rsidP="00955008">
      <w:pPr>
        <w:pStyle w:val="ListParagraph"/>
        <w:numPr>
          <w:ilvl w:val="0"/>
          <w:numId w:val="12"/>
        </w:numPr>
        <w:spacing w:after="120"/>
        <w:contextualSpacing w:val="0"/>
      </w:pPr>
      <w:r>
        <w:t>States conform to the</w:t>
      </w:r>
      <w:r w:rsidR="00C92161">
        <w:t xml:space="preserve"> federal pass-through </w:t>
      </w:r>
      <w:r w:rsidR="00DF1800">
        <w:t xml:space="preserve">tax </w:t>
      </w:r>
      <w:r w:rsidR="00C92161">
        <w:t>system</w:t>
      </w:r>
      <w:r w:rsidR="00545C7C">
        <w:t xml:space="preserve"> </w:t>
      </w:r>
      <w:r>
        <w:t xml:space="preserve">which </w:t>
      </w:r>
      <w:r w:rsidR="000D356A">
        <w:t xml:space="preserve">adds </w:t>
      </w:r>
      <w:r w:rsidR="00545C7C">
        <w:t xml:space="preserve">a </w:t>
      </w:r>
      <w:r w:rsidR="000D356A">
        <w:t xml:space="preserve">layer of complexity to </w:t>
      </w:r>
      <w:r w:rsidR="000F3B39">
        <w:t xml:space="preserve">state </w:t>
      </w:r>
      <w:r w:rsidR="000D356A">
        <w:t xml:space="preserve">tax reporting and computation. </w:t>
      </w:r>
    </w:p>
    <w:p w14:paraId="75AAE6BF" w14:textId="61920899" w:rsidR="00543B8C" w:rsidRPr="00634DA2" w:rsidRDefault="00545C7C" w:rsidP="00543B8C">
      <w:r>
        <w:t xml:space="preserve">Most </w:t>
      </w:r>
      <w:r w:rsidR="00CA2D9B">
        <w:t>states</w:t>
      </w:r>
      <w:r>
        <w:t xml:space="preserve"> have not fully addressed how</w:t>
      </w:r>
      <w:r w:rsidR="000D356A">
        <w:t xml:space="preserve"> </w:t>
      </w:r>
      <w:r>
        <w:t>their</w:t>
      </w:r>
      <w:r w:rsidR="000D356A">
        <w:t xml:space="preserve"> </w:t>
      </w:r>
      <w:r w:rsidR="006B5C5F">
        <w:t xml:space="preserve">income </w:t>
      </w:r>
      <w:r w:rsidR="005650C1">
        <w:t xml:space="preserve">“sourcing” </w:t>
      </w:r>
      <w:r w:rsidR="000D356A">
        <w:t>rules</w:t>
      </w:r>
      <w:r w:rsidR="005650C1">
        <w:t>—that is</w:t>
      </w:r>
      <w:r w:rsidR="006B5C5F">
        <w:t>, the</w:t>
      </w:r>
      <w:r w:rsidR="005650C1">
        <w:t xml:space="preserve"> rules</w:t>
      </w:r>
      <w:r w:rsidR="000D356A">
        <w:t xml:space="preserve"> for determining </w:t>
      </w:r>
      <w:r w:rsidR="006B5C5F">
        <w:t>a state’s</w:t>
      </w:r>
      <w:r w:rsidR="000D356A">
        <w:t xml:space="preserve"> share of multistate income</w:t>
      </w:r>
      <w:r w:rsidR="005650C1">
        <w:t>—</w:t>
      </w:r>
      <w:r>
        <w:t xml:space="preserve">should apply to partnerships taxed under the </w:t>
      </w:r>
      <w:r w:rsidR="00B75BB5">
        <w:t>pass-through system</w:t>
      </w:r>
      <w:r>
        <w:t>,</w:t>
      </w:r>
      <w:r w:rsidR="005650C1">
        <w:t xml:space="preserve"> especially where there are complex partnership structures</w:t>
      </w:r>
      <w:r w:rsidR="000D356A">
        <w:t>.</w:t>
      </w:r>
      <w:r w:rsidR="00B75BB5">
        <w:t xml:space="preserve"> </w:t>
      </w:r>
      <w:r w:rsidR="006B5C5F">
        <w:t>Lack of clear rules means some income may not be taxed by any state. And d</w:t>
      </w:r>
      <w:r w:rsidR="00DB2CB9">
        <w:t xml:space="preserve">ifferences </w:t>
      </w:r>
      <w:r w:rsidR="00EC62B2">
        <w:t>between</w:t>
      </w:r>
      <w:r w:rsidR="00DB2CB9">
        <w:t xml:space="preserve"> </w:t>
      </w:r>
      <w:r w:rsidR="005650C1">
        <w:t xml:space="preserve">the </w:t>
      </w:r>
      <w:r w:rsidR="00DB2CB9">
        <w:t>state</w:t>
      </w:r>
      <w:r w:rsidR="005650C1">
        <w:t>s’</w:t>
      </w:r>
      <w:r w:rsidR="00DB2CB9">
        <w:t xml:space="preserve"> rules may </w:t>
      </w:r>
      <w:r>
        <w:t>subject partnership income to multiple taxation</w:t>
      </w:r>
      <w:r w:rsidR="00DB2CB9">
        <w:t xml:space="preserve">. </w:t>
      </w:r>
    </w:p>
    <w:p w14:paraId="4AA0A092" w14:textId="55DBD815" w:rsidR="004E378F" w:rsidRDefault="009E7F86" w:rsidP="003040B2">
      <w:pPr>
        <w:pStyle w:val="Heading3"/>
        <w:spacing w:before="160"/>
      </w:pPr>
      <w:bookmarkStart w:id="13" w:name="_Toc195435219"/>
      <w:bookmarkStart w:id="14" w:name="_Toc153291123"/>
      <w:bookmarkEnd w:id="8"/>
      <w:r>
        <w:t>Scope</w:t>
      </w:r>
      <w:bookmarkEnd w:id="13"/>
    </w:p>
    <w:p w14:paraId="6356E7F3" w14:textId="4EB092DD" w:rsidR="004E378F" w:rsidRPr="004E378F" w:rsidRDefault="00541610" w:rsidP="004E378F">
      <w:r w:rsidRPr="00541610">
        <w:t>This white paper addresses how complex partnership structures, special allocations, and related-party transactions affect the ability of states to tax partnership income and, in particular, how partnership income is sourced</w:t>
      </w:r>
      <w:r>
        <w:t xml:space="preserve">. </w:t>
      </w:r>
      <w:r w:rsidR="002B7692">
        <w:t>It</w:t>
      </w:r>
      <w:r w:rsidR="00F65298">
        <w:t xml:space="preserve"> addresses </w:t>
      </w:r>
      <w:r w:rsidR="000F3B39">
        <w:t xml:space="preserve">the application of </w:t>
      </w:r>
      <w:r w:rsidR="006B5C5F">
        <w:t xml:space="preserve">long-standing </w:t>
      </w:r>
      <w:r w:rsidR="00F65298">
        <w:t xml:space="preserve">state sourcing </w:t>
      </w:r>
      <w:r w:rsidR="00DB2CB9">
        <w:t xml:space="preserve">rules to </w:t>
      </w:r>
      <w:r w:rsidR="00545C7C">
        <w:t xml:space="preserve">the distributive share income of </w:t>
      </w:r>
      <w:r w:rsidR="00F65298">
        <w:t>multistate partnership</w:t>
      </w:r>
      <w:r w:rsidR="00F71F85">
        <w:t>s</w:t>
      </w:r>
      <w:r w:rsidR="00545C7C">
        <w:t>,</w:t>
      </w:r>
      <w:r w:rsidR="00F71F85">
        <w:t xml:space="preserve"> </w:t>
      </w:r>
      <w:r w:rsidR="00545C7C">
        <w:t>which</w:t>
      </w:r>
      <w:r w:rsidR="005650C1">
        <w:t xml:space="preserve"> is taxed to partners under the pass-through system</w:t>
      </w:r>
      <w:r w:rsidR="00D5381E">
        <w:t>.</w:t>
      </w:r>
      <w:r w:rsidR="00052128" w:rsidRPr="00052128">
        <w:rPr>
          <w:rStyle w:val="FootnoteReference"/>
        </w:rPr>
        <w:t xml:space="preserve"> </w:t>
      </w:r>
      <w:r w:rsidR="00052128">
        <w:rPr>
          <w:rStyle w:val="FootnoteReference"/>
        </w:rPr>
        <w:footnoteReference w:id="4"/>
      </w:r>
      <w:r w:rsidR="000F3B39">
        <w:t xml:space="preserve"> It focuses most on issues that have not been fully addressed by the states</w:t>
      </w:r>
      <w:r w:rsidR="00834FBD">
        <w:t xml:space="preserve"> </w:t>
      </w:r>
      <w:r w:rsidR="00052128">
        <w:t xml:space="preserve">including the application of sourcing rules </w:t>
      </w:r>
      <w:r w:rsidR="000C2CCD">
        <w:t xml:space="preserve">where there are </w:t>
      </w:r>
      <w:r w:rsidR="00052128">
        <w:t>corporate or tiered partners</w:t>
      </w:r>
      <w:r w:rsidR="000510F2">
        <w:t xml:space="preserve">, </w:t>
      </w:r>
      <w:r w:rsidR="00052128">
        <w:t>related partnerships</w:t>
      </w:r>
      <w:r w:rsidR="000510F2">
        <w:t>,</w:t>
      </w:r>
      <w:r w:rsidR="008B21EB">
        <w:t xml:space="preserve"> and</w:t>
      </w:r>
      <w:r w:rsidR="00052128">
        <w:t xml:space="preserve"> special </w:t>
      </w:r>
      <w:r w:rsidR="008B21EB">
        <w:t xml:space="preserve">or mandatory </w:t>
      </w:r>
      <w:r w:rsidR="00052128">
        <w:t>allocations</w:t>
      </w:r>
      <w:r w:rsidR="008B21EB">
        <w:t xml:space="preserve"> of income</w:t>
      </w:r>
      <w:r w:rsidR="00052128">
        <w:t>.</w:t>
      </w:r>
    </w:p>
    <w:p w14:paraId="6CAFCDF0" w14:textId="5FB861AC" w:rsidR="00EE070D" w:rsidRDefault="00EE070D" w:rsidP="003040B2">
      <w:pPr>
        <w:pStyle w:val="Heading3"/>
        <w:spacing w:before="160"/>
      </w:pPr>
      <w:bookmarkStart w:id="15" w:name="_Toc153291125"/>
      <w:bookmarkStart w:id="16" w:name="_Toc195435220"/>
      <w:bookmarkEnd w:id="14"/>
      <w:r w:rsidRPr="00EE070D">
        <w:t>Approach</w:t>
      </w:r>
      <w:bookmarkEnd w:id="15"/>
      <w:bookmarkEnd w:id="16"/>
    </w:p>
    <w:p w14:paraId="0BBC6BCC" w14:textId="4F211724" w:rsidR="004B118E" w:rsidRPr="004B118E" w:rsidRDefault="00F71F85" w:rsidP="004B118E">
      <w:r>
        <w:t>In order to help readers understand the issues</w:t>
      </w:r>
      <w:r w:rsidR="006B5C5F">
        <w:t xml:space="preserve"> and recommendations</w:t>
      </w:r>
      <w:r>
        <w:t>, this white paper provides</w:t>
      </w:r>
      <w:r w:rsidR="00DB2CB9">
        <w:t xml:space="preserve"> general summaries of important partnership laws and concepts</w:t>
      </w:r>
      <w:r>
        <w:t xml:space="preserve"> as well as </w:t>
      </w:r>
      <w:r w:rsidR="005650C1">
        <w:t xml:space="preserve">references to other resources readers may want to consider. In developing findings and recommendations, it </w:t>
      </w:r>
      <w:r w:rsidR="00DB2CB9">
        <w:t xml:space="preserve">draws on existing state rules and approaches to sourcing partnership </w:t>
      </w:r>
      <w:r w:rsidR="008B21EB">
        <w:t xml:space="preserve">income. </w:t>
      </w:r>
      <w:r w:rsidR="00DB2CB9">
        <w:t xml:space="preserve"> </w:t>
      </w:r>
    </w:p>
    <w:p w14:paraId="1A2960B8" w14:textId="03A75BC9" w:rsidR="00B5459F" w:rsidRDefault="00B5459F" w:rsidP="00B5459F">
      <w:pPr>
        <w:pStyle w:val="Heading1"/>
      </w:pPr>
      <w:bookmarkStart w:id="17" w:name="_Toc153291127"/>
      <w:bookmarkStart w:id="18" w:name="_Toc195435221"/>
      <w:r w:rsidRPr="00CD11CF">
        <w:lastRenderedPageBreak/>
        <w:t>Executive</w:t>
      </w:r>
      <w:r w:rsidRPr="0019545B">
        <w:t xml:space="preserve"> Summary</w:t>
      </w:r>
      <w:bookmarkEnd w:id="17"/>
      <w:bookmarkEnd w:id="18"/>
    </w:p>
    <w:p w14:paraId="4960ADFE" w14:textId="5B16E4A5" w:rsidR="00FA3680" w:rsidRDefault="00735D2C">
      <w:pPr>
        <w:spacing w:line="276" w:lineRule="auto"/>
        <w:jc w:val="left"/>
        <w:rPr>
          <w:rFonts w:asciiTheme="majorHAnsi" w:eastAsiaTheme="majorEastAsia" w:hAnsiTheme="majorHAnsi" w:cstheme="majorBidi"/>
          <w:b/>
          <w:smallCaps/>
          <w:color w:val="851C00" w:themeColor="accent6" w:themeShade="BF"/>
          <w:sz w:val="32"/>
          <w:szCs w:val="32"/>
        </w:rPr>
      </w:pPr>
      <w:r w:rsidRPr="00735D2C">
        <w:rPr>
          <w:rFonts w:asciiTheme="majorHAnsi" w:eastAsiaTheme="majorEastAsia" w:hAnsiTheme="majorHAnsi" w:cstheme="majorBidi"/>
          <w:b/>
          <w:smallCaps/>
          <w:noProof/>
          <w:color w:val="851C00" w:themeColor="accent6" w:themeShade="BF"/>
          <w:sz w:val="32"/>
          <w:szCs w:val="32"/>
        </w:rPr>
        <w:drawing>
          <wp:inline distT="0" distB="0" distL="0" distR="0" wp14:anchorId="184E7D10" wp14:editId="15DCA565">
            <wp:extent cx="3344650" cy="2842039"/>
            <wp:effectExtent l="0" t="0" r="8255" b="0"/>
            <wp:docPr id="1194855733" name="Picture 1" descr="Chart, rad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55733" name="Picture 1" descr="Chart, radar chart&#10;&#10;AI-generated content may be incorrect."/>
                    <pic:cNvPicPr/>
                  </pic:nvPicPr>
                  <pic:blipFill>
                    <a:blip r:embed="rId13"/>
                    <a:stretch>
                      <a:fillRect/>
                    </a:stretch>
                  </pic:blipFill>
                  <pic:spPr>
                    <a:xfrm>
                      <a:off x="0" y="0"/>
                      <a:ext cx="3358779" cy="2854045"/>
                    </a:xfrm>
                    <a:prstGeom prst="rect">
                      <a:avLst/>
                    </a:prstGeom>
                  </pic:spPr>
                </pic:pic>
              </a:graphicData>
            </a:graphic>
          </wp:inline>
        </w:drawing>
      </w:r>
      <w:r w:rsidR="00FA3680">
        <w:rPr>
          <w:rFonts w:asciiTheme="majorHAnsi" w:eastAsiaTheme="majorEastAsia" w:hAnsiTheme="majorHAnsi" w:cstheme="majorBidi"/>
          <w:b/>
          <w:smallCaps/>
          <w:color w:val="851C00" w:themeColor="accent6" w:themeShade="BF"/>
          <w:sz w:val="32"/>
          <w:szCs w:val="32"/>
        </w:rPr>
        <w:br w:type="page"/>
      </w:r>
    </w:p>
    <w:p w14:paraId="482DF49D" w14:textId="31C735B0" w:rsidR="00B5459F" w:rsidRDefault="00F54CF3" w:rsidP="00364D04">
      <w:pPr>
        <w:pStyle w:val="Heading1"/>
        <w:spacing w:after="120"/>
      </w:pPr>
      <w:bookmarkStart w:id="19" w:name="_Toc153291128"/>
      <w:bookmarkStart w:id="20" w:name="_Toc195435222"/>
      <w:r>
        <w:lastRenderedPageBreak/>
        <w:t xml:space="preserve">Section </w:t>
      </w:r>
      <w:r w:rsidR="00B5459F">
        <w:t xml:space="preserve">I. </w:t>
      </w:r>
      <w:r w:rsidR="00A94288">
        <w:t xml:space="preserve">Important </w:t>
      </w:r>
      <w:r w:rsidR="00A85E6E">
        <w:t>Context</w:t>
      </w:r>
      <w:bookmarkEnd w:id="19"/>
      <w:r w:rsidR="0083452D">
        <w:t xml:space="preserve"> for Understanding the Issues</w:t>
      </w:r>
      <w:bookmarkEnd w:id="20"/>
    </w:p>
    <w:p w14:paraId="0BB72D4B" w14:textId="5E4C830B" w:rsidR="00FA3680" w:rsidRDefault="003D5D9B" w:rsidP="00FA3680">
      <w:pPr>
        <w:jc w:val="center"/>
        <w:rPr>
          <w:i/>
          <w:iCs/>
          <w:sz w:val="22"/>
          <w:szCs w:val="24"/>
        </w:rPr>
      </w:pPr>
      <w:r w:rsidRPr="00364D04">
        <w:rPr>
          <w:i/>
          <w:iCs/>
          <w:sz w:val="22"/>
          <w:szCs w:val="24"/>
        </w:rPr>
        <w:t xml:space="preserve">This Section I provides background information </w:t>
      </w:r>
      <w:r w:rsidR="00F50FE2" w:rsidRPr="00364D04">
        <w:rPr>
          <w:i/>
          <w:iCs/>
          <w:sz w:val="22"/>
          <w:szCs w:val="24"/>
        </w:rPr>
        <w:t xml:space="preserve">necessary </w:t>
      </w:r>
      <w:r w:rsidR="00DA5712">
        <w:rPr>
          <w:i/>
          <w:iCs/>
          <w:sz w:val="22"/>
          <w:szCs w:val="24"/>
        </w:rPr>
        <w:br/>
      </w:r>
      <w:r w:rsidR="00F50FE2" w:rsidRPr="00364D04">
        <w:rPr>
          <w:i/>
          <w:iCs/>
          <w:sz w:val="22"/>
          <w:szCs w:val="24"/>
        </w:rPr>
        <w:t>to understand</w:t>
      </w:r>
      <w:r w:rsidR="008B2114" w:rsidRPr="00364D04">
        <w:rPr>
          <w:i/>
          <w:iCs/>
          <w:sz w:val="22"/>
          <w:szCs w:val="24"/>
        </w:rPr>
        <w:t xml:space="preserve"> </w:t>
      </w:r>
      <w:r w:rsidR="0030450A" w:rsidRPr="00364D04">
        <w:rPr>
          <w:i/>
          <w:iCs/>
          <w:sz w:val="22"/>
          <w:szCs w:val="24"/>
        </w:rPr>
        <w:t xml:space="preserve">the </w:t>
      </w:r>
      <w:r w:rsidR="00DA5712">
        <w:rPr>
          <w:i/>
          <w:iCs/>
          <w:sz w:val="22"/>
          <w:szCs w:val="24"/>
        </w:rPr>
        <w:t xml:space="preserve">state sourcing </w:t>
      </w:r>
      <w:r w:rsidR="0030450A" w:rsidRPr="00364D04">
        <w:rPr>
          <w:i/>
          <w:iCs/>
          <w:sz w:val="22"/>
          <w:szCs w:val="24"/>
        </w:rPr>
        <w:t>issues discussed.</w:t>
      </w:r>
      <w:r w:rsidR="00984725">
        <w:rPr>
          <w:i/>
          <w:iCs/>
          <w:sz w:val="22"/>
          <w:szCs w:val="24"/>
        </w:rPr>
        <w:t xml:space="preserve"> </w:t>
      </w:r>
    </w:p>
    <w:p w14:paraId="2D98A94C" w14:textId="6DE7CCCD" w:rsidR="00984725" w:rsidRDefault="00984725" w:rsidP="002B7692">
      <w:pPr>
        <w:spacing w:after="120"/>
        <w:rPr>
          <w:sz w:val="22"/>
          <w:szCs w:val="24"/>
        </w:rPr>
      </w:pPr>
      <w:r>
        <w:rPr>
          <w:sz w:val="22"/>
          <w:szCs w:val="24"/>
        </w:rPr>
        <w:t>Section I</w:t>
      </w:r>
      <w:r w:rsidR="002B7692">
        <w:rPr>
          <w:sz w:val="22"/>
          <w:szCs w:val="24"/>
        </w:rPr>
        <w:t xml:space="preserve"> - </w:t>
      </w:r>
      <w:r w:rsidR="00D63895">
        <w:rPr>
          <w:sz w:val="22"/>
          <w:szCs w:val="24"/>
        </w:rPr>
        <w:t>Important Context for Understanding the Issues</w:t>
      </w:r>
      <w:r w:rsidR="006B5C5F">
        <w:rPr>
          <w:sz w:val="22"/>
          <w:szCs w:val="24"/>
        </w:rPr>
        <w:t xml:space="preserve"> </w:t>
      </w:r>
      <w:r w:rsidR="005C72A8">
        <w:rPr>
          <w:sz w:val="22"/>
          <w:szCs w:val="24"/>
        </w:rPr>
        <w:t>includes</w:t>
      </w:r>
      <w:r w:rsidR="002B7692">
        <w:rPr>
          <w:sz w:val="22"/>
          <w:szCs w:val="24"/>
        </w:rPr>
        <w:t xml:space="preserve"> the following subsections</w:t>
      </w:r>
      <w:r>
        <w:rPr>
          <w:sz w:val="22"/>
          <w:szCs w:val="24"/>
        </w:rPr>
        <w:t>:</w:t>
      </w:r>
    </w:p>
    <w:p w14:paraId="7CCC4859" w14:textId="27928CC3" w:rsidR="00984725" w:rsidRDefault="00984725" w:rsidP="002B7692">
      <w:pPr>
        <w:spacing w:after="60"/>
        <w:ind w:left="720"/>
      </w:pPr>
      <w:r>
        <w:t xml:space="preserve">I.A. </w:t>
      </w:r>
      <w:r w:rsidR="00080585">
        <w:t>Examples of</w:t>
      </w:r>
      <w:r>
        <w:t xml:space="preserve"> Issues</w:t>
      </w:r>
      <w:r w:rsidR="00080585">
        <w:t xml:space="preserve"> and Common Questions</w:t>
      </w:r>
    </w:p>
    <w:p w14:paraId="0C11CAB9" w14:textId="3AEC6BBD" w:rsidR="00984725" w:rsidRDefault="00984725" w:rsidP="002B7692">
      <w:pPr>
        <w:spacing w:after="60"/>
        <w:ind w:left="720"/>
      </w:pPr>
      <w:r>
        <w:t>I.B. Overview of Important Law</w:t>
      </w:r>
    </w:p>
    <w:p w14:paraId="5A288765" w14:textId="4CBA4042" w:rsidR="00984725" w:rsidRDefault="00984725" w:rsidP="002B7692">
      <w:pPr>
        <w:spacing w:after="60"/>
        <w:ind w:left="720"/>
      </w:pPr>
      <w:r>
        <w:t>I.C. Common Terms Used in th</w:t>
      </w:r>
      <w:r w:rsidR="005C72A8">
        <w:t>e</w:t>
      </w:r>
      <w:r>
        <w:t xml:space="preserve"> White Paper</w:t>
      </w:r>
    </w:p>
    <w:p w14:paraId="12669CFF" w14:textId="3AB1C24F" w:rsidR="00984725" w:rsidRDefault="00984725" w:rsidP="002B7692">
      <w:pPr>
        <w:spacing w:after="60"/>
        <w:ind w:left="720"/>
      </w:pPr>
      <w:r>
        <w:t xml:space="preserve">I.D. </w:t>
      </w:r>
      <w:r w:rsidR="004971CE" w:rsidRPr="004971CE">
        <w:t>Conformity to the Federal Pass-Through Tax System</w:t>
      </w:r>
    </w:p>
    <w:p w14:paraId="4F21B5C3" w14:textId="23DADE04" w:rsidR="00984725" w:rsidRDefault="00984725" w:rsidP="002B7692">
      <w:pPr>
        <w:spacing w:after="60"/>
        <w:ind w:left="720"/>
      </w:pPr>
      <w:r>
        <w:t xml:space="preserve">I.E. </w:t>
      </w:r>
      <w:r w:rsidR="008C0462" w:rsidRPr="008C0462">
        <w:t>Importance of the Attribution or the “Conduit” Principle</w:t>
      </w:r>
    </w:p>
    <w:p w14:paraId="5F7CB9A8" w14:textId="02F57FA8" w:rsidR="008C0462" w:rsidRDefault="008C0462" w:rsidP="002B7692">
      <w:pPr>
        <w:spacing w:after="60"/>
        <w:ind w:left="720"/>
      </w:pPr>
      <w:r>
        <w:t xml:space="preserve">I.F. </w:t>
      </w:r>
      <w:r w:rsidR="005B68F1" w:rsidRPr="005B68F1">
        <w:t>General State Sourcing Rules for Income of Businesses</w:t>
      </w:r>
    </w:p>
    <w:p w14:paraId="3BA2D728" w14:textId="740166C9" w:rsidR="008C0462" w:rsidRDefault="008C0462" w:rsidP="00642C08">
      <w:pPr>
        <w:spacing w:after="120"/>
        <w:ind w:left="720"/>
      </w:pPr>
      <w:r>
        <w:t>I.G. Summary</w:t>
      </w:r>
    </w:p>
    <w:p w14:paraId="627264DE" w14:textId="5780021F" w:rsidR="00F65298" w:rsidRDefault="00FA3680" w:rsidP="008718C5">
      <w:pPr>
        <w:pStyle w:val="Heading2"/>
      </w:pPr>
      <w:bookmarkStart w:id="21" w:name="_Toc195435223"/>
      <w:r>
        <w:softHyphen/>
      </w:r>
      <w:r w:rsidR="00F65298">
        <w:t xml:space="preserve">I.A. </w:t>
      </w:r>
      <w:r w:rsidR="00080585">
        <w:t>Examples of Issues and Common Questions</w:t>
      </w:r>
      <w:bookmarkEnd w:id="21"/>
    </w:p>
    <w:p w14:paraId="1228D815" w14:textId="74918496" w:rsidR="00F65298" w:rsidRDefault="00FD4E93" w:rsidP="00116381">
      <w:r>
        <w:t xml:space="preserve">To help users of this white paper </w:t>
      </w:r>
      <w:r w:rsidR="00116381">
        <w:t xml:space="preserve">understand </w:t>
      </w:r>
      <w:r w:rsidR="006B5C5F">
        <w:t>th</w:t>
      </w:r>
      <w:r w:rsidR="00F730A2">
        <w:t xml:space="preserve">e </w:t>
      </w:r>
      <w:r>
        <w:t xml:space="preserve">state sourcing </w:t>
      </w:r>
      <w:r w:rsidR="00F730A2">
        <w:t>issues</w:t>
      </w:r>
      <w:r>
        <w:t xml:space="preserve"> to be addressed</w:t>
      </w:r>
      <w:r w:rsidR="000B645B">
        <w:t xml:space="preserve"> in Section II</w:t>
      </w:r>
      <w:r>
        <w:t>, this Section I gives some important context</w:t>
      </w:r>
      <w:r w:rsidR="00116381">
        <w:t xml:space="preserve">. </w:t>
      </w:r>
      <w:r w:rsidR="000B645B">
        <w:t xml:space="preserve">First, this subsection I.A. </w:t>
      </w:r>
      <w:r w:rsidR="00D42CB9">
        <w:t>look</w:t>
      </w:r>
      <w:r w:rsidR="000B645B">
        <w:t>s</w:t>
      </w:r>
      <w:r w:rsidR="00D42CB9">
        <w:t xml:space="preserve"> at </w:t>
      </w:r>
      <w:r>
        <w:t>some</w:t>
      </w:r>
      <w:r w:rsidR="00A13E8A">
        <w:t xml:space="preserve"> </w:t>
      </w:r>
      <w:r w:rsidR="00642C08">
        <w:t xml:space="preserve">simple </w:t>
      </w:r>
      <w:r w:rsidR="008C0462">
        <w:t xml:space="preserve">examples </w:t>
      </w:r>
      <w:r w:rsidR="00116381">
        <w:t xml:space="preserve">of </w:t>
      </w:r>
      <w:r w:rsidR="000B645B">
        <w:t xml:space="preserve">how </w:t>
      </w:r>
      <w:r w:rsidR="006B5C5F">
        <w:t xml:space="preserve">the </w:t>
      </w:r>
      <w:r w:rsidR="00116381">
        <w:t xml:space="preserve">pass-through </w:t>
      </w:r>
      <w:r w:rsidR="006B5C5F">
        <w:t>system creates</w:t>
      </w:r>
      <w:r w:rsidR="000B645B">
        <w:t xml:space="preserve"> unique state sourcing issues and summarizes the</w:t>
      </w:r>
      <w:r w:rsidR="00E14CF5">
        <w:t xml:space="preserve"> </w:t>
      </w:r>
      <w:r w:rsidR="00080585">
        <w:t xml:space="preserve">common </w:t>
      </w:r>
      <w:r w:rsidR="000B645B">
        <w:t xml:space="preserve">sourcing </w:t>
      </w:r>
      <w:r w:rsidR="00E14CF5">
        <w:t xml:space="preserve">questions </w:t>
      </w:r>
      <w:r w:rsidR="006B5C5F">
        <w:t xml:space="preserve">that states </w:t>
      </w:r>
      <w:r w:rsidR="00D42CB9">
        <w:t>are facing</w:t>
      </w:r>
      <w:r w:rsidR="00116381">
        <w:t>.</w:t>
      </w:r>
      <w:r w:rsidR="00E14CF5">
        <w:t xml:space="preserve"> </w:t>
      </w:r>
      <w:r w:rsidR="00116381">
        <w:t xml:space="preserve"> </w:t>
      </w:r>
    </w:p>
    <w:p w14:paraId="4877D492" w14:textId="52BCA8CB" w:rsidR="00F65298" w:rsidRDefault="00F65298" w:rsidP="00356920">
      <w:pPr>
        <w:pStyle w:val="Heading3"/>
      </w:pPr>
      <w:bookmarkStart w:id="22" w:name="_Toc195435224"/>
      <w:r>
        <w:t xml:space="preserve">State </w:t>
      </w:r>
      <w:r w:rsidR="00D43660">
        <w:t xml:space="preserve">Rules for </w:t>
      </w:r>
      <w:r w:rsidR="00922451">
        <w:t>Sourcing</w:t>
      </w:r>
      <w:r w:rsidR="00D43660">
        <w:t xml:space="preserve"> </w:t>
      </w:r>
      <w:r>
        <w:t xml:space="preserve">Multistate </w:t>
      </w:r>
      <w:r w:rsidRPr="00356920">
        <w:t>Income</w:t>
      </w:r>
      <w:r w:rsidR="00895816">
        <w:t xml:space="preserve"> – </w:t>
      </w:r>
      <w:r w:rsidR="00ED6A96">
        <w:t>Generally</w:t>
      </w:r>
      <w:bookmarkEnd w:id="22"/>
    </w:p>
    <w:p w14:paraId="443EC3DE" w14:textId="65CF0E94" w:rsidR="00F71F85" w:rsidRDefault="003D1682" w:rsidP="00DA5E0A">
      <w:pPr>
        <w:spacing w:after="120"/>
      </w:pPr>
      <w:r>
        <w:t>S</w:t>
      </w:r>
      <w:r w:rsidR="00F65298">
        <w:t xml:space="preserve">tates </w:t>
      </w:r>
      <w:r w:rsidR="00FD4E93">
        <w:t xml:space="preserve">generally </w:t>
      </w:r>
      <w:r w:rsidR="00642C08">
        <w:t>apply the same</w:t>
      </w:r>
      <w:r w:rsidR="00FD4E93">
        <w:t xml:space="preserve"> appro</w:t>
      </w:r>
      <w:r>
        <w:t>aches to sourcing the multistate income of a</w:t>
      </w:r>
      <w:r w:rsidR="00642C08">
        <w:t xml:space="preserve"> business</w:t>
      </w:r>
      <w:r>
        <w:t xml:space="preserve">, regardless of the form of the business (e.g., corporation, proprietorship, partnership, etc.). </w:t>
      </w:r>
    </w:p>
    <w:p w14:paraId="63A55FFE" w14:textId="76831AD7" w:rsidR="003D1682" w:rsidRPr="003D1682" w:rsidRDefault="003D1682" w:rsidP="00E10036">
      <w:pPr>
        <w:pStyle w:val="ListParagraph"/>
        <w:numPr>
          <w:ilvl w:val="0"/>
          <w:numId w:val="44"/>
        </w:numPr>
        <w:spacing w:after="120"/>
        <w:contextualSpacing w:val="0"/>
        <w:rPr>
          <w:u w:val="single"/>
        </w:rPr>
      </w:pPr>
      <w:r w:rsidRPr="003D1682">
        <w:rPr>
          <w:u w:val="single"/>
        </w:rPr>
        <w:t>Nonbusiness Items – Rules of Assignment</w:t>
      </w:r>
    </w:p>
    <w:p w14:paraId="3FCB34E8" w14:textId="44F4043E" w:rsidR="003D1682" w:rsidRDefault="00B94DB3" w:rsidP="003D1682">
      <w:pPr>
        <w:pStyle w:val="ListParagraph"/>
        <w:spacing w:after="120"/>
        <w:ind w:left="1080"/>
        <w:contextualSpacing w:val="0"/>
      </w:pPr>
      <w:r>
        <w:t>States apply rules to i</w:t>
      </w:r>
      <w:r w:rsidR="00642C08">
        <w:t xml:space="preserve">dentify items of </w:t>
      </w:r>
      <w:r w:rsidR="00DA5E0A">
        <w:t xml:space="preserve">income </w:t>
      </w:r>
      <w:r w:rsidR="00642C08">
        <w:t xml:space="preserve">and related expense that are </w:t>
      </w:r>
      <w:r>
        <w:t>considered “</w:t>
      </w:r>
      <w:r w:rsidR="00DA5E0A">
        <w:t>nonbusiness</w:t>
      </w:r>
      <w:r>
        <w:t>”</w:t>
      </w:r>
      <w:r w:rsidR="0038672C">
        <w:t xml:space="preserve"> </w:t>
      </w:r>
      <w:r w:rsidR="00642C08">
        <w:t>(</w:t>
      </w:r>
      <w:r>
        <w:t>or “</w:t>
      </w:r>
      <w:r w:rsidR="00642C08">
        <w:t>non-apportionable</w:t>
      </w:r>
      <w:r>
        <w:t>”</w:t>
      </w:r>
      <w:r w:rsidR="00642C08">
        <w:t>)</w:t>
      </w:r>
      <w:r w:rsidR="003D1682">
        <w:t xml:space="preserve"> and source </w:t>
      </w:r>
      <w:r>
        <w:t xml:space="preserve">those items </w:t>
      </w:r>
      <w:r w:rsidR="003D1682">
        <w:t>using rules of assignment based on their character.</w:t>
      </w:r>
    </w:p>
    <w:p w14:paraId="6CC9E447" w14:textId="0171BFFA" w:rsidR="003D1682" w:rsidRPr="003D1682" w:rsidRDefault="003D1682" w:rsidP="00E10036">
      <w:pPr>
        <w:pStyle w:val="ListParagraph"/>
        <w:numPr>
          <w:ilvl w:val="0"/>
          <w:numId w:val="41"/>
        </w:numPr>
        <w:spacing w:after="120"/>
        <w:contextualSpacing w:val="0"/>
        <w:rPr>
          <w:u w:val="single"/>
        </w:rPr>
      </w:pPr>
      <w:r w:rsidRPr="003D1682">
        <w:rPr>
          <w:u w:val="single"/>
        </w:rPr>
        <w:t xml:space="preserve">Net Business Income – </w:t>
      </w:r>
      <w:r w:rsidR="00F71F85" w:rsidRPr="003D1682">
        <w:rPr>
          <w:u w:val="single"/>
        </w:rPr>
        <w:t xml:space="preserve">Formulary </w:t>
      </w:r>
      <w:r w:rsidR="00F47AA7">
        <w:rPr>
          <w:u w:val="single"/>
        </w:rPr>
        <w:t>A</w:t>
      </w:r>
      <w:r w:rsidR="00F71F85" w:rsidRPr="003D1682">
        <w:rPr>
          <w:u w:val="single"/>
        </w:rPr>
        <w:t xml:space="preserve">pportionment </w:t>
      </w:r>
    </w:p>
    <w:p w14:paraId="3066DCFB" w14:textId="6E3253E3" w:rsidR="00F71F85" w:rsidRDefault="00B94DB3" w:rsidP="003D1682">
      <w:pPr>
        <w:pStyle w:val="ListParagraph"/>
        <w:spacing w:after="120"/>
        <w:ind w:left="1080"/>
        <w:contextualSpacing w:val="0"/>
      </w:pPr>
      <w:r>
        <w:t>States source the</w:t>
      </w:r>
      <w:r w:rsidR="003D1682">
        <w:t xml:space="preserve"> </w:t>
      </w:r>
      <w:r w:rsidR="00BF3D83">
        <w:t>net</w:t>
      </w:r>
      <w:r w:rsidR="007525CB">
        <w:t xml:space="preserve"> </w:t>
      </w:r>
      <w:r>
        <w:t>“</w:t>
      </w:r>
      <w:r w:rsidR="007525CB">
        <w:t>business</w:t>
      </w:r>
      <w:r>
        <w:t>”</w:t>
      </w:r>
      <w:r w:rsidR="007525CB">
        <w:t xml:space="preserve"> (</w:t>
      </w:r>
      <w:r>
        <w:t>or “</w:t>
      </w:r>
      <w:r w:rsidR="00730D9C">
        <w:t>apportionable</w:t>
      </w:r>
      <w:r>
        <w:t>”</w:t>
      </w:r>
      <w:r w:rsidR="007525CB">
        <w:t>)</w:t>
      </w:r>
      <w:r w:rsidR="00730D9C">
        <w:t xml:space="preserve"> </w:t>
      </w:r>
      <w:r w:rsidR="00F71F85">
        <w:t>income</w:t>
      </w:r>
      <w:r w:rsidR="00BF3D83">
        <w:t xml:space="preserve"> of a business</w:t>
      </w:r>
      <w:r w:rsidR="00F71F85">
        <w:t xml:space="preserve"> </w:t>
      </w:r>
      <w:r w:rsidR="00A13E8A">
        <w:t xml:space="preserve">by applying a </w:t>
      </w:r>
      <w:r w:rsidR="00597F66">
        <w:t>ratio</w:t>
      </w:r>
      <w:r w:rsidR="00B661EF">
        <w:t xml:space="preserve"> </w:t>
      </w:r>
      <w:r w:rsidR="00C36CA0">
        <w:t>based on the</w:t>
      </w:r>
      <w:r w:rsidR="00597F66">
        <w:t xml:space="preserve"> business’s</w:t>
      </w:r>
      <w:r>
        <w:t xml:space="preserve"> total</w:t>
      </w:r>
      <w:r w:rsidR="00597F66">
        <w:t xml:space="preserve"> “</w:t>
      </w:r>
      <w:r w:rsidR="00B661EF">
        <w:t>factors</w:t>
      </w:r>
      <w:r w:rsidR="00597F66">
        <w:t>”</w:t>
      </w:r>
      <w:r w:rsidR="00F71F85">
        <w:t xml:space="preserve"> </w:t>
      </w:r>
      <w:r>
        <w:t>assigned to</w:t>
      </w:r>
      <w:r w:rsidR="00C36CA0">
        <w:t xml:space="preserve"> the state</w:t>
      </w:r>
      <w:r>
        <w:t>,</w:t>
      </w:r>
      <w:r w:rsidR="00C36CA0">
        <w:t xml:space="preserve"> </w:t>
      </w:r>
      <w:r w:rsidR="00F71F85">
        <w:t xml:space="preserve">including </w:t>
      </w:r>
      <w:r w:rsidR="00B661EF">
        <w:t>sales</w:t>
      </w:r>
      <w:r w:rsidR="00BE3C59">
        <w:t xml:space="preserve"> or receipts</w:t>
      </w:r>
      <w:r w:rsidR="00B661EF">
        <w:t xml:space="preserve">, property, and/or payroll. </w:t>
      </w:r>
    </w:p>
    <w:p w14:paraId="1A91970E" w14:textId="72AC888A" w:rsidR="007525CB" w:rsidRDefault="007525CB" w:rsidP="007525CB">
      <w:pPr>
        <w:pStyle w:val="Heading3"/>
      </w:pPr>
      <w:bookmarkStart w:id="23" w:name="_Toc195435225"/>
      <w:r>
        <w:t xml:space="preserve">Treatment of Related </w:t>
      </w:r>
      <w:r w:rsidR="000B645B">
        <w:t>Entities</w:t>
      </w:r>
      <w:r>
        <w:t xml:space="preserve"> - Generally</w:t>
      </w:r>
      <w:bookmarkEnd w:id="23"/>
    </w:p>
    <w:p w14:paraId="07E11DDE" w14:textId="77777777" w:rsidR="00B94DB3" w:rsidRDefault="007525CB" w:rsidP="00F65298">
      <w:r>
        <w:t xml:space="preserve">The </w:t>
      </w:r>
      <w:r w:rsidR="00B94DB3">
        <w:t xml:space="preserve">constitutional </w:t>
      </w:r>
      <w:r>
        <w:t>basis for formulary apportionment is the unitary business principle.</w:t>
      </w:r>
      <w:r>
        <w:rPr>
          <w:rStyle w:val="FootnoteReference"/>
        </w:rPr>
        <w:footnoteReference w:id="5"/>
      </w:r>
      <w:r>
        <w:t xml:space="preserve"> </w:t>
      </w:r>
      <w:r w:rsidR="00B94DB3">
        <w:t>Net i</w:t>
      </w:r>
      <w:r w:rsidR="000B645B">
        <w:t xml:space="preserve">ncome from a unitary business or source may be apportioned </w:t>
      </w:r>
      <w:r w:rsidR="00B94DB3">
        <w:t xml:space="preserve">by a state </w:t>
      </w:r>
      <w:r w:rsidR="000B645B">
        <w:t>using a common apportionment formula</w:t>
      </w:r>
      <w:r w:rsidR="00B94DB3">
        <w:t xml:space="preserve"> for that net amount—without the need to source items of income and expense individually</w:t>
      </w:r>
      <w:r w:rsidR="000B645B">
        <w:t xml:space="preserve">. </w:t>
      </w:r>
    </w:p>
    <w:p w14:paraId="2E7A5E1B" w14:textId="0240BCC0" w:rsidR="00ED6A96" w:rsidRDefault="000B645B" w:rsidP="00F65298">
      <w:r>
        <w:t xml:space="preserve">A single unitary business may be conducted by multiple related entities. And it may also be the case that a single entity conducts multiple unitary businesses. </w:t>
      </w:r>
      <w:r w:rsidR="00ED6A96">
        <w:t xml:space="preserve">Today, when </w:t>
      </w:r>
      <w:r w:rsidR="00CD76F1">
        <w:t xml:space="preserve">most </w:t>
      </w:r>
      <w:r w:rsidR="00315612">
        <w:t>states determine</w:t>
      </w:r>
      <w:r w:rsidR="00ED6A96">
        <w:t xml:space="preserve"> the</w:t>
      </w:r>
      <w:r w:rsidR="00D43660">
        <w:t>ir</w:t>
      </w:r>
      <w:r w:rsidR="00ED6A96">
        <w:t xml:space="preserve"> share of </w:t>
      </w:r>
      <w:r w:rsidR="00B94DB3">
        <w:t xml:space="preserve">multistate </w:t>
      </w:r>
      <w:r w:rsidR="00ED6A96">
        <w:t xml:space="preserve">income from </w:t>
      </w:r>
      <w:r w:rsidR="00B94DB3">
        <w:t xml:space="preserve">a unitary business conducted by </w:t>
      </w:r>
      <w:r w:rsidR="00ED6A96">
        <w:t>related corporations</w:t>
      </w:r>
      <w:r w:rsidR="00D43660">
        <w:t xml:space="preserve">, </w:t>
      </w:r>
      <w:r w:rsidR="00CD76F1">
        <w:t>they</w:t>
      </w:r>
      <w:r w:rsidR="00D43660">
        <w:t xml:space="preserve"> apply formulary apportionment to the combined</w:t>
      </w:r>
      <w:r w:rsidR="00B94DB3">
        <w:t xml:space="preserve"> net</w:t>
      </w:r>
      <w:r w:rsidR="00D43660">
        <w:t xml:space="preserve"> </w:t>
      </w:r>
      <w:r w:rsidR="00B94DB3">
        <w:t xml:space="preserve">business </w:t>
      </w:r>
      <w:r w:rsidR="00D43660">
        <w:t xml:space="preserve">income </w:t>
      </w:r>
      <w:r w:rsidR="00B22D31">
        <w:t xml:space="preserve">from that unitary business or source, and not on a separate entity-by-entity basis. </w:t>
      </w:r>
      <w:r w:rsidR="00D43660">
        <w:t xml:space="preserve">This </w:t>
      </w:r>
      <w:r w:rsidR="00315612">
        <w:t xml:space="preserve">helps </w:t>
      </w:r>
      <w:r w:rsidR="00D43660">
        <w:t>avoid</w:t>
      </w:r>
      <w:r w:rsidR="00597F66">
        <w:t xml:space="preserve"> the effects that </w:t>
      </w:r>
      <w:r w:rsidR="00895816">
        <w:t xml:space="preserve">related-entity structures </w:t>
      </w:r>
      <w:r w:rsidR="00A13E8A">
        <w:t xml:space="preserve">or </w:t>
      </w:r>
      <w:r w:rsidR="00597F66">
        <w:t xml:space="preserve">transactions might have on </w:t>
      </w:r>
      <w:r w:rsidR="00315612">
        <w:t>the ultimate source of the business’s income.</w:t>
      </w:r>
      <w:r w:rsidR="00B22D31">
        <w:rPr>
          <w:rStyle w:val="FootnoteReference"/>
        </w:rPr>
        <w:footnoteReference w:id="6"/>
      </w:r>
    </w:p>
    <w:p w14:paraId="19679495" w14:textId="0F90CD8D" w:rsidR="00F65298" w:rsidRPr="00F65298" w:rsidRDefault="00315612" w:rsidP="00D43660">
      <w:pPr>
        <w:pStyle w:val="Heading3"/>
      </w:pPr>
      <w:bookmarkStart w:id="24" w:name="_Toc195435226"/>
      <w:r>
        <w:lastRenderedPageBreak/>
        <w:t>Examples</w:t>
      </w:r>
      <w:r w:rsidR="00E14CF5">
        <w:t xml:space="preserve"> </w:t>
      </w:r>
      <w:r w:rsidR="00895816">
        <w:t>of Issues</w:t>
      </w:r>
      <w:r w:rsidR="00907459">
        <w:t xml:space="preserve"> Created by the Pass-Through System</w:t>
      </w:r>
      <w:bookmarkEnd w:id="24"/>
      <w:r w:rsidR="00E14CF5">
        <w:t xml:space="preserve"> </w:t>
      </w:r>
    </w:p>
    <w:p w14:paraId="0A77D495" w14:textId="567901E3" w:rsidR="00895816" w:rsidRDefault="00922451" w:rsidP="00F65298">
      <w:r>
        <w:t>Applying state</w:t>
      </w:r>
      <w:r w:rsidR="00DB54CD">
        <w:t xml:space="preserve"> sourcing rules to partnership income taxed on a pass-through basis can </w:t>
      </w:r>
      <w:r w:rsidR="00E14CF5">
        <w:t xml:space="preserve">raise </w:t>
      </w:r>
      <w:r w:rsidR="002E58A4">
        <w:t xml:space="preserve">some </w:t>
      </w:r>
      <w:r w:rsidR="00080585">
        <w:t>unique issues and</w:t>
      </w:r>
      <w:r w:rsidR="00E14CF5">
        <w:t xml:space="preserve"> </w:t>
      </w:r>
      <w:r w:rsidR="00DB54CD">
        <w:t>create</w:t>
      </w:r>
      <w:r>
        <w:t xml:space="preserve"> unexpected</w:t>
      </w:r>
      <w:r w:rsidR="00F571EB">
        <w:t xml:space="preserve"> </w:t>
      </w:r>
      <w:r w:rsidR="00F92C9C">
        <w:t xml:space="preserve">or unclear </w:t>
      </w:r>
      <w:r w:rsidR="00F571EB">
        <w:t>results</w:t>
      </w:r>
      <w:r w:rsidR="00DB54CD">
        <w:t xml:space="preserve">. </w:t>
      </w:r>
      <w:r w:rsidR="00130208">
        <w:t xml:space="preserve">Below are </w:t>
      </w:r>
      <w:r w:rsidR="00315612">
        <w:t xml:space="preserve">three very </w:t>
      </w:r>
      <w:r>
        <w:t xml:space="preserve">simple </w:t>
      </w:r>
      <w:r w:rsidR="003F514A">
        <w:t xml:space="preserve">examples </w:t>
      </w:r>
      <w:r w:rsidR="00DB54CD">
        <w:t>meant</w:t>
      </w:r>
      <w:r w:rsidR="003F514A">
        <w:t xml:space="preserve"> </w:t>
      </w:r>
      <w:r w:rsidR="00DB54CD">
        <w:t xml:space="preserve">to illustrate </w:t>
      </w:r>
      <w:r w:rsidR="00080585">
        <w:t xml:space="preserve">just </w:t>
      </w:r>
      <w:r w:rsidR="00E14CF5">
        <w:t xml:space="preserve">a few of the many </w:t>
      </w:r>
      <w:r w:rsidR="00315612">
        <w:t>ways in which</w:t>
      </w:r>
      <w:r w:rsidR="00DB54CD">
        <w:t xml:space="preserve"> </w:t>
      </w:r>
      <w:r w:rsidR="00895816">
        <w:t xml:space="preserve">these issues </w:t>
      </w:r>
      <w:r w:rsidR="00907459">
        <w:t xml:space="preserve">may </w:t>
      </w:r>
      <w:r w:rsidR="00895816">
        <w:t xml:space="preserve">come up. </w:t>
      </w:r>
      <w:r w:rsidR="006C4D2E">
        <w:t>(</w:t>
      </w:r>
      <w:r w:rsidR="00895816">
        <w:t>But their use should</w:t>
      </w:r>
      <w:r w:rsidR="00DB54CD">
        <w:t xml:space="preserve"> not be taken to imply that </w:t>
      </w:r>
      <w:r w:rsidR="00F92C9C">
        <w:t>any</w:t>
      </w:r>
      <w:r w:rsidR="00DB54CD">
        <w:t xml:space="preserve"> </w:t>
      </w:r>
      <w:r w:rsidR="002E58A4">
        <w:t xml:space="preserve">of the </w:t>
      </w:r>
      <w:r w:rsidR="00DB54CD">
        <w:t>results are “wrong”)</w:t>
      </w:r>
      <w:r w:rsidR="0005547E">
        <w:t>.</w:t>
      </w:r>
      <w:r w:rsidR="00315612">
        <w:t xml:space="preserve"> </w:t>
      </w:r>
    </w:p>
    <w:p w14:paraId="429BA319" w14:textId="689943A5" w:rsidR="003F514A" w:rsidRDefault="00315612" w:rsidP="00F65298">
      <w:r>
        <w:t xml:space="preserve">While the fact scenarios </w:t>
      </w:r>
      <w:r w:rsidR="002E58A4">
        <w:t xml:space="preserve">here </w:t>
      </w:r>
      <w:r>
        <w:t xml:space="preserve">are simple—the </w:t>
      </w:r>
      <w:r w:rsidR="00895816">
        <w:t xml:space="preserve">types of </w:t>
      </w:r>
      <w:r w:rsidR="00130208">
        <w:t xml:space="preserve">issues highlighted </w:t>
      </w:r>
      <w:r w:rsidR="00907459">
        <w:t xml:space="preserve">here </w:t>
      </w:r>
      <w:r w:rsidR="00895816">
        <w:t xml:space="preserve">have effects </w:t>
      </w:r>
      <w:r w:rsidR="00907459">
        <w:t>that range</w:t>
      </w:r>
      <w:r>
        <w:t xml:space="preserve"> </w:t>
      </w:r>
      <w:r w:rsidR="00895816">
        <w:t xml:space="preserve">far </w:t>
      </w:r>
      <w:r>
        <w:t xml:space="preserve">beyond these </w:t>
      </w:r>
      <w:r w:rsidR="00130208">
        <w:t xml:space="preserve">simple </w:t>
      </w:r>
      <w:r>
        <w:t>scenarios</w:t>
      </w:r>
      <w:r w:rsidR="00130208">
        <w:t>,</w:t>
      </w:r>
      <w:r>
        <w:t xml:space="preserve"> and there are </w:t>
      </w:r>
      <w:r w:rsidR="00130208">
        <w:t xml:space="preserve">many </w:t>
      </w:r>
      <w:r>
        <w:t>other similar issues that are not illustrated here.</w:t>
      </w:r>
    </w:p>
    <w:p w14:paraId="2280ACCB" w14:textId="77777777" w:rsidR="00B22D31" w:rsidRDefault="00B22D31" w:rsidP="00F65298"/>
    <w:p w14:paraId="6C68723A" w14:textId="7AB7C28A" w:rsidR="003F514A" w:rsidRDefault="003F514A" w:rsidP="00B22D31">
      <w:pPr>
        <w:pStyle w:val="Heading4"/>
        <w:ind w:left="720"/>
      </w:pPr>
      <w:r>
        <w:t>Example 1:</w:t>
      </w:r>
    </w:p>
    <w:p w14:paraId="6927902C" w14:textId="76AF348C" w:rsidR="00685924" w:rsidRPr="00685924" w:rsidRDefault="00685924" w:rsidP="00B22D31">
      <w:pPr>
        <w:ind w:left="720"/>
      </w:pPr>
      <w:r w:rsidRPr="00A92AAF">
        <w:rPr>
          <w:noProof/>
        </w:rPr>
        <mc:AlternateContent>
          <mc:Choice Requires="wpg">
            <w:drawing>
              <wp:anchor distT="0" distB="0" distL="114300" distR="114300" simplePos="0" relativeHeight="251651584" behindDoc="0" locked="0" layoutInCell="1" allowOverlap="1" wp14:anchorId="30A56507" wp14:editId="0876222A">
                <wp:simplePos x="0" y="0"/>
                <wp:positionH relativeFrom="margin">
                  <wp:posOffset>3119120</wp:posOffset>
                </wp:positionH>
                <wp:positionV relativeFrom="paragraph">
                  <wp:posOffset>17780</wp:posOffset>
                </wp:positionV>
                <wp:extent cx="2697480" cy="1879600"/>
                <wp:effectExtent l="0" t="0" r="7620" b="6350"/>
                <wp:wrapSquare wrapText="bothSides"/>
                <wp:docPr id="27" name="Group 26">
                  <a:extLst xmlns:a="http://schemas.openxmlformats.org/drawingml/2006/main">
                    <a:ext uri="{FF2B5EF4-FFF2-40B4-BE49-F238E27FC236}">
                      <a16:creationId xmlns:a16="http://schemas.microsoft.com/office/drawing/2014/main" id="{D6B1602A-541E-1252-F5EE-0CB5A01B1940}"/>
                    </a:ext>
                  </a:extLst>
                </wp:docPr>
                <wp:cNvGraphicFramePr/>
                <a:graphic xmlns:a="http://schemas.openxmlformats.org/drawingml/2006/main">
                  <a:graphicData uri="http://schemas.microsoft.com/office/word/2010/wordprocessingGroup">
                    <wpg:wgp>
                      <wpg:cNvGrpSpPr/>
                      <wpg:grpSpPr>
                        <a:xfrm>
                          <a:off x="0" y="0"/>
                          <a:ext cx="2697480" cy="1879600"/>
                          <a:chOff x="0" y="0"/>
                          <a:chExt cx="4224009" cy="2160556"/>
                        </a:xfrm>
                      </wpg:grpSpPr>
                      <wps:wsp>
                        <wps:cNvPr id="1455013217" name="Freeform: Shape 1455013217">
                          <a:extLst>
                            <a:ext uri="{FF2B5EF4-FFF2-40B4-BE49-F238E27FC236}">
                              <a16:creationId xmlns:a16="http://schemas.microsoft.com/office/drawing/2014/main" id="{7F201739-AAA1-B1B2-72E3-06AB0E5F62CA}"/>
                            </a:ext>
                          </a:extLst>
                        </wps:cNvPr>
                        <wps:cNvSpPr/>
                        <wps:spPr>
                          <a:xfrm>
                            <a:off x="1566332" y="0"/>
                            <a:ext cx="2657677" cy="2160556"/>
                          </a:xfrm>
                          <a:custGeom>
                            <a:avLst/>
                            <a:gdLst>
                              <a:gd name="connsiteX0" fmla="*/ 364067 w 2657677"/>
                              <a:gd name="connsiteY0" fmla="*/ 254000 h 2160556"/>
                              <a:gd name="connsiteX1" fmla="*/ 364067 w 2657677"/>
                              <a:gd name="connsiteY1" fmla="*/ 254000 h 2160556"/>
                              <a:gd name="connsiteX2" fmla="*/ 448733 w 2657677"/>
                              <a:gd name="connsiteY2" fmla="*/ 245533 h 2160556"/>
                              <a:gd name="connsiteX3" fmla="*/ 533400 w 2657677"/>
                              <a:gd name="connsiteY3" fmla="*/ 186266 h 2160556"/>
                              <a:gd name="connsiteX4" fmla="*/ 592667 w 2657677"/>
                              <a:gd name="connsiteY4" fmla="*/ 169333 h 2160556"/>
                              <a:gd name="connsiteX5" fmla="*/ 626533 w 2657677"/>
                              <a:gd name="connsiteY5" fmla="*/ 143933 h 2160556"/>
                              <a:gd name="connsiteX6" fmla="*/ 643467 w 2657677"/>
                              <a:gd name="connsiteY6" fmla="*/ 127000 h 2160556"/>
                              <a:gd name="connsiteX7" fmla="*/ 677333 w 2657677"/>
                              <a:gd name="connsiteY7" fmla="*/ 110066 h 2160556"/>
                              <a:gd name="connsiteX8" fmla="*/ 812800 w 2657677"/>
                              <a:gd name="connsiteY8" fmla="*/ 67733 h 2160556"/>
                              <a:gd name="connsiteX9" fmla="*/ 855133 w 2657677"/>
                              <a:gd name="connsiteY9" fmla="*/ 50800 h 2160556"/>
                              <a:gd name="connsiteX10" fmla="*/ 1109133 w 2657677"/>
                              <a:gd name="connsiteY10" fmla="*/ 25400 h 2160556"/>
                              <a:gd name="connsiteX11" fmla="*/ 1278467 w 2657677"/>
                              <a:gd name="connsiteY11" fmla="*/ 8466 h 2160556"/>
                              <a:gd name="connsiteX12" fmla="*/ 1354667 w 2657677"/>
                              <a:gd name="connsiteY12" fmla="*/ 0 h 2160556"/>
                              <a:gd name="connsiteX13" fmla="*/ 1921933 w 2657677"/>
                              <a:gd name="connsiteY13" fmla="*/ 16933 h 2160556"/>
                              <a:gd name="connsiteX14" fmla="*/ 2015067 w 2657677"/>
                              <a:gd name="connsiteY14" fmla="*/ 33866 h 2160556"/>
                              <a:gd name="connsiteX15" fmla="*/ 2032000 w 2657677"/>
                              <a:gd name="connsiteY15" fmla="*/ 76200 h 2160556"/>
                              <a:gd name="connsiteX16" fmla="*/ 2048933 w 2657677"/>
                              <a:gd name="connsiteY16" fmla="*/ 110066 h 2160556"/>
                              <a:gd name="connsiteX17" fmla="*/ 2116667 w 2657677"/>
                              <a:gd name="connsiteY17" fmla="*/ 254000 h 2160556"/>
                              <a:gd name="connsiteX18" fmla="*/ 2142067 w 2657677"/>
                              <a:gd name="connsiteY18" fmla="*/ 321733 h 2160556"/>
                              <a:gd name="connsiteX19" fmla="*/ 2150533 w 2657677"/>
                              <a:gd name="connsiteY19" fmla="*/ 364066 h 2160556"/>
                              <a:gd name="connsiteX20" fmla="*/ 2184400 w 2657677"/>
                              <a:gd name="connsiteY20" fmla="*/ 474133 h 2160556"/>
                              <a:gd name="connsiteX21" fmla="*/ 2192867 w 2657677"/>
                              <a:gd name="connsiteY21" fmla="*/ 516466 h 2160556"/>
                              <a:gd name="connsiteX22" fmla="*/ 2201333 w 2657677"/>
                              <a:gd name="connsiteY22" fmla="*/ 618066 h 2160556"/>
                              <a:gd name="connsiteX23" fmla="*/ 2218267 w 2657677"/>
                              <a:gd name="connsiteY23" fmla="*/ 694266 h 2160556"/>
                              <a:gd name="connsiteX24" fmla="*/ 2226733 w 2657677"/>
                              <a:gd name="connsiteY24" fmla="*/ 728133 h 2160556"/>
                              <a:gd name="connsiteX25" fmla="*/ 2235200 w 2657677"/>
                              <a:gd name="connsiteY25" fmla="*/ 795866 h 2160556"/>
                              <a:gd name="connsiteX26" fmla="*/ 2243667 w 2657677"/>
                              <a:gd name="connsiteY26" fmla="*/ 872066 h 2160556"/>
                              <a:gd name="connsiteX27" fmla="*/ 2252133 w 2657677"/>
                              <a:gd name="connsiteY27" fmla="*/ 914400 h 2160556"/>
                              <a:gd name="connsiteX28" fmla="*/ 2269067 w 2657677"/>
                              <a:gd name="connsiteY28" fmla="*/ 1058333 h 2160556"/>
                              <a:gd name="connsiteX29" fmla="*/ 2294467 w 2657677"/>
                              <a:gd name="connsiteY29" fmla="*/ 1126066 h 2160556"/>
                              <a:gd name="connsiteX30" fmla="*/ 2311400 w 2657677"/>
                              <a:gd name="connsiteY30" fmla="*/ 1193800 h 2160556"/>
                              <a:gd name="connsiteX31" fmla="*/ 2319867 w 2657677"/>
                              <a:gd name="connsiteY31" fmla="*/ 1244600 h 2160556"/>
                              <a:gd name="connsiteX32" fmla="*/ 2379133 w 2657677"/>
                              <a:gd name="connsiteY32" fmla="*/ 1303866 h 2160556"/>
                              <a:gd name="connsiteX33" fmla="*/ 2523067 w 2657677"/>
                              <a:gd name="connsiteY33" fmla="*/ 1380066 h 2160556"/>
                              <a:gd name="connsiteX34" fmla="*/ 2582333 w 2657677"/>
                              <a:gd name="connsiteY34" fmla="*/ 1447800 h 2160556"/>
                              <a:gd name="connsiteX35" fmla="*/ 2641600 w 2657677"/>
                              <a:gd name="connsiteY35" fmla="*/ 1532466 h 2160556"/>
                              <a:gd name="connsiteX36" fmla="*/ 2641600 w 2657677"/>
                              <a:gd name="connsiteY36" fmla="*/ 1718733 h 2160556"/>
                              <a:gd name="connsiteX37" fmla="*/ 2497667 w 2657677"/>
                              <a:gd name="connsiteY37" fmla="*/ 1752600 h 2160556"/>
                              <a:gd name="connsiteX38" fmla="*/ 2294467 w 2657677"/>
                              <a:gd name="connsiteY38" fmla="*/ 1761066 h 2160556"/>
                              <a:gd name="connsiteX39" fmla="*/ 2218267 w 2657677"/>
                              <a:gd name="connsiteY39" fmla="*/ 1769533 h 2160556"/>
                              <a:gd name="connsiteX40" fmla="*/ 2175933 w 2657677"/>
                              <a:gd name="connsiteY40" fmla="*/ 1778000 h 2160556"/>
                              <a:gd name="connsiteX41" fmla="*/ 1532467 w 2657677"/>
                              <a:gd name="connsiteY41" fmla="*/ 1769533 h 2160556"/>
                              <a:gd name="connsiteX42" fmla="*/ 1159933 w 2657677"/>
                              <a:gd name="connsiteY42" fmla="*/ 1786466 h 2160556"/>
                              <a:gd name="connsiteX43" fmla="*/ 1049867 w 2657677"/>
                              <a:gd name="connsiteY43" fmla="*/ 1794933 h 2160556"/>
                              <a:gd name="connsiteX44" fmla="*/ 982133 w 2657677"/>
                              <a:gd name="connsiteY44" fmla="*/ 1811866 h 2160556"/>
                              <a:gd name="connsiteX45" fmla="*/ 880533 w 2657677"/>
                              <a:gd name="connsiteY45" fmla="*/ 1828800 h 2160556"/>
                              <a:gd name="connsiteX46" fmla="*/ 846667 w 2657677"/>
                              <a:gd name="connsiteY46" fmla="*/ 1837266 h 2160556"/>
                              <a:gd name="connsiteX47" fmla="*/ 694267 w 2657677"/>
                              <a:gd name="connsiteY47" fmla="*/ 1871133 h 2160556"/>
                              <a:gd name="connsiteX48" fmla="*/ 601133 w 2657677"/>
                              <a:gd name="connsiteY48" fmla="*/ 1905000 h 2160556"/>
                              <a:gd name="connsiteX49" fmla="*/ 397933 w 2657677"/>
                              <a:gd name="connsiteY49" fmla="*/ 2023533 h 2160556"/>
                              <a:gd name="connsiteX50" fmla="*/ 321733 w 2657677"/>
                              <a:gd name="connsiteY50" fmla="*/ 2099733 h 2160556"/>
                              <a:gd name="connsiteX51" fmla="*/ 304800 w 2657677"/>
                              <a:gd name="connsiteY51" fmla="*/ 2125133 h 2160556"/>
                              <a:gd name="connsiteX52" fmla="*/ 279400 w 2657677"/>
                              <a:gd name="connsiteY52" fmla="*/ 2142066 h 2160556"/>
                              <a:gd name="connsiteX53" fmla="*/ 203200 w 2657677"/>
                              <a:gd name="connsiteY53" fmla="*/ 2159000 h 2160556"/>
                              <a:gd name="connsiteX54" fmla="*/ 135467 w 2657677"/>
                              <a:gd name="connsiteY54" fmla="*/ 2150533 h 2160556"/>
                              <a:gd name="connsiteX55" fmla="*/ 33867 w 2657677"/>
                              <a:gd name="connsiteY55" fmla="*/ 1938866 h 2160556"/>
                              <a:gd name="connsiteX56" fmla="*/ 0 w 2657677"/>
                              <a:gd name="connsiteY56" fmla="*/ 1888066 h 2160556"/>
                              <a:gd name="connsiteX57" fmla="*/ 16933 w 2657677"/>
                              <a:gd name="connsiteY57" fmla="*/ 1744133 h 2160556"/>
                              <a:gd name="connsiteX58" fmla="*/ 59267 w 2657677"/>
                              <a:gd name="connsiteY58" fmla="*/ 1684866 h 2160556"/>
                              <a:gd name="connsiteX59" fmla="*/ 67733 w 2657677"/>
                              <a:gd name="connsiteY59" fmla="*/ 1651000 h 2160556"/>
                              <a:gd name="connsiteX60" fmla="*/ 84667 w 2657677"/>
                              <a:gd name="connsiteY60" fmla="*/ 1634066 h 2160556"/>
                              <a:gd name="connsiteX61" fmla="*/ 101600 w 2657677"/>
                              <a:gd name="connsiteY61" fmla="*/ 1600200 h 2160556"/>
                              <a:gd name="connsiteX62" fmla="*/ 127000 w 2657677"/>
                              <a:gd name="connsiteY62" fmla="*/ 1549400 h 2160556"/>
                              <a:gd name="connsiteX63" fmla="*/ 177800 w 2657677"/>
                              <a:gd name="connsiteY63" fmla="*/ 1490133 h 2160556"/>
                              <a:gd name="connsiteX64" fmla="*/ 211667 w 2657677"/>
                              <a:gd name="connsiteY64" fmla="*/ 1439333 h 2160556"/>
                              <a:gd name="connsiteX65" fmla="*/ 228600 w 2657677"/>
                              <a:gd name="connsiteY65" fmla="*/ 1397000 h 2160556"/>
                              <a:gd name="connsiteX66" fmla="*/ 245533 w 2657677"/>
                              <a:gd name="connsiteY66" fmla="*/ 1380066 h 2160556"/>
                              <a:gd name="connsiteX67" fmla="*/ 262467 w 2657677"/>
                              <a:gd name="connsiteY67" fmla="*/ 1346200 h 2160556"/>
                              <a:gd name="connsiteX68" fmla="*/ 270933 w 2657677"/>
                              <a:gd name="connsiteY68" fmla="*/ 1295400 h 2160556"/>
                              <a:gd name="connsiteX69" fmla="*/ 304800 w 2657677"/>
                              <a:gd name="connsiteY69" fmla="*/ 1244600 h 2160556"/>
                              <a:gd name="connsiteX70" fmla="*/ 313267 w 2657677"/>
                              <a:gd name="connsiteY70" fmla="*/ 1219200 h 2160556"/>
                              <a:gd name="connsiteX71" fmla="*/ 296333 w 2657677"/>
                              <a:gd name="connsiteY71" fmla="*/ 956733 h 2160556"/>
                              <a:gd name="connsiteX72" fmla="*/ 287867 w 2657677"/>
                              <a:gd name="connsiteY72" fmla="*/ 922866 h 2160556"/>
                              <a:gd name="connsiteX73" fmla="*/ 279400 w 2657677"/>
                              <a:gd name="connsiteY73" fmla="*/ 838200 h 2160556"/>
                              <a:gd name="connsiteX74" fmla="*/ 270933 w 2657677"/>
                              <a:gd name="connsiteY74" fmla="*/ 787400 h 2160556"/>
                              <a:gd name="connsiteX75" fmla="*/ 287867 w 2657677"/>
                              <a:gd name="connsiteY75" fmla="*/ 457200 h 2160556"/>
                              <a:gd name="connsiteX76" fmla="*/ 313267 w 2657677"/>
                              <a:gd name="connsiteY76" fmla="*/ 389466 h 2160556"/>
                              <a:gd name="connsiteX77" fmla="*/ 330200 w 2657677"/>
                              <a:gd name="connsiteY77" fmla="*/ 347133 h 2160556"/>
                              <a:gd name="connsiteX78" fmla="*/ 347133 w 2657677"/>
                              <a:gd name="connsiteY78" fmla="*/ 313266 h 2160556"/>
                              <a:gd name="connsiteX79" fmla="*/ 364067 w 2657677"/>
                              <a:gd name="connsiteY79" fmla="*/ 254000 h 21605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57677" h="2160556">
                                <a:moveTo>
                                  <a:pt x="364067" y="254000"/>
                                </a:moveTo>
                                <a:lnTo>
                                  <a:pt x="364067" y="254000"/>
                                </a:lnTo>
                                <a:cubicBezTo>
                                  <a:pt x="392289" y="251178"/>
                                  <a:pt x="421661" y="253993"/>
                                  <a:pt x="448733" y="245533"/>
                                </a:cubicBezTo>
                                <a:cubicBezTo>
                                  <a:pt x="505772" y="227708"/>
                                  <a:pt x="487067" y="207326"/>
                                  <a:pt x="533400" y="186266"/>
                                </a:cubicBezTo>
                                <a:cubicBezTo>
                                  <a:pt x="552105" y="177764"/>
                                  <a:pt x="572911" y="174977"/>
                                  <a:pt x="592667" y="169333"/>
                                </a:cubicBezTo>
                                <a:cubicBezTo>
                                  <a:pt x="603956" y="160866"/>
                                  <a:pt x="615693" y="152967"/>
                                  <a:pt x="626533" y="143933"/>
                                </a:cubicBezTo>
                                <a:cubicBezTo>
                                  <a:pt x="632665" y="138823"/>
                                  <a:pt x="636825" y="131428"/>
                                  <a:pt x="643467" y="127000"/>
                                </a:cubicBezTo>
                                <a:cubicBezTo>
                                  <a:pt x="653968" y="119999"/>
                                  <a:pt x="665732" y="115038"/>
                                  <a:pt x="677333" y="110066"/>
                                </a:cubicBezTo>
                                <a:cubicBezTo>
                                  <a:pt x="766960" y="71654"/>
                                  <a:pt x="738218" y="80164"/>
                                  <a:pt x="812800" y="67733"/>
                                </a:cubicBezTo>
                                <a:cubicBezTo>
                                  <a:pt x="826911" y="62089"/>
                                  <a:pt x="840339" y="54281"/>
                                  <a:pt x="855133" y="50800"/>
                                </a:cubicBezTo>
                                <a:cubicBezTo>
                                  <a:pt x="948970" y="28720"/>
                                  <a:pt x="1008325" y="31000"/>
                                  <a:pt x="1109133" y="25400"/>
                                </a:cubicBezTo>
                                <a:cubicBezTo>
                                  <a:pt x="1210454" y="8512"/>
                                  <a:pt x="1116393" y="22559"/>
                                  <a:pt x="1278467" y="8466"/>
                                </a:cubicBezTo>
                                <a:cubicBezTo>
                                  <a:pt x="1303927" y="6252"/>
                                  <a:pt x="1329267" y="2822"/>
                                  <a:pt x="1354667" y="0"/>
                                </a:cubicBezTo>
                                <a:cubicBezTo>
                                  <a:pt x="1543756" y="5644"/>
                                  <a:pt x="1733008" y="7245"/>
                                  <a:pt x="1921933" y="16933"/>
                                </a:cubicBezTo>
                                <a:cubicBezTo>
                                  <a:pt x="1953445" y="18549"/>
                                  <a:pt x="1987285" y="18906"/>
                                  <a:pt x="2015067" y="33866"/>
                                </a:cubicBezTo>
                                <a:cubicBezTo>
                                  <a:pt x="2028449" y="41072"/>
                                  <a:pt x="2025827" y="62312"/>
                                  <a:pt x="2032000" y="76200"/>
                                </a:cubicBezTo>
                                <a:cubicBezTo>
                                  <a:pt x="2037126" y="87733"/>
                                  <a:pt x="2043874" y="98503"/>
                                  <a:pt x="2048933" y="110066"/>
                                </a:cubicBezTo>
                                <a:cubicBezTo>
                                  <a:pt x="2106580" y="241830"/>
                                  <a:pt x="2068361" y="173489"/>
                                  <a:pt x="2116667" y="254000"/>
                                </a:cubicBezTo>
                                <a:cubicBezTo>
                                  <a:pt x="2148600" y="381739"/>
                                  <a:pt x="2097795" y="188917"/>
                                  <a:pt x="2142067" y="321733"/>
                                </a:cubicBezTo>
                                <a:cubicBezTo>
                                  <a:pt x="2146618" y="335385"/>
                                  <a:pt x="2147043" y="350105"/>
                                  <a:pt x="2150533" y="364066"/>
                                </a:cubicBezTo>
                                <a:cubicBezTo>
                                  <a:pt x="2193541" y="536096"/>
                                  <a:pt x="2142579" y="320789"/>
                                  <a:pt x="2184400" y="474133"/>
                                </a:cubicBezTo>
                                <a:cubicBezTo>
                                  <a:pt x="2188186" y="488016"/>
                                  <a:pt x="2190045" y="502355"/>
                                  <a:pt x="2192867" y="516466"/>
                                </a:cubicBezTo>
                                <a:cubicBezTo>
                                  <a:pt x="2195689" y="550333"/>
                                  <a:pt x="2196527" y="584424"/>
                                  <a:pt x="2201333" y="618066"/>
                                </a:cubicBezTo>
                                <a:cubicBezTo>
                                  <a:pt x="2205013" y="643824"/>
                                  <a:pt x="2212416" y="668913"/>
                                  <a:pt x="2218267" y="694266"/>
                                </a:cubicBezTo>
                                <a:cubicBezTo>
                                  <a:pt x="2220884" y="705604"/>
                                  <a:pt x="2224820" y="716655"/>
                                  <a:pt x="2226733" y="728133"/>
                                </a:cubicBezTo>
                                <a:cubicBezTo>
                                  <a:pt x="2230474" y="750577"/>
                                  <a:pt x="2232541" y="773268"/>
                                  <a:pt x="2235200" y="795866"/>
                                </a:cubicBezTo>
                                <a:cubicBezTo>
                                  <a:pt x="2238186" y="821247"/>
                                  <a:pt x="2240053" y="846767"/>
                                  <a:pt x="2243667" y="872066"/>
                                </a:cubicBezTo>
                                <a:cubicBezTo>
                                  <a:pt x="2245702" y="886312"/>
                                  <a:pt x="2250231" y="900135"/>
                                  <a:pt x="2252133" y="914400"/>
                                </a:cubicBezTo>
                                <a:cubicBezTo>
                                  <a:pt x="2254184" y="929782"/>
                                  <a:pt x="2262500" y="1033708"/>
                                  <a:pt x="2269067" y="1058333"/>
                                </a:cubicBezTo>
                                <a:cubicBezTo>
                                  <a:pt x="2275280" y="1081632"/>
                                  <a:pt x="2286227" y="1103405"/>
                                  <a:pt x="2294467" y="1126066"/>
                                </a:cubicBezTo>
                                <a:cubicBezTo>
                                  <a:pt x="2305147" y="1155437"/>
                                  <a:pt x="2304950" y="1158326"/>
                                  <a:pt x="2311400" y="1193800"/>
                                </a:cubicBezTo>
                                <a:cubicBezTo>
                                  <a:pt x="2314471" y="1210690"/>
                                  <a:pt x="2310870" y="1229980"/>
                                  <a:pt x="2319867" y="1244600"/>
                                </a:cubicBezTo>
                                <a:cubicBezTo>
                                  <a:pt x="2334509" y="1268394"/>
                                  <a:pt x="2354876" y="1290005"/>
                                  <a:pt x="2379133" y="1303866"/>
                                </a:cubicBezTo>
                                <a:cubicBezTo>
                                  <a:pt x="2505416" y="1376028"/>
                                  <a:pt x="2454495" y="1357210"/>
                                  <a:pt x="2523067" y="1380066"/>
                                </a:cubicBezTo>
                                <a:cubicBezTo>
                                  <a:pt x="2542822" y="1402644"/>
                                  <a:pt x="2563914" y="1424119"/>
                                  <a:pt x="2582333" y="1447800"/>
                                </a:cubicBezTo>
                                <a:cubicBezTo>
                                  <a:pt x="2603483" y="1474993"/>
                                  <a:pt x="2641600" y="1532466"/>
                                  <a:pt x="2641600" y="1532466"/>
                                </a:cubicBezTo>
                                <a:cubicBezTo>
                                  <a:pt x="2653518" y="1592054"/>
                                  <a:pt x="2670866" y="1660201"/>
                                  <a:pt x="2641600" y="1718733"/>
                                </a:cubicBezTo>
                                <a:cubicBezTo>
                                  <a:pt x="2631511" y="1738911"/>
                                  <a:pt x="2517440" y="1751364"/>
                                  <a:pt x="2497667" y="1752600"/>
                                </a:cubicBezTo>
                                <a:cubicBezTo>
                                  <a:pt x="2430007" y="1756829"/>
                                  <a:pt x="2362200" y="1758244"/>
                                  <a:pt x="2294467" y="1761066"/>
                                </a:cubicBezTo>
                                <a:cubicBezTo>
                                  <a:pt x="2269067" y="1763888"/>
                                  <a:pt x="2243566" y="1765919"/>
                                  <a:pt x="2218267" y="1769533"/>
                                </a:cubicBezTo>
                                <a:cubicBezTo>
                                  <a:pt x="2204021" y="1771568"/>
                                  <a:pt x="2190324" y="1778000"/>
                                  <a:pt x="2175933" y="1778000"/>
                                </a:cubicBezTo>
                                <a:cubicBezTo>
                                  <a:pt x="1961426" y="1778000"/>
                                  <a:pt x="1746956" y="1772355"/>
                                  <a:pt x="1532467" y="1769533"/>
                                </a:cubicBezTo>
                                <a:lnTo>
                                  <a:pt x="1159933" y="1786466"/>
                                </a:lnTo>
                                <a:cubicBezTo>
                                  <a:pt x="1123187" y="1788400"/>
                                  <a:pt x="1086294" y="1789729"/>
                                  <a:pt x="1049867" y="1794933"/>
                                </a:cubicBezTo>
                                <a:cubicBezTo>
                                  <a:pt x="1026828" y="1798224"/>
                                  <a:pt x="1004954" y="1807302"/>
                                  <a:pt x="982133" y="1811866"/>
                                </a:cubicBezTo>
                                <a:cubicBezTo>
                                  <a:pt x="948466" y="1818599"/>
                                  <a:pt x="913842" y="1820473"/>
                                  <a:pt x="880533" y="1828800"/>
                                </a:cubicBezTo>
                                <a:cubicBezTo>
                                  <a:pt x="869244" y="1831622"/>
                                  <a:pt x="858026" y="1834742"/>
                                  <a:pt x="846667" y="1837266"/>
                                </a:cubicBezTo>
                                <a:cubicBezTo>
                                  <a:pt x="783648" y="1851270"/>
                                  <a:pt x="775874" y="1847331"/>
                                  <a:pt x="694267" y="1871133"/>
                                </a:cubicBezTo>
                                <a:cubicBezTo>
                                  <a:pt x="662555" y="1880382"/>
                                  <a:pt x="631319" y="1891584"/>
                                  <a:pt x="601133" y="1905000"/>
                                </a:cubicBezTo>
                                <a:cubicBezTo>
                                  <a:pt x="543533" y="1930600"/>
                                  <a:pt x="448415" y="1973051"/>
                                  <a:pt x="397933" y="2023533"/>
                                </a:cubicBezTo>
                                <a:cubicBezTo>
                                  <a:pt x="372533" y="2048933"/>
                                  <a:pt x="341658" y="2069845"/>
                                  <a:pt x="321733" y="2099733"/>
                                </a:cubicBezTo>
                                <a:cubicBezTo>
                                  <a:pt x="316089" y="2108200"/>
                                  <a:pt x="311995" y="2117938"/>
                                  <a:pt x="304800" y="2125133"/>
                                </a:cubicBezTo>
                                <a:cubicBezTo>
                                  <a:pt x="297605" y="2132328"/>
                                  <a:pt x="288501" y="2137515"/>
                                  <a:pt x="279400" y="2142066"/>
                                </a:cubicBezTo>
                                <a:cubicBezTo>
                                  <a:pt x="258556" y="2152488"/>
                                  <a:pt x="222714" y="2155748"/>
                                  <a:pt x="203200" y="2159000"/>
                                </a:cubicBezTo>
                                <a:cubicBezTo>
                                  <a:pt x="180622" y="2156178"/>
                                  <a:pt x="149340" y="2168568"/>
                                  <a:pt x="135467" y="2150533"/>
                                </a:cubicBezTo>
                                <a:cubicBezTo>
                                  <a:pt x="87750" y="2088500"/>
                                  <a:pt x="77280" y="2003984"/>
                                  <a:pt x="33867" y="1938866"/>
                                </a:cubicBezTo>
                                <a:lnTo>
                                  <a:pt x="0" y="1888066"/>
                                </a:lnTo>
                                <a:cubicBezTo>
                                  <a:pt x="727" y="1879338"/>
                                  <a:pt x="5586" y="1774392"/>
                                  <a:pt x="16933" y="1744133"/>
                                </a:cubicBezTo>
                                <a:cubicBezTo>
                                  <a:pt x="20027" y="1735883"/>
                                  <a:pt x="57809" y="1686810"/>
                                  <a:pt x="59267" y="1684866"/>
                                </a:cubicBezTo>
                                <a:cubicBezTo>
                                  <a:pt x="62089" y="1673577"/>
                                  <a:pt x="62529" y="1661408"/>
                                  <a:pt x="67733" y="1651000"/>
                                </a:cubicBezTo>
                                <a:cubicBezTo>
                                  <a:pt x="71303" y="1643860"/>
                                  <a:pt x="80239" y="1640708"/>
                                  <a:pt x="84667" y="1634066"/>
                                </a:cubicBezTo>
                                <a:cubicBezTo>
                                  <a:pt x="91668" y="1623565"/>
                                  <a:pt x="96628" y="1611801"/>
                                  <a:pt x="101600" y="1600200"/>
                                </a:cubicBezTo>
                                <a:cubicBezTo>
                                  <a:pt x="114477" y="1570154"/>
                                  <a:pt x="103757" y="1576517"/>
                                  <a:pt x="127000" y="1549400"/>
                                </a:cubicBezTo>
                                <a:cubicBezTo>
                                  <a:pt x="188593" y="1477541"/>
                                  <a:pt x="138926" y="1548445"/>
                                  <a:pt x="177800" y="1490133"/>
                                </a:cubicBezTo>
                                <a:cubicBezTo>
                                  <a:pt x="200051" y="1401131"/>
                                  <a:pt x="166689" y="1502302"/>
                                  <a:pt x="211667" y="1439333"/>
                                </a:cubicBezTo>
                                <a:cubicBezTo>
                                  <a:pt x="220501" y="1426966"/>
                                  <a:pt x="221060" y="1410196"/>
                                  <a:pt x="228600" y="1397000"/>
                                </a:cubicBezTo>
                                <a:cubicBezTo>
                                  <a:pt x="232560" y="1390069"/>
                                  <a:pt x="241105" y="1386708"/>
                                  <a:pt x="245533" y="1380066"/>
                                </a:cubicBezTo>
                                <a:cubicBezTo>
                                  <a:pt x="252534" y="1369565"/>
                                  <a:pt x="256822" y="1357489"/>
                                  <a:pt x="262467" y="1346200"/>
                                </a:cubicBezTo>
                                <a:cubicBezTo>
                                  <a:pt x="265289" y="1329267"/>
                                  <a:pt x="264330" y="1311246"/>
                                  <a:pt x="270933" y="1295400"/>
                                </a:cubicBezTo>
                                <a:cubicBezTo>
                                  <a:pt x="278760" y="1276614"/>
                                  <a:pt x="298364" y="1263907"/>
                                  <a:pt x="304800" y="1244600"/>
                                </a:cubicBezTo>
                                <a:lnTo>
                                  <a:pt x="313267" y="1219200"/>
                                </a:lnTo>
                                <a:cubicBezTo>
                                  <a:pt x="309652" y="1139681"/>
                                  <a:pt x="309192" y="1040315"/>
                                  <a:pt x="296333" y="956733"/>
                                </a:cubicBezTo>
                                <a:cubicBezTo>
                                  <a:pt x="294564" y="945232"/>
                                  <a:pt x="290689" y="934155"/>
                                  <a:pt x="287867" y="922866"/>
                                </a:cubicBezTo>
                                <a:cubicBezTo>
                                  <a:pt x="285045" y="894644"/>
                                  <a:pt x="282918" y="866344"/>
                                  <a:pt x="279400" y="838200"/>
                                </a:cubicBezTo>
                                <a:cubicBezTo>
                                  <a:pt x="277271" y="821166"/>
                                  <a:pt x="270552" y="804563"/>
                                  <a:pt x="270933" y="787400"/>
                                </a:cubicBezTo>
                                <a:cubicBezTo>
                                  <a:pt x="273382" y="677216"/>
                                  <a:pt x="280196" y="567144"/>
                                  <a:pt x="287867" y="457200"/>
                                </a:cubicBezTo>
                                <a:cubicBezTo>
                                  <a:pt x="289959" y="427213"/>
                                  <a:pt x="301363" y="416251"/>
                                  <a:pt x="313267" y="389466"/>
                                </a:cubicBezTo>
                                <a:cubicBezTo>
                                  <a:pt x="319440" y="375578"/>
                                  <a:pt x="324028" y="361021"/>
                                  <a:pt x="330200" y="347133"/>
                                </a:cubicBezTo>
                                <a:cubicBezTo>
                                  <a:pt x="335326" y="335599"/>
                                  <a:pt x="343666" y="325402"/>
                                  <a:pt x="347133" y="313266"/>
                                </a:cubicBezTo>
                                <a:lnTo>
                                  <a:pt x="364067" y="254000"/>
                                </a:lnTo>
                                <a:close/>
                              </a:path>
                            </a:pathLst>
                          </a:cu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700124" name="Freeform: Shape 198700124">
                          <a:extLst>
                            <a:ext uri="{FF2B5EF4-FFF2-40B4-BE49-F238E27FC236}">
                              <a16:creationId xmlns:a16="http://schemas.microsoft.com/office/drawing/2014/main" id="{8858C84E-1043-FA32-58E3-87DF4BC709C6}"/>
                            </a:ext>
                          </a:extLst>
                        </wps:cNvPr>
                        <wps:cNvSpPr/>
                        <wps:spPr>
                          <a:xfrm>
                            <a:off x="0" y="8466"/>
                            <a:ext cx="1972733" cy="1669059"/>
                          </a:xfrm>
                          <a:custGeom>
                            <a:avLst/>
                            <a:gdLst>
                              <a:gd name="connsiteX0" fmla="*/ 135467 w 1972733"/>
                              <a:gd name="connsiteY0" fmla="*/ 143934 h 1669059"/>
                              <a:gd name="connsiteX1" fmla="*/ 135467 w 1972733"/>
                              <a:gd name="connsiteY1" fmla="*/ 143934 h 1669059"/>
                              <a:gd name="connsiteX2" fmla="*/ 194733 w 1972733"/>
                              <a:gd name="connsiteY2" fmla="*/ 448734 h 1669059"/>
                              <a:gd name="connsiteX3" fmla="*/ 203200 w 1972733"/>
                              <a:gd name="connsiteY3" fmla="*/ 533400 h 1669059"/>
                              <a:gd name="connsiteX4" fmla="*/ 211667 w 1972733"/>
                              <a:gd name="connsiteY4" fmla="*/ 601134 h 1669059"/>
                              <a:gd name="connsiteX5" fmla="*/ 169333 w 1972733"/>
                              <a:gd name="connsiteY5" fmla="*/ 804334 h 1669059"/>
                              <a:gd name="connsiteX6" fmla="*/ 143933 w 1972733"/>
                              <a:gd name="connsiteY6" fmla="*/ 838200 h 1669059"/>
                              <a:gd name="connsiteX7" fmla="*/ 84667 w 1972733"/>
                              <a:gd name="connsiteY7" fmla="*/ 939800 h 1669059"/>
                              <a:gd name="connsiteX8" fmla="*/ 50800 w 1972733"/>
                              <a:gd name="connsiteY8" fmla="*/ 965200 h 1669059"/>
                              <a:gd name="connsiteX9" fmla="*/ 25400 w 1972733"/>
                              <a:gd name="connsiteY9" fmla="*/ 1007534 h 1669059"/>
                              <a:gd name="connsiteX10" fmla="*/ 16933 w 1972733"/>
                              <a:gd name="connsiteY10" fmla="*/ 1058334 h 1669059"/>
                              <a:gd name="connsiteX11" fmla="*/ 0 w 1972733"/>
                              <a:gd name="connsiteY11" fmla="*/ 1151467 h 1669059"/>
                              <a:gd name="connsiteX12" fmla="*/ 8467 w 1972733"/>
                              <a:gd name="connsiteY12" fmla="*/ 1405467 h 1669059"/>
                              <a:gd name="connsiteX13" fmla="*/ 25400 w 1972733"/>
                              <a:gd name="connsiteY13" fmla="*/ 1439334 h 1669059"/>
                              <a:gd name="connsiteX14" fmla="*/ 33867 w 1972733"/>
                              <a:gd name="connsiteY14" fmla="*/ 1464734 h 1669059"/>
                              <a:gd name="connsiteX15" fmla="*/ 135467 w 1972733"/>
                              <a:gd name="connsiteY15" fmla="*/ 1515534 h 1669059"/>
                              <a:gd name="connsiteX16" fmla="*/ 397933 w 1972733"/>
                              <a:gd name="connsiteY16" fmla="*/ 1617134 h 1669059"/>
                              <a:gd name="connsiteX17" fmla="*/ 448733 w 1972733"/>
                              <a:gd name="connsiteY17" fmla="*/ 1634067 h 1669059"/>
                              <a:gd name="connsiteX18" fmla="*/ 508000 w 1972733"/>
                              <a:gd name="connsiteY18" fmla="*/ 1642534 h 1669059"/>
                              <a:gd name="connsiteX19" fmla="*/ 601133 w 1972733"/>
                              <a:gd name="connsiteY19" fmla="*/ 1659467 h 1669059"/>
                              <a:gd name="connsiteX20" fmla="*/ 1524000 w 1972733"/>
                              <a:gd name="connsiteY20" fmla="*/ 1667934 h 1669059"/>
                              <a:gd name="connsiteX21" fmla="*/ 1684867 w 1972733"/>
                              <a:gd name="connsiteY21" fmla="*/ 1659467 h 1669059"/>
                              <a:gd name="connsiteX22" fmla="*/ 1727200 w 1972733"/>
                              <a:gd name="connsiteY22" fmla="*/ 1600200 h 1669059"/>
                              <a:gd name="connsiteX23" fmla="*/ 1778000 w 1972733"/>
                              <a:gd name="connsiteY23" fmla="*/ 1549400 h 1669059"/>
                              <a:gd name="connsiteX24" fmla="*/ 1811867 w 1972733"/>
                              <a:gd name="connsiteY24" fmla="*/ 1507067 h 1669059"/>
                              <a:gd name="connsiteX25" fmla="*/ 1828800 w 1972733"/>
                              <a:gd name="connsiteY25" fmla="*/ 1456267 h 1669059"/>
                              <a:gd name="connsiteX26" fmla="*/ 1837267 w 1972733"/>
                              <a:gd name="connsiteY26" fmla="*/ 1405467 h 1669059"/>
                              <a:gd name="connsiteX27" fmla="*/ 1854200 w 1972733"/>
                              <a:gd name="connsiteY27" fmla="*/ 1278467 h 1669059"/>
                              <a:gd name="connsiteX28" fmla="*/ 1879600 w 1972733"/>
                              <a:gd name="connsiteY28" fmla="*/ 1041400 h 1669059"/>
                              <a:gd name="connsiteX29" fmla="*/ 1888067 w 1972733"/>
                              <a:gd name="connsiteY29" fmla="*/ 922867 h 1669059"/>
                              <a:gd name="connsiteX30" fmla="*/ 1896533 w 1972733"/>
                              <a:gd name="connsiteY30" fmla="*/ 609600 h 1669059"/>
                              <a:gd name="connsiteX31" fmla="*/ 1955800 w 1972733"/>
                              <a:gd name="connsiteY31" fmla="*/ 304800 h 1669059"/>
                              <a:gd name="connsiteX32" fmla="*/ 1972733 w 1972733"/>
                              <a:gd name="connsiteY32" fmla="*/ 237067 h 1669059"/>
                              <a:gd name="connsiteX33" fmla="*/ 1811867 w 1972733"/>
                              <a:gd name="connsiteY33" fmla="*/ 76200 h 1669059"/>
                              <a:gd name="connsiteX34" fmla="*/ 1371600 w 1972733"/>
                              <a:gd name="connsiteY34" fmla="*/ 0 h 1669059"/>
                              <a:gd name="connsiteX35" fmla="*/ 905933 w 1972733"/>
                              <a:gd name="connsiteY35" fmla="*/ 16934 h 1669059"/>
                              <a:gd name="connsiteX36" fmla="*/ 863600 w 1972733"/>
                              <a:gd name="connsiteY36" fmla="*/ 25400 h 1669059"/>
                              <a:gd name="connsiteX37" fmla="*/ 440267 w 1972733"/>
                              <a:gd name="connsiteY37" fmla="*/ 33867 h 1669059"/>
                              <a:gd name="connsiteX38" fmla="*/ 347133 w 1972733"/>
                              <a:gd name="connsiteY38" fmla="*/ 50800 h 1669059"/>
                              <a:gd name="connsiteX39" fmla="*/ 279400 w 1972733"/>
                              <a:gd name="connsiteY39" fmla="*/ 67734 h 1669059"/>
                              <a:gd name="connsiteX40" fmla="*/ 186267 w 1972733"/>
                              <a:gd name="connsiteY40" fmla="*/ 101600 h 1669059"/>
                              <a:gd name="connsiteX41" fmla="*/ 135467 w 1972733"/>
                              <a:gd name="connsiteY41" fmla="*/ 143934 h 166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972733" h="1669059">
                                <a:moveTo>
                                  <a:pt x="135467" y="143934"/>
                                </a:moveTo>
                                <a:lnTo>
                                  <a:pt x="135467" y="143934"/>
                                </a:lnTo>
                                <a:cubicBezTo>
                                  <a:pt x="181891" y="403910"/>
                                  <a:pt x="158332" y="303125"/>
                                  <a:pt x="194733" y="448734"/>
                                </a:cubicBezTo>
                                <a:cubicBezTo>
                                  <a:pt x="197555" y="476956"/>
                                  <a:pt x="200068" y="505211"/>
                                  <a:pt x="203200" y="533400"/>
                                </a:cubicBezTo>
                                <a:cubicBezTo>
                                  <a:pt x="205713" y="556015"/>
                                  <a:pt x="214489" y="578556"/>
                                  <a:pt x="211667" y="601134"/>
                                </a:cubicBezTo>
                                <a:cubicBezTo>
                                  <a:pt x="203085" y="669787"/>
                                  <a:pt x="188341" y="737808"/>
                                  <a:pt x="169333" y="804334"/>
                                </a:cubicBezTo>
                                <a:cubicBezTo>
                                  <a:pt x="165456" y="817902"/>
                                  <a:pt x="151412" y="826234"/>
                                  <a:pt x="143933" y="838200"/>
                                </a:cubicBezTo>
                                <a:cubicBezTo>
                                  <a:pt x="124759" y="868878"/>
                                  <a:pt x="113299" y="918326"/>
                                  <a:pt x="84667" y="939800"/>
                                </a:cubicBezTo>
                                <a:lnTo>
                                  <a:pt x="50800" y="965200"/>
                                </a:lnTo>
                                <a:cubicBezTo>
                                  <a:pt x="42333" y="979311"/>
                                  <a:pt x="31024" y="992068"/>
                                  <a:pt x="25400" y="1007534"/>
                                </a:cubicBezTo>
                                <a:cubicBezTo>
                                  <a:pt x="19533" y="1023667"/>
                                  <a:pt x="19543" y="1041367"/>
                                  <a:pt x="16933" y="1058334"/>
                                </a:cubicBezTo>
                                <a:cubicBezTo>
                                  <a:pt x="4798" y="1137214"/>
                                  <a:pt x="14487" y="1093520"/>
                                  <a:pt x="0" y="1151467"/>
                                </a:cubicBezTo>
                                <a:cubicBezTo>
                                  <a:pt x="2822" y="1236134"/>
                                  <a:pt x="1021" y="1321081"/>
                                  <a:pt x="8467" y="1405467"/>
                                </a:cubicBezTo>
                                <a:cubicBezTo>
                                  <a:pt x="9576" y="1418040"/>
                                  <a:pt x="20428" y="1427733"/>
                                  <a:pt x="25400" y="1439334"/>
                                </a:cubicBezTo>
                                <a:cubicBezTo>
                                  <a:pt x="28916" y="1447537"/>
                                  <a:pt x="26529" y="1459654"/>
                                  <a:pt x="33867" y="1464734"/>
                                </a:cubicBezTo>
                                <a:cubicBezTo>
                                  <a:pt x="64999" y="1486287"/>
                                  <a:pt x="100540" y="1500913"/>
                                  <a:pt x="135467" y="1515534"/>
                                </a:cubicBezTo>
                                <a:cubicBezTo>
                                  <a:pt x="222006" y="1551760"/>
                                  <a:pt x="310189" y="1583934"/>
                                  <a:pt x="397933" y="1617134"/>
                                </a:cubicBezTo>
                                <a:cubicBezTo>
                                  <a:pt x="414627" y="1623451"/>
                                  <a:pt x="431063" y="1631543"/>
                                  <a:pt x="448733" y="1634067"/>
                                </a:cubicBezTo>
                                <a:cubicBezTo>
                                  <a:pt x="468489" y="1636889"/>
                                  <a:pt x="488315" y="1639253"/>
                                  <a:pt x="508000" y="1642534"/>
                                </a:cubicBezTo>
                                <a:cubicBezTo>
                                  <a:pt x="539124" y="1647721"/>
                                  <a:pt x="569590" y="1658678"/>
                                  <a:pt x="601133" y="1659467"/>
                                </a:cubicBezTo>
                                <a:cubicBezTo>
                                  <a:pt x="908672" y="1667155"/>
                                  <a:pt x="1216378" y="1665112"/>
                                  <a:pt x="1524000" y="1667934"/>
                                </a:cubicBezTo>
                                <a:cubicBezTo>
                                  <a:pt x="1577622" y="1665112"/>
                                  <a:pt x="1633926" y="1676447"/>
                                  <a:pt x="1684867" y="1659467"/>
                                </a:cubicBezTo>
                                <a:cubicBezTo>
                                  <a:pt x="1707899" y="1651790"/>
                                  <a:pt x="1711518" y="1618733"/>
                                  <a:pt x="1727200" y="1600200"/>
                                </a:cubicBezTo>
                                <a:cubicBezTo>
                                  <a:pt x="1742669" y="1581919"/>
                                  <a:pt x="1762090" y="1567299"/>
                                  <a:pt x="1778000" y="1549400"/>
                                </a:cubicBezTo>
                                <a:cubicBezTo>
                                  <a:pt x="1863414" y="1453308"/>
                                  <a:pt x="1737489" y="1581441"/>
                                  <a:pt x="1811867" y="1507067"/>
                                </a:cubicBezTo>
                                <a:cubicBezTo>
                                  <a:pt x="1817511" y="1490134"/>
                                  <a:pt x="1824471" y="1473583"/>
                                  <a:pt x="1828800" y="1456267"/>
                                </a:cubicBezTo>
                                <a:cubicBezTo>
                                  <a:pt x="1832964" y="1439613"/>
                                  <a:pt x="1834196" y="1422357"/>
                                  <a:pt x="1837267" y="1405467"/>
                                </a:cubicBezTo>
                                <a:cubicBezTo>
                                  <a:pt x="1854733" y="1309400"/>
                                  <a:pt x="1837524" y="1428544"/>
                                  <a:pt x="1854200" y="1278467"/>
                                </a:cubicBezTo>
                                <a:cubicBezTo>
                                  <a:pt x="1866645" y="1166466"/>
                                  <a:pt x="1868028" y="1203407"/>
                                  <a:pt x="1879600" y="1041400"/>
                                </a:cubicBezTo>
                                <a:lnTo>
                                  <a:pt x="1888067" y="922867"/>
                                </a:lnTo>
                                <a:cubicBezTo>
                                  <a:pt x="1890889" y="818445"/>
                                  <a:pt x="1892092" y="713966"/>
                                  <a:pt x="1896533" y="609600"/>
                                </a:cubicBezTo>
                                <a:cubicBezTo>
                                  <a:pt x="1901622" y="490005"/>
                                  <a:pt x="1927488" y="446355"/>
                                  <a:pt x="1955800" y="304800"/>
                                </a:cubicBezTo>
                                <a:cubicBezTo>
                                  <a:pt x="1966017" y="253716"/>
                                  <a:pt x="1959717" y="276119"/>
                                  <a:pt x="1972733" y="237067"/>
                                </a:cubicBezTo>
                                <a:cubicBezTo>
                                  <a:pt x="1946156" y="205174"/>
                                  <a:pt x="1865428" y="93607"/>
                                  <a:pt x="1811867" y="76200"/>
                                </a:cubicBezTo>
                                <a:cubicBezTo>
                                  <a:pt x="1722464" y="47144"/>
                                  <a:pt x="1481859" y="15751"/>
                                  <a:pt x="1371600" y="0"/>
                                </a:cubicBezTo>
                                <a:cubicBezTo>
                                  <a:pt x="1292140" y="2270"/>
                                  <a:pt x="1017621" y="7999"/>
                                  <a:pt x="905933" y="16934"/>
                                </a:cubicBezTo>
                                <a:cubicBezTo>
                                  <a:pt x="891588" y="18082"/>
                                  <a:pt x="877981" y="24877"/>
                                  <a:pt x="863600" y="25400"/>
                                </a:cubicBezTo>
                                <a:cubicBezTo>
                                  <a:pt x="722554" y="30529"/>
                                  <a:pt x="581378" y="31045"/>
                                  <a:pt x="440267" y="33867"/>
                                </a:cubicBezTo>
                                <a:lnTo>
                                  <a:pt x="347133" y="50800"/>
                                </a:lnTo>
                                <a:cubicBezTo>
                                  <a:pt x="318807" y="56111"/>
                                  <a:pt x="304337" y="57759"/>
                                  <a:pt x="279400" y="67734"/>
                                </a:cubicBezTo>
                                <a:cubicBezTo>
                                  <a:pt x="160356" y="115352"/>
                                  <a:pt x="267556" y="78375"/>
                                  <a:pt x="186267" y="101600"/>
                                </a:cubicBezTo>
                                <a:cubicBezTo>
                                  <a:pt x="153508" y="110960"/>
                                  <a:pt x="143934" y="136878"/>
                                  <a:pt x="135467" y="143934"/>
                                </a:cubicBezTo>
                                <a:close/>
                              </a:path>
                            </a:pathLst>
                          </a:custGeom>
                          <a:solidFill>
                            <a:srgbClr val="BDD9E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5737028" name="Isosceles Triangle 355737028">
                          <a:extLst>
                            <a:ext uri="{FF2B5EF4-FFF2-40B4-BE49-F238E27FC236}">
                              <a16:creationId xmlns:a16="http://schemas.microsoft.com/office/drawing/2014/main" id="{92535D50-E1F8-D77D-54A7-2E44B8258F49}"/>
                            </a:ext>
                          </a:extLst>
                        </wps:cNvPr>
                        <wps:cNvSpPr/>
                        <wps:spPr>
                          <a:xfrm>
                            <a:off x="558795" y="1032933"/>
                            <a:ext cx="753534" cy="5080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2446348" name="Isosceles Triangle 302446348">
                          <a:extLst>
                            <a:ext uri="{FF2B5EF4-FFF2-40B4-BE49-F238E27FC236}">
                              <a16:creationId xmlns:a16="http://schemas.microsoft.com/office/drawing/2014/main" id="{616D819C-6ECA-1A6E-F4F2-65580EDD4450}"/>
                            </a:ext>
                          </a:extLst>
                        </wps:cNvPr>
                        <wps:cNvSpPr/>
                        <wps:spPr>
                          <a:xfrm>
                            <a:off x="2946400" y="982133"/>
                            <a:ext cx="706114" cy="5588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60978048" name="Graphic 8" descr="Confused person with solid fill">
                            <a:extLst>
                              <a:ext uri="{FF2B5EF4-FFF2-40B4-BE49-F238E27FC236}">
                                <a16:creationId xmlns:a16="http://schemas.microsoft.com/office/drawing/2014/main" id="{FBC2714F-C8EE-2309-82A4-B8BD28756D6D}"/>
                              </a:ext>
                            </a:extLst>
                          </pic:cNvPr>
                          <pic:cNvPicPr>
                            <a:picLocks noChangeAspect="1"/>
                          </pic:cNvPicPr>
                        </pic:nvPicPr>
                        <pic:blipFill>
                          <a:blip r:embed="rId14">
                            <a:biLevel thresh="25000"/>
                            <a:extLst>
                              <a:ext uri="{96DAC541-7B7A-43D3-8B79-37D633B846F1}">
                                <asvg:svgBlip xmlns:asvg="http://schemas.microsoft.com/office/drawing/2016/SVG/main" r:embed="rId15"/>
                              </a:ext>
                            </a:extLst>
                          </a:blip>
                          <a:stretch>
                            <a:fillRect/>
                          </a:stretch>
                        </pic:blipFill>
                        <pic:spPr>
                          <a:xfrm>
                            <a:off x="973661" y="13479"/>
                            <a:ext cx="753535" cy="753535"/>
                          </a:xfrm>
                          <a:prstGeom prst="rect">
                            <a:avLst/>
                          </a:prstGeom>
                        </pic:spPr>
                      </pic:pic>
                      <pic:pic xmlns:pic="http://schemas.openxmlformats.org/drawingml/2006/picture">
                        <pic:nvPicPr>
                          <pic:cNvPr id="602860144" name="Graphic 9" descr="Confused person with solid fill">
                            <a:extLst>
                              <a:ext uri="{FF2B5EF4-FFF2-40B4-BE49-F238E27FC236}">
                                <a16:creationId xmlns:a16="http://schemas.microsoft.com/office/drawing/2014/main" id="{63185302-C69C-F4DE-57E1-F9E4E7A48251}"/>
                              </a:ext>
                            </a:extLst>
                          </pic:cNvPr>
                          <pic:cNvPicPr>
                            <a:picLocks noChangeAspect="1"/>
                          </pic:cNvPicPr>
                        </pic:nvPicPr>
                        <pic:blipFill>
                          <a:blip r:embed="rId14">
                            <a:biLevel thresh="25000"/>
                            <a:extLst>
                              <a:ext uri="{96DAC541-7B7A-43D3-8B79-37D633B846F1}">
                                <asvg:svgBlip xmlns:asvg="http://schemas.microsoft.com/office/drawing/2016/SVG/main" r:embed="rId15"/>
                              </a:ext>
                            </a:extLst>
                          </a:blip>
                          <a:stretch>
                            <a:fillRect/>
                          </a:stretch>
                        </pic:blipFill>
                        <pic:spPr>
                          <a:xfrm>
                            <a:off x="2523064" y="13476"/>
                            <a:ext cx="753535" cy="753535"/>
                          </a:xfrm>
                          <a:prstGeom prst="rect">
                            <a:avLst/>
                          </a:prstGeom>
                        </pic:spPr>
                      </pic:pic>
                      <wps:wsp>
                        <wps:cNvPr id="1221444560" name="Straight Connector 1221444560">
                          <a:extLst>
                            <a:ext uri="{FF2B5EF4-FFF2-40B4-BE49-F238E27FC236}">
                              <a16:creationId xmlns:a16="http://schemas.microsoft.com/office/drawing/2014/main" id="{5F391022-D63D-BE6B-BD00-BF3DC737294A}"/>
                            </a:ext>
                          </a:extLst>
                        </wps:cNvPr>
                        <wps:cNvCnPr>
                          <a:cxnSpLocks/>
                          <a:endCxn id="302446348" idx="0"/>
                        </wps:cNvCnPr>
                        <wps:spPr>
                          <a:xfrm>
                            <a:off x="1514368" y="272953"/>
                            <a:ext cx="1785089" cy="70918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84800480" name="Straight Connector 1884800480">
                          <a:extLst>
                            <a:ext uri="{FF2B5EF4-FFF2-40B4-BE49-F238E27FC236}">
                              <a16:creationId xmlns:a16="http://schemas.microsoft.com/office/drawing/2014/main" id="{881B2120-267F-F26C-BC39-D4EE688866D9}"/>
                            </a:ext>
                          </a:extLst>
                        </wps:cNvPr>
                        <wps:cNvCnPr>
                          <a:cxnSpLocks/>
                        </wps:cNvCnPr>
                        <wps:spPr>
                          <a:xfrm>
                            <a:off x="2946394" y="272953"/>
                            <a:ext cx="330205" cy="697063"/>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97726461" name="Straight Connector 1097726461">
                          <a:extLst>
                            <a:ext uri="{FF2B5EF4-FFF2-40B4-BE49-F238E27FC236}">
                              <a16:creationId xmlns:a16="http://schemas.microsoft.com/office/drawing/2014/main" id="{B05B3355-8C39-6B50-A3C0-848FCCAD144C}"/>
                            </a:ext>
                          </a:extLst>
                        </wps:cNvPr>
                        <wps:cNvCnPr>
                          <a:cxnSpLocks/>
                          <a:endCxn id="355737028" idx="0"/>
                        </wps:cNvCnPr>
                        <wps:spPr>
                          <a:xfrm flipH="1">
                            <a:off x="935562" y="390243"/>
                            <a:ext cx="1924261" cy="64269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55308123" name="Straight Connector 855308123">
                          <a:extLst>
                            <a:ext uri="{FF2B5EF4-FFF2-40B4-BE49-F238E27FC236}">
                              <a16:creationId xmlns:a16="http://schemas.microsoft.com/office/drawing/2014/main" id="{8FC602FD-EBC9-1C7D-43A1-0AF3D1EE93D1}"/>
                            </a:ext>
                          </a:extLst>
                        </wps:cNvPr>
                        <wps:cNvCnPr>
                          <a:cxnSpLocks/>
                          <a:endCxn id="355737028" idx="0"/>
                        </wps:cNvCnPr>
                        <wps:spPr>
                          <a:xfrm flipH="1">
                            <a:off x="935562" y="272953"/>
                            <a:ext cx="346074" cy="75998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74A8677" id="Group 26" o:spid="_x0000_s1026" style="position:absolute;margin-left:245.6pt;margin-top:1.4pt;width:212.4pt;height:148pt;z-index:251651584;mso-position-horizontal-relative:margin;mso-width-relative:margin;mso-height-relative:margin" coordsize="42240,216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Ek0NwR8AAHumAAAOAAAAZHJzL2Uyb0RvYy54bWzsXW2P&#10;I0du/h4g/0GYjwHO09XvPfD6kLPvnAOcxIgdIPmo1WhmhNNIgqTdWd+vz0OyqkX2at2sdc558QQ4&#10;Z7QtNuuFZLFIPtSXv//wvF28Xx9Pm/3uzU34orhZrHer/f1m9/jm5t9//NPv+pvF6bzc3S+3+936&#10;zc1P69PN77/6+7/78uVwty73T/vt/fq4wEt2p7uXw5ubp/P5cHd7e1o9rZ+Xpy/2h/UODx/2x+fl&#10;GR+Pj7f3x+UL3v68vS2Lor192R/vD8f9an064V+/kYc3X/H7Hx7Wq/O/Pjyc1ufF9s0Nxnbm/x75&#10;v2/pv7dffbm8ezwuD0+bVRzG8jNG8bzc7MB0fNU3y/Ny8e64+ehVz5vVcX/aP5y/WO2fb/cPD5vV&#10;mueA2YRiMptvj/t3B57L493L42FcJiztZJ0++7Wrf3n/7fHww+H7I1bi5fCIteBPNJcPD8dn+v8Y&#10;5eIDL9lP45KtP5wXK/xj2Q5d3WNlV3gW+m5oi7ioqyes/Ed0q6c/Rsq6LOuiGISyDG3RNC1tx21i&#10;fGuG83KAgJwua3D6ZWvww9PysOalPd1hDb4/Ljb3mEDdNEWoytDdLHbLZ8jrn47rNUnf3YIpFuob&#10;vGBMPS7f6e6ElbyydqFp26oqbxbXVrDp2g4MaQWvrcPybvXudP52vefNWL7/7nQWqb3HXyxz93Gw&#10;q/1ud9qc1/+B/Xh43kKQ/+F2UbV10XaLl0XZCqNIPKH5T01TNtiaYvG0UOOBbH/EJ3wGH03j5YOF&#10;G+dT131XVfPz0TQl9hU0s/OpFB8QYBHm+Wia0Ldl287zqTWfASSO/dE0oR0qz3waxQcjozWYlQNN&#10;E+oKjObn02o+dVV75qNpQtm55A1aMsoBdIbWYHY+miYEHBmO/cGhNfLpQ9l75EDT8Njmlw3G78Km&#10;aYJnOpqmKWhks1IdtGpjCQYXI0PFiurgpJUbm9q7JCFoKpA4Niho7Q5VAyKHChkqz8IZ3R7KQMow&#10;K3DBUJGmOhZOazc8gcZlsoOmqqretXJav8uighPlMHJBU3UtiBxz0hpeFnXvWz1N5dVXOq9HTSpD&#10;aH3iYKi8R57W8zLUpW+nNBX5Fy6h0LpeQiZc9jtoKj78HfpUahNRhr52HX2Gqu5qsiuz1qjU2g6V&#10;KnuP6hqqJrQuK1FqK1FCrVwHhqFqQ+86MUqt9CVWsHTNSlO1Q+1yHkqt9WUJRh6rZKi6svftlVb7&#10;sqwaUvxZA1hqqm5oXHap1HqPq0HlUmFD1XdQRo+wG70vm9J1HpaaagisIfPCrvUeWzW4rEWpqULR&#10;9C5nr9SKX5ZD7Tp8DVUIZetawsrYiyoEl70wVAGnqct9qYzBqMLgMhiGKpRYDM+ZRVe0y0FSdT5X&#10;yVCFqvCdxJVWfkhh5ZINQxVoBT0iXxmb0fSlyxIaKkh859svrf5lW+Nq7zAalaYKTVW6LHxlrIab&#10;l6YKHcIWnoOr0gagrIfOZaEMVegaKJjDd6q0BXDrsqEKXRt8smHthvPoqjQVeA2uC3Zt7AaWw+UT&#10;GqrQkRg61rDWdkMkynFHsFTueWm7EUIz+OZlqLre59XU2m6EovbZQ0vVDbXrXlJruzH0vpPSEIU+&#10;ICriOJVrbQD63ufsGiJILug8kqH1ny6cHl+t1kShrzqXs1Zro8EenkcGNRGsU3A5a7W2GW3BRLO+&#10;miEKQ9H4VEsrfzV0PmnXRGUBb9JjdRttMeLNaXZWhqgshsFl4BttMCpcWD3nliEqQ8lRnFm/sNGa&#10;X0IbXawMEV89HXrVaHMhF/55F94SwZ65xKLR1oKjMg5hN0Tplju/gNpaUOjDw0nTkPfpskvISlxc&#10;QocjY74felgkj/VrjMpz0Gheyg1NV/vu3402Ew2Cz56V0zSh7WvfymmFl5Do/Jw0TWgbBGwdBr3V&#10;RoIMumNOhia0CPZ79qnVNiIUPt/WEsEBdMXPWq3uMUI+u36WqKnZssxqU6tthDhY8zbCEtUDhVfm&#10;wz+tthEcqvPslSaSpISHldb3EnEmj5FtNVHA2eYTQG0kYrZpfq80kfsq12qtL1vckzwLqIkCEjQ+&#10;CdRqjxSN65hvNVEoB4qrOsRC67337G01kfuO32ljUSHb61lAQxQobOmZVaetRTkgBezIHxiioeHw&#10;3qwGd9pYlD3uEg6pMEQDaYjDn+i0rfC6Loaor3rf6mmt94pfp4m6vnNJX6eV3r16mqhuEHx0yHmn&#10;dd4tfIaoH1yhESopGENZVcVnzqxJskR15zLpndb4SojmORki0kKP7GmF9xY2dJroWsUBKk4eUy3F&#10;8imVV6w+7GJ9Bf5aLKmeqeASn8P+RGUtutgClRvpI+oopIgFVFScMUMMA6GJQxYxdF4Tl1nEUGNN&#10;XGURQ8k0cZ1FDL3RxE0WMVRBE6eSId9qQyU0cZfFGQKrifssYsigJh6yiCkVr6nxOUvGpkKWJ2WU&#10;NTfc8+SM0uGGPE/SKMdtyPNkjRLXhjxP2sJE3PA5a+UnAoc8dRb5RORCnsxRJtjMPU/qKLuryfE5&#10;Z/CUsTXkeVJHWVhDnid1lI815HlSR9lSQ54ndZQBNeR5UkdZTUOeJ3WUqTTkeVJH2UdDnid1lFA0&#10;5HlSRzlCTY7POVJHaT9Dnid1sURzPMzxOYv7ROqQrMsin0gd8m9Z5BOpQ0oti3widcitZZFPpA6J&#10;ryzyidQhl5VFPpE6pKdyyCnDpMUGn7PIJ1KHJFIW+cTW1XlSR6kdM/g8qaN0jSHPkzpKwRjyPKmj&#10;tIohz5M6yq8Y8jypo/SHIc+Tunoidfics++UptDc8TmLfCJ1SEVkkU+kDjmJLPKJ1CFlkEU+kTqk&#10;AbLIJ1LX5EkdBenNyudJHUXrDXme1FEI3pDnSV0zkTp8zlk6Cnxr7vicRT6ROgS3s8gnUoeAdRb5&#10;ROoQhM4in0gdotFZ5BOpQ7A4i3widW2e1FHk12xcntRRYNaQ50kdBVsNeZ7UUQBVk+NzztJRUNSQ&#10;50kdRToNeZ7UUfjSkOdJHcUkDXme1FF00pDnSR2FHA15ntRRSNCQ50kdBQcNeZ7UUfDOkBupQ+QO&#10;gZ8YpjsC7Ecwvy3D/M43C8D8jjcLwPzekqgt7w7LM0X30p+LF4KvRfDV0wV7Rc+f9+/XP+75m2cK&#10;9kmskYciEcQovJfvbXee76dvrd693az+sP6roaEIvEwXVQQBCyej5gHUQGJRGhFrUTYVyovMQ4ZE&#10;yUNGOsXRWS7204Ffi5ryLupGWXZdYXn2HUoS5bVFhwit5oniDYTW+aGgnvw8UXBbiEgj1diJCcbu&#10;yIC6ciA8COYZOtTYsbCNDxkqJQ8ZAeXm2RYVMimRskCeQ0+lBToPC8o8G2RpDE+BTclDRkP5eVJM&#10;O84TtQaISKj9bKu2j1GCUKGUwyx8yxAq4cnIKD9PyEa086ivxf8ZnhD2eMFFiRqqVM1DhlMJT0ZJ&#10;uXmiDhKoT6bskLFn25Z2rEOqB1ErWtoeyXLzTIBV/IyLA9wMUVufZAR5TKiMWte+LioqTQTDBqvK&#10;p0QaTM8QK3lGyCk3wwHYlXh+ITkkcbD0UqxVX8WdrKhaQY8mgq2YJdsNN0ukGIuaSmNo5RqEYNUc&#10;AwAuwOXJW8tG3L9xPIK6EkIkivwcUbc8xNBRi3Jkw7EqqVBEOPYIzenRCPqKn/mXNDR11UWNbFpc&#10;QfUbUa2FVeU3dkimm2eCwuJnjIKkh3QMGINqP4llCahQreNlNfSojLCvxb72UVl7VOnrhxGPxTwZ&#10;ZeXmiSo3QGlEHOtQwNKqaeIhCrFlUduysnsckVmyBpStz+BZdSjjZ8qelNryrCvkRPnh0MMGTB4S&#10;RosfCvLKzxSlxg3BwCGuZY3qSKMGgGX0VTy9AH2CNhm2gtcSWkZhZbBFJVI8haoer7YvLnB+DGlT&#10;+yEYwx6xW8xW6gpz2OIwFgGtUMYIwdH7GuquiDGZCnBynHXmKeO4hC1Bs/0aSvjDhuqTybhVbTFY&#10;KcUp0kR3Cai+brrIjOliWkFqZcy273HECynK2SQHkuwNBlXAUsmgqKhzMlvGd8lTRm1lsMWJHf0h&#10;oPJROmGXcWibqDwNpoaAvV5kwXoxW0Fw+dmWqIGNOSucw/30xSgziUmhFqPDFw1bLp4XtozmymCL&#10;k6wXxeyKpi0m8ylr1Ezwi3HGtpNFFgyYPGVkVwZb1NpEe9CxM2jng5MtChwsSQnPwsyW8WDCllFe&#10;OWxHkYKDUCKKZ14Mz5IqUOnsQ3mTdcgiNkyeMuIrgy3KNAq5CqL4c2pyywbyK+oFmUb9qh0U48SY&#10;raC/MthiEePeDuXQ9fYYQA0Xqq75xQFiPnHCI2gsPmYoWAZj4E2iVQ5FD69hwhntCqIOwd7Dn5/M&#10;mCFkwlmAYX7OVdHADEbahg57s5iQuiFGP+GKwoGypkwAZZGaYWIZnAmoFG8QcKIAubOcsRDRlwsA&#10;1gxYHi16Ai8TzgIay+Bc1Q01NIHYYrn6arA6DNvdx7s4yuLgKdrVFrCZUAuEzM8ZmpusUqi6Fl6H&#10;mRQcSSx3fDUKlaR+YLTgAj2Lj+EX5xxJ5GTHVC0wgEB72Tk3cFRjBh/HU407iRmYANGEs8DL/HPG&#10;la7uo7MCEza5Ekfcmbxa0GSGs0DFpo9djiT10Wji6Y/KeJwXds4tNBhLyGLQYi8KcwkxAxPoWcac&#10;q4DIgLwaVyu6BWnhbXBljpksQKsCghbmsUDWIjUD0fyca3jkRdRn+O09sryacwVDkmxYh12diIGA&#10;USNnhqX5OQtoNtHiIm1lG0hh9NZJj5thImGCxE6PCaSWwbmARKfV7hAksJzh+AClGF/NmDSzJAJu&#10;mz52SVgYWmhLmtRHr8YuA243Pp76XBHqNjvnFIuK1yMBrUUqhqLFlUrfu3qpCjgx+yQXcGDkopJM&#10;C2xti71PLx0Q3NFrFMFr8TFD0ty7E2BsgPdKtDBCRthxE4fJi5x7RK9w7CuBFSibEAtAzc0YwQC6&#10;VrN6w4kB1M+8GHXcSN/KUzS9QORYsRVYW3pKYDU3274dSKvkxVWAvpkX4/KVBKZHCaZkkNM2CMQt&#10;0RJwzc22w8UtJkkxV0IhaLYddD16j3BwcNc09kjgbpEtg9jcbFv4RHByZbY9QlVmtvDccE7HpwP8&#10;B7P1An2TpwJoc7OFn0IWgtkOwGNbaUbnqTrWkwUgyuDh6LUQGBzTRnCbmy2whIlt7JNiXoyjPWYM&#10;cZEeehsQiVdXGnIEuvnZAr0SL1hwCagm27ClAKJsAWAagPgZ6ycl+jJbAb252cIDRrO3SFqV1cRZ&#10;6RGWEKMLtClOMeslMVQu0lLvFb8kI9hCHeZ4oUKD+5SZD/podNFRAQatQU87vRYSjUm05Lu5ZxuA&#10;/4oOEl7cTsL6ATDceGIjwN9PjhiB0CW2hIh1s0XkJ/rXdK+k+4UyQwj5p1hNgaCfVR8G0zHPCJG7&#10;yjMdCnJ4xNuLgN3i99M3rh0bXbp1oGEg+OmxNWgXIty7DvF2o/cS8GPtFLTb1aFdYwjZTiy7qunh&#10;N6rlaHDCRmvS9m1vvWNGyMmABPfm5imxaR4tMBzIs2ieFGFNPHHY28SLhMOFkhFwbp4o2EdMTygR&#10;vJDU/ngM4HqbeNbF5J7JqLlIyVg4N88BAYl4DiOM2UhOPPEcYMnTQwDBrS8s+LnIlFFxbqboOFLH&#10;zGTAnR7hZL26uMx2sUYDT4EiNGsvWDphKwg5P1voUkoVgT8FR5Qg4exHmDy9GFEpY7sEVydPBS3n&#10;ZgvxpdOG97UmZLdlCwB7tONI66CPiFEawdhFWmrn5zci8OmTLSZ/FHupZ4suRzgh44uxlZNwJOPt&#10;5Kmg6PyzRdQpvbiCsUXlgVpkukXG4wPrTZct+5Q6PUa2uXdZnMLRw6rIwTa7hyGNF10o8zSGzTi8&#10;yJbRdf7ZIo6Zdi+mWfRsEYOMJbHYdUTK7BYwJk/YCtLOzxbYqLTIJVJ4OPw024H8vvhi3OFx9VNP&#10;1eEfUXdX2aYTQM4IATvFVzJ+LhKlr12z2xWC3ISVp5AKwJgwznYcuO7Fp7ir4XKsnwrejmmxmTER&#10;4rp/4cqCnJRQ1oiOWH1CdijuF85u+AqGJyPvhJLxdHGOdm72kywPsk8pjE4Ar8kFGvftlEZFI9nJ&#10;w4tPJMg6P084AjFUhigszLiZCsLQcel7jEwKrZJZFzQez1Mwdhk8ceDLnuGYg9NjeOKAgBmh7caO&#10;wcTbh4Rq5IeCtvPz7OHJyslXl+BpTv8KkV6CMoMnHG1UXmieSmhh23PSqbigpFgMziK4GOa1aH0c&#10;j0XkxSjIoLWLsXo8IAHTuedJuah4/uDPyc20opZqsrYU1beHRGREi8BT5l35SFeSpkaF5sbCPE7O&#10;bSefOH1rtd2f1pgXXkOVN+MfXILD7750NT7tt5v7P222Wyq54ebf66+3x8X7Jep53j4Gxt1t3z3/&#10;8/5e/q2lPiVxXcavMwfzpi1D8HZ7erOMhP4FjaVTo2b+6/zTdk18t7t/Wz+gDzS1tWaO45uF6XK1&#10;Wu/OMpjT0/J+Lf+MM/cTY+EX0psfwH98d3wBdTi/TDK9W0YZv0+ka25iPhILBPETAxPikYI573fn&#10;kfh5s9sfr81si1lFzvL9tEiyNLRKb/f3P6FL9vG8/XovvdSXu9XTHjVWq/ORielb6NBNbcR/jVbd&#10;A8L4BY6fT3bqHr+AmdGQ0OZ7vlG3+DMc4QEZlj92K8eFv6QjRPqco+KlGKtuU5v0X9Sle+yWkhgx&#10;9486bpsu3dwIoQa2HpY7jWeuS7eXD5zNETzs5QOrfqEZKByEJhIz89E03NnbMR/swshnbGgzw0fT&#10;wEEUVPjMukG0LnzoeCRI/QwfTcOBKMd8EAsZ+cTO3rN8NA2OZ8xoXg5g/C98pLP3LB9NM+L2Z9YN&#10;Z/TIh6+V88umSQZEJBhKP8MG18qRjXTCnp2NJiHH0sMGfsPIhs+5+dloEgSiO1wr5neHQL4jIxaD&#10;eUaWhhuFejhp5aaORjMybfpzI10bqOXIvNXRqg0xcCiP6c+NoAjaensYad127hAVeFwWm3XBs3Ba&#10;uzlO5lg8TYOVg1n0cNL67bbZhgiRU5/caRUfe7nNiYQmCohqoqeMQyS0mo+/4zDHShNJnyaPUGhV&#10;Z+vgEXRNhGoligc4ZqXVfey7NzcrTYT4Pu4WjllRCdBFbBHEhuc5L4KWCscY7q3z0zIdt6Xnl0OF&#10;J1TeeWlbEeBpkWWetUsUVr+sxthWa+bYMJ26UzPReV7GYIx9teZ4GeXnRKNnDQ1Vg0itSzaM9sdW&#10;mPPzMlS45lM3pFnbTpfMy8pzL0zPvAyV17xT3F7xQsGJSzYMVfwlivl5GQMgv2bkkENDVdTcDHue&#10;l7EAnDrxrKGm4pZNju2iAKJaQng+HtfcUFG1qcdbovq5C6sB2RzPbhkqiS7OCyFBGRQrvp/Nb5ah&#10;KlFt55F3uvhdWHn12FClH82YsRi25TYquWnVZ7XYUFEXqjkuWuvp6uiSB01EDqrjEDH9uVFx6ZuN&#10;thPi0M3PSOs7Am/S1G3mEDa9ucWfm2eklX1sdjXHSBOlX+2Z2yOt6WOftTlGmojSiI49ovyzEm4+&#10;AWYlzhKhJtxjHKiU+MKJcCMOi2eJyFWfzAmhxNf2XWNSz9V1DA4GIr1jlxMOs1NE1kUMM6CJOf/h&#10;JoZqa+IxzuziDB3XxJyTcnOGCmpijse7iaFWmpgTkm5iuqVraikw8JNDawx5itX6tuu1fddF0F/b&#10;d7mlLha+jjZCclR+cjhnWmilXNFPDofLkOfZt1iWexl8noV7bd91URmp2HVvXKxVGFcenyWx5DNW&#10;dBHQ+y6FLn7uE6mTzL2ffCJ1cOCzBj85Vl/bd/lXfnLA/m9q3yWT+AVNJpLPvkCTieT0U27x0jxC&#10;Euqq3FNSblH6Lt9LqfWf/3761rUyE/wcC2AjrGQomBnEFUlVHYTEovsxNBBlhCjrpQGMDzmjJ5TU&#10;b2I0qQ7kNQogxGus6Qd1bMkHQpixfBAoJlShaJ6q7laSdkkfZ3micg0xaR4tqn5RH2hei8qSWMKD&#10;woz4u9NpnqpeThJ4GTyrImLIkZBFXYzmiV+CQLUQD6irUHBq6kEk68cPJZnn5kkNF2JVM/DPg63q&#10;oFRNdP/QM6GULUvzlDb6whMVOWMJg5Ua+ynKHfCasZwG5bKoeDLzRCtnQCJIhlCyNAH2XYpMJcl3&#10;dZpJfIUZ35bldZywiyTpS9fGV9OvmwkJQt1WotCiIToHA5BbE0QPgc+ZLibtrg7vGkfqLSAc8Xr6&#10;5UKzIsChpIf4iY7JQ+pjEnmS9vm1qu4GudKgMA41TUx42VtoaHwrMOO2Y0WcouTx3FO8wPwwQWR7&#10;zAxHmBTQCMCZ6meU+ZORSMDXzXBA4W4kDFAKU8AOlESqKkZBVyztS5PniFGkpHpX/5KiDjNiu6m6&#10;uJlgViF+Itf4DXiEUM0KcPAo8uQUn3uaLZCL6bUAS02MBsp+IzyAqowmcHN9Xki2z80VcAeYXRkw&#10;uqJQJagy9VASnBLxKXCsdrcV0CVm/txsERpvUx0+2SNbbFeDb6zEQ56POoToQUm+UAbFv9YyXv9n&#10;D4OaKvfjfKjxDv5WswUShCpHyWJRXxUk/fRTyR3Gp5wRdM8WvXi4PolfjGpxuUIlMUXPIfysUnwx&#10;QA/WjEoeMT2l7KCb7QDQXezpBG8DuEVz9qGxTIvzJ74ZpfG27wghY6icTVaDU4Vuxii1R5Rb/Adw&#10;/ujV+PmLsTweqH6omF7omGL8rCmHjvpdpB2GPFvQN9LTsHZpzvxzj4azJBwj50wcAqB2OOyFtunD&#10;BH8KzQIqKy4nSlrpaFSiF9OPkZp/rMe/2ginQ5+Etsb5M3Ep4GWMQo+B4dehDGdJYkTOnGLM4Ezo&#10;YvFlAGBC/ayxheiBga1NjwluYxQq/kpfGjeFmzM4w7lIdekIBeMgspPCisT6YQAWAEaxEiaJysiZ&#10;q0syODdU0Ca0qEonT0FvJF4NzYmvRi23LV2mfkPkYbFWxQZNoKabxazxol9PbFPfIqhVLEJOZgSP&#10;Af2Msg1/GcAeO7COEnfCWVKTV+ec/Kno4Uk6kqkkyRiJ0tfssBMRLE80s7hlTNEvgMYUsVgfnvkE&#10;S4LjhpKSzFBSjVdHeZUtBDBZHQjjpK0C8AFQA1ke/AbwpD0N/DZKUDLbCGpwbwtmUARxbXBkIFFn&#10;lh22vUtP8UOsFpU+XghxMkgKMmO2NbWr4xHjjgMouGHbwy+JwjAg2TYRBfolThkxZyP9TDugq6Pa&#10;QbMnsl0zCppHhBPAHulwTSk1xA/HSNC8yKPbGJLoMskJ5BiuCQYfL1KTBneSyZSRUH7SPUH4fQAF&#10;CiGuZgbvASTlAJeWVBegUYvik4ymPOPLg1d6sKBoisKEwBFbVDyMdTqg4RBZDJlkNoWOwE9XZ5iU&#10;VNRSlfbLXUrGmL50TaUA6QdknrkAsTq5QFGxaXwGAJw5ziRLyXSce7w6umsMISMADjIhTmpcWIgy&#10;WTgcEAm4CzQ6mqGqZxBoOj/YrnIS0s8SbHBiMmWg4gbzWk4zykP4i9Y10263fO/qrn82+uH4+HbE&#10;Pvzhm2+GP/IZh7PiFdrw24A24JCC88aH+m75vH5z8+fT/rRab9enxY/HDX6JarteXL4D4XOjG3Da&#10;jQ3x0LyEQg+sTAnlgDsvQyBXMHbx4iOynTAOh6Ngdhb0x5ubcxwOY0qW7xEjla+nr5ESG6n9BHCF&#10;vqfhPYSoScfFSPIK7+EV+I3oAMJ0cNeo9cindWD8To4OANwJ4Jo4F7ENjNWBAkcejmbWAXgFoyC+&#10;6oBoYAKu8affKMTtsFnd4X+LD8/b3Yn+enPzdD4f7m5v2VwtT1/sD+sdnj7sj8/LMz4eH2/vj8uX&#10;ze7xeXtLwbdbUJ3fHdc38SXPrnc8L49/eXf43Wr/DEzl5u1muzn/xK+DCaZB7d5/v1l9f5QPQLwB&#10;sre5JzQteqEiijqq07fH5eEJE8A/3K9PK8D4vt7vHt6d1veLw/p42u8WL5vz04KN94LgiHRQEAN6&#10;p3CAf7ZZfbdf/eW02O2/fsK5tP7H0wFN2BFHYzfMfp3ma4f3drs5EDKTrD/9HRcCY5lfy/3Dw2a1&#10;/ma/evcMTKYs6HG9xZrsd6enzeGE9u936+e3a0z++Od7wVy+3Xy3fr/eLs5Px/WJOr4r5CYNgI+r&#10;83F9XgGtmlCbq3imndIDnshl7DSt04GWfHmXTARGR13j0SQoNW1HjAS9Wa2hocMWcUcyNHzwsmcL&#10;Py+9JZ2i8bCl/vafPmh5VDIO/hPDkg3DH/9nxJQ6F+JWjQtmtPpJTBFgexVTihf9LcQUrWjQ6yoG&#10;ryCnMZJhnMK/rZz+OohhNCypEZWirhfiU/xwPi43j0/nBWzfDtq1Py7QEzR96eJUfL0T9UYNyw8H&#10;tniiyLv7r/HTsGRfAdlP7grjx8V5jX65kNOHT9gJSsXhmsn3TWBfkEy0lgJNo+CNQwfYVCANJE1L&#10;P20qtpvd+tOmgpDu9OMXiHngNs1G72fg94JMl+9l++gY4n8H4h7LzW8Ckv1imCNU34GI/zSc3oHF&#10;/wx/+/xBDkAcIT8Pp6d5Rdn/tWDz6NEIlxb/+zkluHxpRgl49HAJZkWcvG5qiMthtCsizj9QHY0M&#10;aicoDyib/onD8FXCYzMKWaVXCR9dXQTzkGpFmgQx20+b+cuXZiQcLSCUmb9EZrxmfvEAx/KfyCUm&#10;y5UcQ4Rv8MNnpAzorYQWthN7j1afJY2f7D1gqLGH9au9p9Ysr/b+eI/7TihuX/bH+8Nxv1qfTrhW&#10;/vC0PNChH52OePFDdRsSw+jS+zPKcPnO/7AuXPN9qhpprBiOQboh9mt/VYX/V6oAN+Lx7uURF3Bs&#10;7KOEJr5Znpf6M7tKd+ty/7Tf3q+PX/0XAAAA//8DAFBLAwQKAAAAAAAAACEAAf3urwwSAAAMEgAA&#10;FAAAAGRycy9tZWRpYS9pbWFnZTEucG5niVBORw0KGgoAAAANSUhEUgAAAYAAAAGACAYAAACkx7W/&#10;AAAAAXNSR0IArs4c6QAAAARnQU1BAACxjwv8YQUAAAAJcEhZcwAAOw4AADsOAcy2oYMAABGhSURB&#10;VHhe7d2/i/Rrecfxu5BgISKYIp2xShtIY3n+hCAWdqYVFCxPmcbEKudPSBUsFALaKCksFC0MBNIK&#10;prDJqVJIQFBIuI67yZ7PmWd3771nr537+3294A2H88zeM/M8M9fMfH/MjgEAAAAAAAAAAAAAAAAA&#10;AAAAAACv53NjjK+MMd4fY3wwxvjuGOMnY4xfjTF+e1f9d/2/+rO6TF22fuYzuRgAt+2vxhjfGmN8&#10;f4zx4Rjjf15Y/WytUWvVmgDcoE/fDepfXhjk1+oXd9dR1wXAG/vsGOPrY4yfXhjYr1VdV11nXTcA&#10;b+CrY4wfXBjQXdV1120AoMmfjTF+eGEgv1V1W+o2AfCKvjzG+NmFIfzW1W2q2wbAK/jGGOPXF4bv&#10;rVS3rW4jAFfy+THG340xfndh6N5adRu/fXebAVjwqTHG9y4M2luvbnPddgBeqN5N53Ddpe/knQHg&#10;eWp7+g6bfd7V7+9OHANgQh1Rc8s7fJ/bb5wrAPB8X7rRQz1f2r+OMd7LOwnAJ93SSV7Xqr5tFIBH&#10;1OaSP1wYoEfoa3lnAfij+nK1I777v+/Hzg8AuKy+YTOH5tH6Zt5pgLP7wsF2/L6rn48xvph3HuDM&#10;6nj5HJZHzbkBAA/86MKgPGp1XwG4+327/31hUB61uq9+xzDAyTb/3GczEMAY4/sXBuTRq/sMcGp/&#10;Mcb48MKAPHp1n+u+A5zWVy4Mx7NU9x3gtN6/MBjPUt13gNP6hwuD8SzVfQc4rX+6MBjPUt13gNP6&#10;lwuD8SzVfQc4rX+/MBjPUt13gNP6zwuD8SzVfQc4LS8AACdlExDASdkJDHBSDgMFOCknggGclK+C&#10;ADgpXwYHcFK+DhrgxPxCGICT8ishAU7KL4UHOLEfXRiUR63uKwB3zrQZyOYfgAe+MMb46YVhebR+&#10;Psb4Yt55gLP7+oWBebS+mXcagDE+O8b4wYWheZR+PMb4fN5pAP7oq2OMP1wYnkfoa3lnAfi4H14Y&#10;nrv3k7yTAHzSl8YYP7swRHftl2OM9/JOAnDZl8cYv74wTHfrN3ebtQCY8I0xxu8uDNVd+r1j/gFe&#10;7tsXBusu/X3eGQCe71NjjO9dGK63Xt3muu0ALPjTMcZ37jap5KC9teo21jv/us0AXEltT6+dqjl0&#10;b6W6bbb5A7ySOqKmDqvM4fvW1W1ytA/AK/vzuxOrcgi/VXVb6jYB0OBP7r5aob5fJwdyV3XddRvq&#10;tgDQrL5crb5hs75mOQf0a1XXVdfpi90AbsCn73bAvub+gV/cXUddFwA3qH7fbg3q748xPrwwyJ9b&#10;/WytUWv5Hb4Am/ncGOMrY4z3xxgfjDG+e7fT9ldjjN/eVf9d/6/+rC5Tl62f+UwuBgAAAAAAAAAA&#10;AAAAAMD/qxO4/vKuv747G7eqE7X+cYzxz3fVCVzVv931H3f915W7X/f+euo6729DVbep+tu72/k3&#10;Y4z37r4ltO4LAHfuB3wN9xqa90P8fnjn1zIcofsXkHrBqPtcLxL1dwBwWDXs693w/Tv4GoJHHfIv&#10;rf5O7j9B1N+VTw3AtmqA1cA37F9efSqqFwS/bAa4eTWoDP3X6f7FwCYj4GbUO/0aTDX0c2jpdap9&#10;CbUpzScD4E3U4K8h5J3+21b7DbwQAC0M/tusjizyQgC8mjo6pTY/5PDR7VSb4wCupt7116aGHDa6&#10;zWp/jJ3FwLIaJN7171mdZAfwIrXJx7b+vbNJCJhWX1Ng+B+j2nwH8Cy12cfwP1Z1gh7Ao+pQQsP/&#10;mNWnOoCL6mgfZ/QeO0cHARfVDsMcGDpWdUQXwMfY9HOe7A8APqa+SiAHhY5ZvdD72gjgI3W8fw4J&#10;HTuHhgIf8TUP56s+BQAnV0f+2PZ/zuwLgJOrIZCDQefIpwA4ufpVgzkYdJ7sDIaTqpOCciDoXNkZ&#10;DCflxC/ZDAQn5Xv+VfmOIDiZ+mUhOQh0zmwGgpNx5q/uq81AdTgwcAKO/VfmnAA4idrmmwNA566+&#10;Bhw4Acf+61LOCYCDc+y/3tUH+WABjsWx/3pXzgmAg3Psvx7LOQFwUI7911M5JwAOyrH/eirnBMAB&#10;OfZfz81mIDgY3/uv5+acADgYx/5rJucEwEE49l+z+WoIOAjH/ms25wTAQTj2Xy+pDhsGNubYf700&#10;5wTA5hz7r5dmMxBszLH/Ws05AbApx/5rNecEwKYc+69r5JwA2Ixj/3WtnBMAm3Hsv66VncGwkdr5&#10;69h/XbP38kEG3CbH/uvaOScANuHYf107m4FgA3XEhmP/9Ro5JwBunJ2/eq2cEwA3rp6k+cSVrpVz&#10;AjiFOpKmdqZ+cDdU74+qqc0r9d+1nb12jNU77jpC4haeGHU78gkrXbNbOCegnpv1WK/bUs/POuHx&#10;/jmaz0+brZhSJ1DVA+el29Hf8oWhngx5e6Rr1rkz+NKgX3ledj4X2Uw92OpB9tIH2FO99guDL35T&#10;V9f+PQHXHPRPVevX9cH/qXf9b3Xi1LVeGG7l2P/6e7Qj+rrVMKzHyK0c3vvScwI6B/1j1XXWcx4+&#10;ekC+xYPwqWZfGG5lONTtvefbSNerv8/7f/saoPnnb1E9Xx57F30rg/6prv1Jhs3Uu4BbfGA+1qUX&#10;hiov9xZdGgx5Gc2V3uqTalbDfZdB/1i+4uKk6sHrkMnrVi9OKS+juVId1ZKX0curF6ynPl1zQPUu&#10;Oh8MWuvSR+q8jOZKt7IZ6EjVJxdOxPHy1682TeTmn5KX01yXePNy/S69eeGgbmWH6ZF6uPP3obyc&#10;5rrEG5jrV29gOAG/Ket1etdhdXk5zfUut7Iz+Ei96zHMgTg08fo99iVheVnN9S7O+r5+7/oUy4HY&#10;/HP9Hnvi5GU117vYGXz9bAY6AR+dr9tTh9Hl5TXXYzyWr9+lAxk4kPwH11qXjv1/KC+vuR7jnIDr&#10;5wXg4PIfXGs9dfhcXl5zPcZmoOtnR/CBecJct0tf/ZDyZzTXU5wTcN18NcTB5T+4Xl4difKU/BnN&#10;9ZRb+RbYo/TY/iwOwI6z6/Wcd0v5M5rrOTymrxcHV9/7kf/omu+xY/8fyp/TXM/hnIDr9NzHNBtz&#10;5MR1euzY/4fy5zTXc9i3dZ2e+5hmY54s6z117P9D+bOa67lsBlrvOZs0OQBHTqz11LH/D+XPaq7n&#10;8sl2LZt/TuRWfoPWrj117P9D+bOa67l8sl1r5jHNAfgU8LKec+z/Q/nzmmuGx/TLmvlEy0HUELPd&#10;dL7nHPv/UP685prhnID56g2Ns39Pyqag+WZ3lOXPa65Z3tQ8vxr+Nv2cnN+u9PxesqMs19Bcs5wT&#10;8Lxq+NeOc/joI2ANt3yQ6OO95DjpXENzzbIz+Om88+ciO9He3cyx/w/lOprrJbyZeXf1TQAzBzFw&#10;MjXkvBB8spe8+y+5juZ6CZs1P1kNfjt7mVIfE2ub6tm/P2j20M+Hci3N9VJn/tWn9XitT0H1d1Db&#10;+V/62IWPqU8H9aJQ74brU8JZXhi+lX8RE3ItzfVSZ9gX8HDQ1xu1em7Wu3wDn1ZHfmGowwpXnlC5&#10;nuZacZRNmQY9W9r9haGedC/Z8ftQrqm5Vu20Kcig5xR2eGG4xvAvua7muoZb+yRg0MMFt/LCUE/O&#10;az0Zc23NdS1vcYKYQQ9X0PXCUE/Y2uF7zSdoXofmuqY6IuY1virCoIc3cK0XhtcY/PfyujTXa3jp&#10;C4FBDxu49MJw/4SvJ/H9E7mexK99nHQOEc31mu4fIw8fH5VBD1xFDjTNBbCtHGiaC2BbOdA0F8C2&#10;cqBpLoBt5UDTXADbyoGmuQC2lQNNcwFsKwea5gLYVg40zQWwrRxomgtgWznQNBfAtnKgaS6AbeVA&#10;01wA28qBprkAtpUDTXMBbCsHmuYC2FYONM0FsK0caJoLYFs50DQXwLZyoGkugG3lQNNcANvKgaa5&#10;ALaVA01zAWwrB5rmAthWDjTNBbCtHGiaC2BbOdA0F8C2cqBpLoBt5UDTXADbyoGmuQC2lQNNcwFs&#10;Kwea5gLYVg40zQWwrRxomgtgWznQNBfAtnKgaS6AbeVA01wA28qBprkAtpUDTXMBbCsHmuYC2FYO&#10;NM0FsK0caJoLYFs50DQXwLZyoGkugG3lQNNcANvKgaa5ALaVA01zAWwrB5rmAthWDrTuVuV63QFs&#10;Kwdad6tyve4AtpUDrbtVuV53ANvKgdbdqlyvO4Bt5UDrblWu1x3AtnKgdbcq1+sOYFs50Lpblet1&#10;B7CtHGjdrcr1ugPYVg607lblet0BbCsHWnercr3uALaVA627VbledwDbyoHW3apcrzuAbeVA625V&#10;rtcdwLZyoHW3KtfrDmBbOdC6W5XrdQewrRxo3a3K9boD2FYOtO5W5XrdAWwrB1p3q3K97gC2lQOt&#10;u1W5XncA28qB1t2qXK87gG3lQOtuVa7XHcC2cqB1tyrX6w5gWznQuluV63UHsK0caN2tyvW6A9hW&#10;DrTuVuV63QFsKwdad6tyve4AtpUDrbtVuV53ANvKgdbdqlyvO4Bt5UDrblWu1x3AtnKgdbcq1+sO&#10;YFs50Lpblet1B7CtHGjdrcr1ugPYVg607lblet0BbCsHWnercr3uALaVA627VbledwDbyoHW3apc&#10;rzuAbeVA625VrtcdwLZyoHW3KtfrDmBbOdC6W5XrdQewrRxo3a3K9boD2FYOtO5W5XrdAWwrB1p3&#10;q3K97gC2lQOtu1W5XncA28qB1t2qXK87gG3lQOtuVa7XHcC2cqB1tyrX6w5gWznQuluV63UHsK0c&#10;aN2tyvW6A9hWDrTuVuV63QFsKwdad6tyve4AtpUDrbtVuV53ANvKgdbdqlyvO4Bt5UDrblWu1x3A&#10;tnKgdbcq1+sOYFs50Lpblet1B7CtHGjdrcr1ugPYVg607lblet0BbCsHWnercr3uALaVA627Vble&#10;dwDbyoHW3apcrzuAbeVA625VrtcdwLZyoHW3KtfrDmBbOdC6W5XrdQewrRxo3a3K9boD2FYOtO5W&#10;5XrdAWwrB1p3q3K97gC2lQOtu1W5XncA28qB1t2qXK87gG3lQOtuVa7XHcC2cqB1tyrX6w5gWznQ&#10;uluV63UHsK0caN2tyvW6A9hWDrTuVuV63QFsKwdad6tyve4AtpUDrbtVuV53ANvKgdbdqlyvO4Bt&#10;5UDrblWu1x3AtnKgdbcq1+sOYFs50Lpblet1B7CtHGjdrcr1ugPYVg607lblet0BbCsHWnercr3u&#10;ALaVA627VbledwDbyoHW3apcrzuAbeVA625VrtcdwLZyoHW3KtfrDmBbOdC6W5XrdQewrRxo3a3K&#10;9boD2FYOtO5W5XrdAWwrB1p3q3K97gC2lQOtu1W5XncA28qB1t2qXK87gG3lQOtuVa7XHcC2cqB1&#10;tyrX6w5gWznQuluV63UHsK0caN2tyvW6A9hWDrTuVuV63QFsKwdad6tyve4AtpUDrbtVuV53ANvK&#10;gdbdqlyvO4Bt5UDrblWu1x3AtnKgdbcq1+sOYFs50Lpblet1B7CtHGjdrcr1ugPYVg607lblet0B&#10;bCsHWnercr3uALaVA627VbledwDbyoHW3apcrzuAbeVA625VrtcdwLZyoHW3KtfrDmBbOdC6W5Xr&#10;dQewrRxo3a3K9boD2FYOtO5W5XrdAWwrB1p3q3K97gC2lQOtu1W5XncA28qB1t2qXK87gG3lQOtu&#10;Va7XHcC2cqB1tyrX6w5gWznQuluV63UHsK0caN2tyvW6A9hWDrTuVuV63QFsKwdad6tyve4AtpUD&#10;rbtVuV53ANvKgdbdqlyvO4Bt5UDrblWu1x3AtnKgdbcq1+sOYFs50Lpblet1B7CtHGjdrcr1ugPY&#10;Vg607lblet0BbCsHWnercr3uALaVA627VbledwDbyoHW3apcrzuAbeVA625VrtcdwLZyoHW3Ktfr&#10;DmBbOdC6W5XrdQewrRxo3a3K9boD2FYOtO5W5XrdAWwrB1p3q3K97gC2lQOtu1W5XncA28qB1t2q&#10;XK87gG3lQOtuVa7XHcC2cqB1tyrX6w5gWznQuluV63UHsK0caN2tyvW6AwAAAAAAAAAAAAAAAAAA&#10;AAAA4KD+F3Ooe+4rQhGvAAAAAElFTkSuQmCCUEsDBAoAAAAAAAAAIQB/RrBsbAMAAGwDAAAUAAAA&#10;ZHJzL21lZGlhL2ltYWdlMi5zdmc8c3ZnIHZpZXdCb3g9IjAgMCA5NiA5NiIgeG1sbnM9Imh0dHA6&#10;Ly93d3cudzMub3JnLzIwMDAvc3ZnIiB4bWxuczp4bGluaz0iaHR0cDovL3d3dy53My5vcmcvMTk5&#10;OS94bGluayIgaWQ9Ikljb25zX0NvbmZ1c2VkUGVyc29uIiBvdmVyZmxvdz0iaGlkZGVuIj48cGF0&#10;aCBkPSJNODEgMzguMzRDODAuNjM3NyAzNi4xNjE2IDc4LjU3ODYgMzQuNjg4OCA3Ni40IDM1LjA1&#10;TDY3LjY1IDM2LjUxQzY3LjY1IDM2LjUxIDY0IDI2LjgyIDY0IDI2LjczIDYyLjE0IDIxIDU0LjE2&#10;IDIxIDQ4IDIxIDQxLjg0IDIxIDMzLjkxIDIxIDMyLjA5IDI2LjczIDMyLjA5IDI2LjgyIDI4LjQx&#10;IDM2LjUxIDI4LjQxIDM2LjUxTDE5LjY2IDM1LjA1QzE3LjQ4NDYgMzQuNjY1MyAxNS40MDkzIDM2&#10;LjExNjkgMTUuMDI0NSAzOC4yOTIzIDE0LjYzOTggNDAuNDY3NyAxNi4wOTE1IDQyLjU0MzEgMTgu&#10;MjY2OSA0Mi45Mjc4IDE4LjI5MTIgNDIuOTMyMSAxOC4zMTU2IDQyLjkzNjEgMTguMzQgNDIuOTRM&#10;MzAuMzQgNDQuOTRDMzAuNTU3NyA0NC45Nzk4IDMwLjc3ODYgNDQuOTk5OSAzMSA0NSAzMi42NzAy&#10;IDQ1LjAwMTMgMzQuMTY1NCA0My45NjQ2IDM0Ljc1IDQyLjRMMzcuMjEgMzUuODEgMzggMzYuMTYg&#10;MzggOTMgNDYgOTMgNDYgNTcgNTAgNTcgNTAgOTMgNTggOTMgNTggMzYuMTdDNTguMjkgMzYuMDUg&#10;NTguNTcgMzUuOTMgNTguODQgMzUuOEw2MS4zMSA0Mi40QzYxLjg5MzMgNDMuOTYxMiA2My4zODM0&#10;IDQ0Ljk5NzEgNjUuMDUgNDUgNjUuMjcxNCA0NC45OTk5IDY1LjQ5MjMgNDQuOTc5OCA2NS43MSA0&#10;NC45NEw3Ny43MSA0Mi45NEM3OS44ODg1IDQyLjU3NzcgODEuMzYxMiA0MC41MTg2IDgxIDM4LjM0&#10;WiIvPjxjaXJjbGUgY3g9IjQ4IiBjeT0iMTEiIHI9IjgiLz48L3N2Zz5QSwMEFAAGAAgAAAAhAB6G&#10;UeDfAAAACQEAAA8AAABkcnMvZG93bnJldi54bWxMj0FLw0AUhO+C/2F5gje7SdSSxGxKKeqpCLaC&#10;eHvNviah2d2Q3Sbpv/d5ssdhhplvitVsOjHS4FtnFcSLCATZyunW1gq+9m8PKQgf0GrsnCUFF/Kw&#10;Km9vCsy1m+wnjbtQCy6xPkcFTQh9LqWvGjLoF64ny97RDQYDy6GWesCJy00nkyhaSoOt5YUGe9o0&#10;VJ12Z6PgfcJp/Ri/jtvTcXP52T9/fG9jUur+bl6/gAg0h/8w/OEzOpTMdHBnq73oFDxlccJRBQk/&#10;YD+Ll/ztwDpLU5BlIa8flL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DsEk0NwR8AAHumAAAOAAAAAAAAAAAAAAAAAEMCAABkcnMvZTJvRG9j&#10;LnhtbFBLAQItAAoAAAAAAAAAIQAB/e6vDBIAAAwSAAAUAAAAAAAAAAAAAAAAADAiAABkcnMvbWVk&#10;aWEvaW1hZ2UxLnBuZ1BLAQItAAoAAAAAAAAAIQB/RrBsbAMAAGwDAAAUAAAAAAAAAAAAAAAAAG40&#10;AABkcnMvbWVkaWEvaW1hZ2UyLnN2Z1BLAQItABQABgAIAAAAIQAehlHg3wAAAAkBAAAPAAAAAAAA&#10;AAAAAAAAAAw4AABkcnMvZG93bnJldi54bWxQSwECLQAUAAYACAAAACEAIlYO7scAAAClAQAAGQAA&#10;AAAAAAAAAAAAAAAYOQAAZHJzL19yZWxzL2Uyb0RvYy54bWwucmVsc1BLBQYAAAAABwAHAL4BAAAW&#10;OgAAAAA=&#10;">
                <v:shape id="Freeform: Shape 1455013217" o:spid="_x0000_s1027" style="position:absolute;left:15663;width:26577;height:21605;visibility:visible;mso-wrap-style:square;v-text-anchor:middle" coordsize="2657677,21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ktxwAAAOMAAAAPAAAAZHJzL2Rvd25yZXYueG1sRE9La8JA&#10;EL4X/A/LCL01m/gsqasEQfRUfCE9DtkxCc3OxuxWU399tyB4nO89s0VnanGl1lWWFSRRDII4t7ri&#10;QsHxsHp7B+E8ssbaMin4JQeLee9lhqm2N97Rde8LEULYpaig9L5JpXR5SQZdZBviwJ1ta9CHsy2k&#10;bvEWwk0tB3E8kQYrDg0lNrQsKf/e/xgFmyGd8WLxfjf159dp67P1dJUp9drvsg8Qnjr/FD/cGx3m&#10;j8bjOBkOkin8/xQAkPM/AAAA//8DAFBLAQItABQABgAIAAAAIQDb4fbL7gAAAIUBAAATAAAAAAAA&#10;AAAAAAAAAAAAAABbQ29udGVudF9UeXBlc10ueG1sUEsBAi0AFAAGAAgAAAAhAFr0LFu/AAAAFQEA&#10;AAsAAAAAAAAAAAAAAAAAHwEAAF9yZWxzLy5yZWxzUEsBAi0AFAAGAAgAAAAhAN+wCS3HAAAA4wAA&#10;AA8AAAAAAAAAAAAAAAAABwIAAGRycy9kb3ducmV2LnhtbFBLBQYAAAAAAwADALcAAAD7AgAAAAA=&#10;" path="m364067,254000r,c392289,251178,421661,253993,448733,245533v57039,-17825,38334,-38207,84667,-59267c552105,177764,572911,174977,592667,169333v11289,-8467,23026,-16366,33866,-25400c632665,138823,636825,131428,643467,127000v10501,-7001,22265,-11962,33866,-16934c766960,71654,738218,80164,812800,67733v14111,-5644,27539,-13452,42333,-16933c948970,28720,1008325,31000,1109133,25400v101321,-16888,7260,-2841,169334,-16934c1303927,6252,1329267,2822,1354667,v189089,5644,378341,7245,567266,16933c1953445,18549,1987285,18906,2015067,33866v13382,7206,10760,28446,16933,42334c2037126,87733,2043874,98503,2048933,110066v57647,131764,19428,63423,67734,143934c2148600,381739,2097795,188917,2142067,321733v4551,13652,4976,28372,8466,42333c2193541,536096,2142579,320789,2184400,474133v3786,13883,5645,28222,8467,42333c2195689,550333,2196527,584424,2201333,618066v3680,25758,11083,50847,16934,76200c2220884,705604,2224820,716655,2226733,728133v3741,22444,5808,45135,8467,67733c2238186,821247,2240053,846767,2243667,872066v2035,14246,6564,28069,8466,42334c2254184,929782,2262500,1033708,2269067,1058333v6213,23299,17160,45072,25400,67733c2305147,1155437,2304950,1158326,2311400,1193800v3071,16890,-530,36180,8467,50800c2334509,1268394,2354876,1290005,2379133,1303866v126283,72162,75362,53344,143934,76200c2542822,1402644,2563914,1424119,2582333,1447800v21150,27193,59267,84666,59267,84666c2653518,1592054,2670866,1660201,2641600,1718733v-10089,20178,-124160,32631,-143933,33867c2430007,1756829,2362200,1758244,2294467,1761066v-25400,2822,-50901,4853,-76200,8467c2204021,1771568,2190324,1778000,2175933,1778000v-214507,,-428977,-5645,-643466,-8467l1159933,1786466v-36746,1934,-73639,3263,-110066,8467c1026828,1798224,1004954,1807302,982133,1811866v-33667,6733,-68291,8607,-101600,16934c869244,1831622,858026,1834742,846667,1837266v-63019,14004,-70793,10065,-152400,33867c662555,1880382,631319,1891584,601133,1905000v-57600,25600,-152718,68051,-203200,118533c372533,2048933,341658,2069845,321733,2099733v-5644,8467,-9738,18205,-16933,25400c297605,2132328,288501,2137515,279400,2142066v-20844,10422,-56686,13682,-76200,16934c180622,2156178,149340,2168568,135467,2150533,87750,2088500,77280,2003984,33867,1938866l,1888066v727,-8728,5586,-113674,16933,-143933c20027,1735883,57809,1686810,59267,1684866v2822,-11289,3262,-23458,8466,-33866c71303,1643860,80239,1640708,84667,1634066v7001,-10501,11961,-22265,16933,-33866c114477,1570154,103757,1576517,127000,1549400v61593,-71859,11926,-955,50800,-59267c200051,1401131,166689,1502302,211667,1439333v8834,-12367,9393,-29137,16933,-42333c232560,1390069,241105,1386708,245533,1380066v7001,-10501,11289,-22577,16934,-33866c265289,1329267,264330,1311246,270933,1295400v7827,-18786,27431,-31493,33867,-50800l313267,1219200v-3615,-79519,-4075,-178885,-16934,-262467c294564,945232,290689,934155,287867,922866v-2822,-28222,-4949,-56522,-8467,-84666c277271,821166,270552,804563,270933,787400v2449,-110184,9263,-220256,16934,-330200c289959,427213,301363,416251,313267,389466v6173,-13888,10761,-28445,16933,-42333c335326,335599,343666,325402,347133,313266r16934,-59266xe" fillcolor="#a5a5a5 [2092]" stroked="f" strokeweight="2pt">
                  <v:path arrowok="t" o:connecttype="custom" o:connectlocs="364067,254000;364067,254000;448733,245533;533400,186266;592667,169333;626533,143933;643467,127000;677333,110066;812800,67733;855133,50800;1109133,25400;1278467,8466;1354667,0;1921933,16933;2015067,33866;2032000,76200;2048933,110066;2116667,254000;2142067,321733;2150533,364066;2184400,474133;2192867,516466;2201333,618066;2218267,694266;2226733,728133;2235200,795866;2243667,872066;2252133,914400;2269067,1058333;2294467,1126066;2311400,1193800;2319867,1244600;2379133,1303866;2523067,1380066;2582333,1447800;2641600,1532466;2641600,1718733;2497667,1752600;2294467,1761066;2218267,1769533;2175933,1778000;1532467,1769533;1159933,1786466;1049867,1794933;982133,1811866;880533,1828800;846667,1837266;694267,1871133;601133,1905000;397933,2023533;321733,2099733;304800,2125133;279400,2142066;203200,2159000;135467,2150533;33867,1938866;0,1888066;16933,1744133;59267,1684866;67733,1651000;84667,1634066;101600,1600200;127000,1549400;177800,1490133;211667,1439333;228600,1397000;245533,1380066;262467,1346200;270933,1295400;304800,1244600;313267,1219200;296333,956733;287867,922866;279400,838200;270933,787400;287867,457200;313267,389466;330200,347133;347133,313266;364067,254000" o:connectangles="0,0,0,0,0,0,0,0,0,0,0,0,0,0,0,0,0,0,0,0,0,0,0,0,0,0,0,0,0,0,0,0,0,0,0,0,0,0,0,0,0,0,0,0,0,0,0,0,0,0,0,0,0,0,0,0,0,0,0,0,0,0,0,0,0,0,0,0,0,0,0,0,0,0,0,0,0,0,0,0"/>
                </v:shape>
                <v:shape id="Freeform: Shape 198700124" o:spid="_x0000_s1028" style="position:absolute;top:84;width:19727;height:16691;visibility:visible;mso-wrap-style:square;v-text-anchor:middle" coordsize="1972733,16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XVxAAAAOIAAAAPAAAAZHJzL2Rvd25yZXYueG1sRE/dasIw&#10;FL4XfIdwhN2IJu2cdp1RZDDm5eZ8gENzbLs1JyWJWt9+GQy8/Pj+19vBduJCPrSONWRzBYK4cqbl&#10;WsPx621WgAgR2WDnmDTcKMB2Mx6tsTTuyp90OcRapBAOJWpoYuxLKUPVkMUwdz1x4k7OW4wJ+loa&#10;j9cUbjuZK7WUFltODQ329NpQ9XM4Ww2nLL5bO/3eu6L+yNk/FTf3WGn9MBl2LyAiDfEu/nfvTZr/&#10;XKyUyvIF/F1KGOTmFwAA//8DAFBLAQItABQABgAIAAAAIQDb4fbL7gAAAIUBAAATAAAAAAAAAAAA&#10;AAAAAAAAAABbQ29udGVudF9UeXBlc10ueG1sUEsBAi0AFAAGAAgAAAAhAFr0LFu/AAAAFQEAAAsA&#10;AAAAAAAAAAAAAAAAHwEAAF9yZWxzLy5yZWxzUEsBAi0AFAAGAAgAAAAhAHQIldXEAAAA4gAAAA8A&#10;AAAAAAAAAAAAAAAABwIAAGRycy9kb3ducmV2LnhtbFBLBQYAAAAAAwADALcAAAD4AgAAAAA=&#10;" path="m135467,143934r,c181891,403910,158332,303125,194733,448734v2822,28222,5335,56477,8467,84666c205713,556015,214489,578556,211667,601134v-8582,68653,-23326,136674,-42334,203200c165456,817902,151412,826234,143933,838200v-19174,30678,-30634,80126,-59266,101600l50800,965200v-8467,14111,-19776,26868,-25400,42334c19533,1023667,19543,1041367,16933,1058334,4798,1137214,14487,1093520,,1151467v2822,84667,1021,169614,8467,254000c9576,1418040,20428,1427733,25400,1439334v3516,8203,1129,20320,8467,25400c64999,1486287,100540,1500913,135467,1515534v86539,36226,174722,68400,262466,101600c414627,1623451,431063,1631543,448733,1634067v19756,2822,39582,5186,59267,8467c539124,1647721,569590,1658678,601133,1659467v307539,7688,615245,5645,922867,8467c1577622,1665112,1633926,1676447,1684867,1659467v23032,-7677,26651,-40734,42333,-59267c1742669,1581919,1762090,1567299,1778000,1549400v85414,-96092,-40511,32041,33867,-42333c1817511,1490134,1824471,1473583,1828800,1456267v4164,-16654,5396,-33910,8467,-50800c1854733,1309400,1837524,1428544,1854200,1278467v12445,-112001,13828,-75060,25400,-237067l1888067,922867v2822,-104422,4025,-208901,8466,-313267c1901622,490005,1927488,446355,1955800,304800v10217,-51084,3917,-28681,16933,-67733c1946156,205174,1865428,93607,1811867,76200,1722464,47144,1481859,15751,1371600,,1292140,2270,1017621,7999,905933,16934v-14345,1148,-27952,7943,-42333,8466c722554,30529,581378,31045,440267,33867l347133,50800v-28326,5311,-42796,6959,-67733,16934c160356,115352,267556,78375,186267,101600v-32759,9360,-42333,35278,-50800,42334xe" fillcolor="#bdd9e3" stroked="f" strokeweight="2pt">
                  <v:path arrowok="t" o:connecttype="custom" o:connectlocs="135467,143934;135467,143934;194733,448734;203200,533400;211667,601134;169333,804334;143933,838200;84667,939800;50800,965200;25400,1007534;16933,1058334;0,1151467;8467,1405467;25400,1439334;33867,1464734;135467,1515534;397933,1617134;448733,1634067;508000,1642534;601133,1659467;1524000,1667934;1684867,1659467;1727200,1600200;1778000,1549400;1811867,1507067;1828800,1456267;1837267,1405467;1854200,1278467;1879600,1041400;1888067,922867;1896533,609600;1955800,304800;1972733,237067;1811867,76200;1371600,0;905933,16934;863600,25400;440267,33867;347133,50800;279400,67734;186267,101600;135467,143934" o:connectangles="0,0,0,0,0,0,0,0,0,0,0,0,0,0,0,0,0,0,0,0,0,0,0,0,0,0,0,0,0,0,0,0,0,0,0,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5737028" o:spid="_x0000_s1029" type="#_x0000_t5" style="position:absolute;left:5587;top:10329;width:75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btygAAAOIAAAAPAAAAZHJzL2Rvd25yZXYueG1sRI/BbsIw&#10;DIbvk/YOkZF2Gymg0qkjoG0SGgcuFLaz1XhttcapmkALTz8fJnG0fv+f/a02o2vVhfrQeDYwmyag&#10;iEtvG64MnI7b5xdQISJbbD2TgSsF2KwfH1aYWz/wgS5FrJRAOORooI6xy7UOZU0Ow9R3xJL9+N5h&#10;lLGvtO1xELhr9TxJltphw3Khxo4+aip/i7MTync8fQ37vTsXt0O6zdz4eS3fjXmajG+voCKN8b78&#10;395ZA4s0zRZZMpefRUl0QK//AAAA//8DAFBLAQItABQABgAIAAAAIQDb4fbL7gAAAIUBAAATAAAA&#10;AAAAAAAAAAAAAAAAAABbQ29udGVudF9UeXBlc10ueG1sUEsBAi0AFAAGAAgAAAAhAFr0LFu/AAAA&#10;FQEAAAsAAAAAAAAAAAAAAAAAHwEAAF9yZWxzLy5yZWxzUEsBAi0AFAAGAAgAAAAhAMsJxu3KAAAA&#10;4gAAAA8AAAAAAAAAAAAAAAAABwIAAGRycy9kb3ducmV2LnhtbFBLBQYAAAAAAwADALcAAAD+AgAA&#10;AAA=&#10;" fillcolor="#77230c [1604]" stroked="f" strokeweight="2pt"/>
                <v:shape id="Isosceles Triangle 302446348" o:spid="_x0000_s1030" type="#_x0000_t5" style="position:absolute;left:29464;top:9821;width:7061;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75ygAAAOIAAAAPAAAAZHJzL2Rvd25yZXYueG1sRI/BbsIw&#10;DIbvk/YOkSftNtJBYagjoG0SggMXOsbZary2WuNUTaCFp8cHpB2t3/9nf4vV4Bp1pi7Ung28jhJQ&#10;xIW3NZcGDt/rlzmoEJEtNp7JwIUCrJaPDwvMrO95T+c8lkogHDI0UMXYZlqHoiKHYeRbYsl+fecw&#10;ytiV2nbYC9w1epwkM+2wZrlQYUtfFRV/+ckJ5RgPP/1u5075dT9dv7lhcyk+jXl+Gj7eQUUa4v/y&#10;vb21BibJOE1nk1R+FiXRAb28AQAA//8DAFBLAQItABQABgAIAAAAIQDb4fbL7gAAAIUBAAATAAAA&#10;AAAAAAAAAAAAAAAAAABbQ29udGVudF9UeXBlc10ueG1sUEsBAi0AFAAGAAgAAAAhAFr0LFu/AAAA&#10;FQEAAAsAAAAAAAAAAAAAAAAAHwEAAF9yZWxzLy5yZWxzUEsBAi0AFAAGAAgAAAAhAAoMfvnKAAAA&#10;4gAAAA8AAAAAAAAAAAAAAAAABwIAAGRycy9kb3ducmV2LnhtbFBLBQYAAAAAAwADALcAAAD+AgAA&#10;AAA=&#10;" fillcolor="#77230c [16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1" type="#_x0000_t75" alt="Confused person with solid fill" style="position:absolute;left:9736;top:134;width:7535;height:7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jRxAAAAOIAAAAPAAAAZHJzL2Rvd25yZXYueG1sRE89b8Iw&#10;EN0r9T9Yh8RWbBCkEDCoqoRgDc3AeMRHHBGfo9iF8O/xUKnj0/ve7AbXijv1ofGsYTpRIIgrbxqu&#10;NZQ/+48liBCRDbaeScOTAuy2728bzI1/cEH3U6xFCuGQowYbY5dLGSpLDsPEd8SJu/reYUywr6Xp&#10;8ZHCXStnSmXSYcOpwWJH35aq2+nXaZgVWXmR9lwWB1cN0V6P5UGetR6Phq81iEhD/Bf/uY9GwyJT&#10;q8+lmqfN6VK6A3L7AgAA//8DAFBLAQItABQABgAIAAAAIQDb4fbL7gAAAIUBAAATAAAAAAAAAAAA&#10;AAAAAAAAAABbQ29udGVudF9UeXBlc10ueG1sUEsBAi0AFAAGAAgAAAAhAFr0LFu/AAAAFQEAAAsA&#10;AAAAAAAAAAAAAAAAHwEAAF9yZWxzLy5yZWxzUEsBAi0AFAAGAAgAAAAhANOfSNHEAAAA4gAAAA8A&#10;AAAAAAAAAAAAAAAABwIAAGRycy9kb3ducmV2LnhtbFBLBQYAAAAAAwADALcAAAD4AgAAAAA=&#10;">
                  <v:imagedata r:id="rId16" o:title="Confused person with solid fill" grayscale="t" bilevel="t"/>
                </v:shape>
                <v:shape id="Graphic 9" o:spid="_x0000_s1032" type="#_x0000_t75" alt="Confused person with solid fill" style="position:absolute;left:25230;top:134;width:7535;height:7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uYxgAAAOIAAAAPAAAAZHJzL2Rvd25yZXYueG1sRI9Bi8Iw&#10;FITvgv8hPGFvmlikSNcoIohe6/bg8W3zbIrNS2my2v33G0HY4zAz3zCb3eg68aAhtJ41LBcKBHHt&#10;TcuNhurrOF+DCBHZYOeZNPxSgN12OtlgYfyTS3pcYiMShEOBGmyMfSFlqC05DAvfEyfv5geHMcmh&#10;kWbAZ4K7TmZK5dJhy2nBYk8HS/X98uM0ZGVefUt7rcqTq8dob+fqJK9af8zG/SeISGP8D7/bZ6Mh&#10;V9k6V8vVCl6X0h2Q2z8AAAD//wMAUEsBAi0AFAAGAAgAAAAhANvh9svuAAAAhQEAABMAAAAAAAAA&#10;AAAAAAAAAAAAAFtDb250ZW50X1R5cGVzXS54bWxQSwECLQAUAAYACAAAACEAWvQsW78AAAAVAQAA&#10;CwAAAAAAAAAAAAAAAAAfAQAAX3JlbHMvLnJlbHNQSwECLQAUAAYACAAAACEAK4irmMYAAADiAAAA&#10;DwAAAAAAAAAAAAAAAAAHAgAAZHJzL2Rvd25yZXYueG1sUEsFBgAAAAADAAMAtwAAAPoCAAAAAA==&#10;">
                  <v:imagedata r:id="rId16" o:title="Confused person with solid fill" grayscale="t" bilevel="t"/>
                </v:shape>
                <v:line id="Straight Connector 1221444560" o:spid="_x0000_s1033" style="position:absolute;visibility:visible;mso-wrap-style:square" from="15143,2729" to="32994,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GzywAAAOMAAAAPAAAAZHJzL2Rvd25yZXYueG1sRI9Pa8Mw&#10;DMXvg30Ho8EuY3UaslCyumUMVnbtHxi7qbHqpI3lNPba9NtPh8GOkp7ee7/5cvSdutAQ28AGppMM&#10;FHEdbMvOwG778TwDFROyxS4wGbhRhOXi/m6OlQ1XXtNlk5wSE44VGmhS6iutY92QxzgJPbHcDmHw&#10;mGQcnLYDXsXcdzrPslJ7bFkSGuzpvaH6tPnxBvbn9Yy+vp/4vB3TsXT71fHmVsY8Poxvr6ASjelf&#10;/Pf9aaV+nk+LongphUKYZAF68QsAAP//AwBQSwECLQAUAAYACAAAACEA2+H2y+4AAACFAQAAEwAA&#10;AAAAAAAAAAAAAAAAAAAAW0NvbnRlbnRfVHlwZXNdLnhtbFBLAQItABQABgAIAAAAIQBa9CxbvwAA&#10;ABUBAAALAAAAAAAAAAAAAAAAAB8BAABfcmVscy8ucmVsc1BLAQItABQABgAIAAAAIQBhcHGzywAA&#10;AOMAAAAPAAAAAAAAAAAAAAAAAAcCAABkcnMvZG93bnJldi54bWxQSwUGAAAAAAMAAwC3AAAA/wIA&#10;AAAA&#10;" strokecolor="#654b00 [1608]" strokeweight="1.25pt">
                  <v:shadow on="t" color="black" opacity="24903f" origin=",.5" offset="0,.55556mm"/>
                  <o:lock v:ext="edit" shapetype="f"/>
                </v:line>
                <v:line id="Straight Connector 1884800480" o:spid="_x0000_s1034" style="position:absolute;visibility:visible;mso-wrap-style:square" from="29463,2729" to="32765,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RyAAAAOMAAAAPAAAAZHJzL2Rvd25yZXYueG1sRE/BagIx&#10;EL0L/YcwhV6kJpYiYWuUUlC8qoXS27gZs6ubybqJuv59Iwg9vMPMm/fevOm89424UBfrwAbGIwWC&#10;uAy2Zmfge7t41SBiQrbYBCYDN4ownz0NpljYcOU1XTbJiWzCsUADVUptIWUsK/IYR6Elztw+dB5T&#10;HjsnbYfXbO4b+abURHqsOSdU2NJXReVxc/YGdqe1pp/fIZ+2fTpM3G55uLmlMS/P/ecHiER9+j9+&#10;qFc2v6/1u1YqA+6d8gLk7A8AAP//AwBQSwECLQAUAAYACAAAACEA2+H2y+4AAACFAQAAEwAAAAAA&#10;AAAAAAAAAAAAAAAAW0NvbnRlbnRfVHlwZXNdLnhtbFBLAQItABQABgAIAAAAIQBa9CxbvwAAABUB&#10;AAALAAAAAAAAAAAAAAAAAB8BAABfcmVscy8ucmVsc1BLAQItABQABgAIAAAAIQC/BjfRyAAAAOMA&#10;AAAPAAAAAAAAAAAAAAAAAAcCAABkcnMvZG93bnJldi54bWxQSwUGAAAAAAMAAwC3AAAA/AIAAAAA&#10;" strokecolor="#654b00 [1608]" strokeweight="1.25pt">
                  <v:shadow on="t" color="black" opacity="24903f" origin=",.5" offset="0,.55556mm"/>
                  <o:lock v:ext="edit" shapetype="f"/>
                </v:line>
                <v:line id="Straight Connector 1097726461" o:spid="_x0000_s1035" style="position:absolute;flip:x;visibility:visible;mso-wrap-style:square" from="9355,3902" to="28598,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xkxgAAAOMAAAAPAAAAZHJzL2Rvd25yZXYueG1sRE/NasJA&#10;EL4XfIdlBC9FNwklpqmrqCB4Ehp9gDE7TUKzsyG7avL2bkHocb7/WW0G04o79a6xrCBeRCCIS6sb&#10;rhRczod5BsJ5ZI2tZVIwkoPNevK2wlzbB3/TvfCVCCHsclRQe9/lUrqyJoNuYTviwP3Y3qAPZ19J&#10;3eMjhJtWJlGUSoMNh4YaO9rXVP4WN6NAXi/JmNF7Kg9t7G7FbiyyU6PUbDpsv0B4Gvy/+OU+6jA/&#10;+lwuk/QjjeHvpwCAXD8BAAD//wMAUEsBAi0AFAAGAAgAAAAhANvh9svuAAAAhQEAABMAAAAAAAAA&#10;AAAAAAAAAAAAAFtDb250ZW50X1R5cGVzXS54bWxQSwECLQAUAAYACAAAACEAWvQsW78AAAAVAQAA&#10;CwAAAAAAAAAAAAAAAAAfAQAAX3JlbHMvLnJlbHNQSwECLQAUAAYACAAAACEAV8X8ZMYAAADjAAAA&#10;DwAAAAAAAAAAAAAAAAAHAgAAZHJzL2Rvd25yZXYueG1sUEsFBgAAAAADAAMAtwAAAPoCAAAAAA==&#10;" strokecolor="#654b00 [1608]" strokeweight="1.25pt">
                  <v:shadow on="t" color="black" opacity="24903f" origin=",.5" offset="0,.55556mm"/>
                  <o:lock v:ext="edit" shapetype="f"/>
                </v:line>
                <v:line id="Straight Connector 855308123" o:spid="_x0000_s1036" style="position:absolute;flip:x;visibility:visible;mso-wrap-style:square" from="9355,2729" to="12816,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ULyAAAAOIAAAAPAAAAZHJzL2Rvd25yZXYueG1sRI/RasJA&#10;FETfC/2H5Rb6UuomEWWJrlIFwSfB6AfcZq9JaPZuyK6a/H1XEHwcZuYMs1wPthU36n3jWEM6SUAQ&#10;l840XGk4n3bfCoQPyAZbx6RhJA/r1fvbEnPj7nykWxEqESHsc9RQh9DlUvqyJot+4jri6F1cbzFE&#10;2VfS9HiPcNvKLEnm0mLDcaHGjrY1lX/F1WqQv+dsVPQ1l7s29ddiMxbq0Gj9+TH8LEAEGsIr/Gzv&#10;jQY1m00TlWZTeFyKd0Cu/gEAAP//AwBQSwECLQAUAAYACAAAACEA2+H2y+4AAACFAQAAEwAAAAAA&#10;AAAAAAAAAAAAAAAAW0NvbnRlbnRfVHlwZXNdLnhtbFBLAQItABQABgAIAAAAIQBa9CxbvwAAABUB&#10;AAALAAAAAAAAAAAAAAAAAB8BAABfcmVscy8ucmVsc1BLAQItABQABgAIAAAAIQBqgzULyAAAAOIA&#10;AAAPAAAAAAAAAAAAAAAAAAcCAABkcnMvZG93bnJldi54bWxQSwUGAAAAAAMAAwC3AAAA/AIAAAAA&#10;" strokecolor="#654b00 [1608]" strokeweight="1.25pt">
                  <v:shadow on="t" color="black" opacity="24903f" origin=",.5" offset="0,.55556mm"/>
                  <o:lock v:ext="edit" shapetype="f"/>
                </v:line>
                <w10:wrap type="square" anchorx="margin"/>
              </v:group>
            </w:pict>
          </mc:Fallback>
        </mc:AlternateContent>
      </w:r>
      <w:r>
        <w:t>This example shows the unexpected result for individual partners with income and loss from different partnerships in different states.</w:t>
      </w:r>
    </w:p>
    <w:p w14:paraId="10548A7D" w14:textId="556BAEBE" w:rsidR="008A550B" w:rsidRDefault="003F514A" w:rsidP="00E10036">
      <w:pPr>
        <w:pStyle w:val="ListParagraph"/>
        <w:numPr>
          <w:ilvl w:val="0"/>
          <w:numId w:val="14"/>
        </w:numPr>
        <w:spacing w:after="120"/>
        <w:ind w:left="1080"/>
        <w:contextualSpacing w:val="0"/>
      </w:pPr>
      <w:r>
        <w:t xml:space="preserve">Smith, </w:t>
      </w:r>
      <w:r w:rsidR="00597F66">
        <w:t xml:space="preserve">a </w:t>
      </w:r>
      <w:r>
        <w:t xml:space="preserve">resident </w:t>
      </w:r>
      <w:r w:rsidR="00923AAF">
        <w:t>of</w:t>
      </w:r>
      <w:r>
        <w:t xml:space="preserve"> State A, and Jones, </w:t>
      </w:r>
      <w:r w:rsidR="00597F66">
        <w:t xml:space="preserve">a </w:t>
      </w:r>
      <w:r>
        <w:t xml:space="preserve">resident </w:t>
      </w:r>
      <w:r w:rsidR="00923AAF">
        <w:t>of</w:t>
      </w:r>
      <w:r>
        <w:t xml:space="preserve"> State B, are separately engaged in similar businesses. </w:t>
      </w:r>
    </w:p>
    <w:p w14:paraId="60662D1F" w14:textId="77777777" w:rsidR="00FB4185" w:rsidRDefault="008A550B" w:rsidP="00E10036">
      <w:pPr>
        <w:pStyle w:val="ListParagraph"/>
        <w:numPr>
          <w:ilvl w:val="0"/>
          <w:numId w:val="14"/>
        </w:numPr>
        <w:spacing w:after="120"/>
        <w:ind w:left="1080"/>
        <w:contextualSpacing w:val="0"/>
      </w:pPr>
      <w:r>
        <w:t>Smith and Jones</w:t>
      </w:r>
      <w:r w:rsidR="003F514A">
        <w:t xml:space="preserve"> </w:t>
      </w:r>
      <w:r w:rsidR="006C4D2E">
        <w:t xml:space="preserve">combine </w:t>
      </w:r>
      <w:r w:rsidR="003F514A">
        <w:t>their businesses</w:t>
      </w:r>
      <w:r w:rsidR="009142E7">
        <w:t>—in which they will have equal ownership and shares of income</w:t>
      </w:r>
      <w:r w:rsidR="00E14CF5">
        <w:t xml:space="preserve">. </w:t>
      </w:r>
      <w:r w:rsidR="0001715E">
        <w:t xml:space="preserve"> </w:t>
      </w:r>
      <w:r w:rsidR="00E14CF5">
        <w:t>B</w:t>
      </w:r>
      <w:r w:rsidR="00923AAF">
        <w:t xml:space="preserve">ut </w:t>
      </w:r>
      <w:r w:rsidR="0001715E">
        <w:t xml:space="preserve">for </w:t>
      </w:r>
      <w:r w:rsidR="00E14CF5">
        <w:t xml:space="preserve">state </w:t>
      </w:r>
      <w:r w:rsidR="0001715E">
        <w:t>regulatory reasons</w:t>
      </w:r>
      <w:r w:rsidR="00E14CF5">
        <w:t>, they</w:t>
      </w:r>
      <w:r w:rsidR="0001715E">
        <w:t xml:space="preserve"> </w:t>
      </w:r>
      <w:r w:rsidR="003F514A">
        <w:t>creat</w:t>
      </w:r>
      <w:r w:rsidR="0001715E">
        <w:t>e</w:t>
      </w:r>
      <w:r w:rsidR="003F514A">
        <w:t xml:space="preserve"> two</w:t>
      </w:r>
      <w:r w:rsidR="00080585">
        <w:t xml:space="preserve"> separate</w:t>
      </w:r>
      <w:r w:rsidR="003F514A">
        <w:t xml:space="preserve"> partnerships</w:t>
      </w:r>
      <w:r w:rsidR="009142E7">
        <w:t xml:space="preserve">: </w:t>
      </w:r>
    </w:p>
    <w:p w14:paraId="566623AE" w14:textId="77777777" w:rsidR="00FB4185" w:rsidRDefault="00922451" w:rsidP="00E10036">
      <w:pPr>
        <w:pStyle w:val="ListParagraph"/>
        <w:numPr>
          <w:ilvl w:val="1"/>
          <w:numId w:val="14"/>
        </w:numPr>
        <w:spacing w:after="40"/>
        <w:ind w:left="1800"/>
        <w:contextualSpacing w:val="0"/>
      </w:pPr>
      <w:r>
        <w:t>P</w:t>
      </w:r>
      <w:r w:rsidR="003F514A">
        <w:t xml:space="preserve">1 operating </w:t>
      </w:r>
      <w:r w:rsidR="009142E7">
        <w:t xml:space="preserve">entirely </w:t>
      </w:r>
      <w:r w:rsidR="003F514A">
        <w:t>in State A</w:t>
      </w:r>
    </w:p>
    <w:p w14:paraId="7CDFCD1F" w14:textId="01954434" w:rsidR="00FB4185" w:rsidRDefault="003F514A" w:rsidP="00E10036">
      <w:pPr>
        <w:pStyle w:val="ListParagraph"/>
        <w:numPr>
          <w:ilvl w:val="1"/>
          <w:numId w:val="14"/>
        </w:numPr>
        <w:spacing w:after="120"/>
        <w:ind w:left="1800"/>
        <w:contextualSpacing w:val="0"/>
      </w:pPr>
      <w:r>
        <w:t xml:space="preserve">P2 operating in </w:t>
      </w:r>
      <w:r w:rsidR="009142E7">
        <w:t xml:space="preserve">entirely </w:t>
      </w:r>
      <w:r>
        <w:t>State B</w:t>
      </w:r>
      <w:r w:rsidR="009142E7">
        <w:t>.</w:t>
      </w:r>
    </w:p>
    <w:p w14:paraId="0B1AD80A" w14:textId="77777777" w:rsidR="00FB4185" w:rsidRDefault="009142E7" w:rsidP="00E10036">
      <w:pPr>
        <w:pStyle w:val="ListParagraph"/>
        <w:numPr>
          <w:ilvl w:val="0"/>
          <w:numId w:val="14"/>
        </w:numPr>
        <w:spacing w:after="120"/>
        <w:ind w:left="1080"/>
        <w:contextualSpacing w:val="0"/>
      </w:pPr>
      <w:r>
        <w:t xml:space="preserve">States A and B </w:t>
      </w:r>
      <w:r w:rsidR="00895816">
        <w:t>apply the following sourcing rules:</w:t>
      </w:r>
    </w:p>
    <w:p w14:paraId="3B61316D" w14:textId="1396612E" w:rsidR="00FB4185" w:rsidRDefault="00895816" w:rsidP="00E10036">
      <w:pPr>
        <w:pStyle w:val="ListParagraph"/>
        <w:numPr>
          <w:ilvl w:val="1"/>
          <w:numId w:val="14"/>
        </w:numPr>
        <w:spacing w:after="40"/>
        <w:ind w:left="1800"/>
        <w:contextualSpacing w:val="0"/>
      </w:pPr>
      <w:r>
        <w:t xml:space="preserve">Residents </w:t>
      </w:r>
      <w:r w:rsidR="00685924">
        <w:t xml:space="preserve">- </w:t>
      </w:r>
      <w:r>
        <w:t xml:space="preserve">source </w:t>
      </w:r>
      <w:r w:rsidR="00080585">
        <w:t xml:space="preserve">100% of </w:t>
      </w:r>
      <w:r>
        <w:t>their income</w:t>
      </w:r>
      <w:r w:rsidR="00080585">
        <w:t xml:space="preserve"> </w:t>
      </w:r>
      <w:r>
        <w:t xml:space="preserve">to the state and receive </w:t>
      </w:r>
      <w:r w:rsidR="00080585">
        <w:t>a credit for taxes paid</w:t>
      </w:r>
      <w:r w:rsidR="00685924">
        <w:t>.</w:t>
      </w:r>
    </w:p>
    <w:p w14:paraId="787548FC" w14:textId="77777777" w:rsidR="00FB4185" w:rsidRDefault="00685924" w:rsidP="00E10036">
      <w:pPr>
        <w:pStyle w:val="ListParagraph"/>
        <w:numPr>
          <w:ilvl w:val="1"/>
          <w:numId w:val="14"/>
        </w:numPr>
        <w:spacing w:after="120"/>
        <w:ind w:left="1800"/>
        <w:contextualSpacing w:val="0"/>
      </w:pPr>
      <w:r>
        <w:t>N</w:t>
      </w:r>
      <w:r w:rsidR="00895816">
        <w:t xml:space="preserve">onresidents </w:t>
      </w:r>
      <w:r>
        <w:t xml:space="preserve">- </w:t>
      </w:r>
      <w:r w:rsidR="009142E7">
        <w:t xml:space="preserve">partnership business income </w:t>
      </w:r>
      <w:bookmarkStart w:id="25" w:name="_Hlk193817844"/>
      <w:r w:rsidR="009142E7">
        <w:t xml:space="preserve">(loss) </w:t>
      </w:r>
      <w:r>
        <w:t xml:space="preserve">is apportioned </w:t>
      </w:r>
      <w:r w:rsidR="009142E7">
        <w:t>at the entity level</w:t>
      </w:r>
      <w:r>
        <w:t xml:space="preserve"> and this source is attributed to direct and indirect</w:t>
      </w:r>
      <w:r w:rsidR="00080585">
        <w:t xml:space="preserve"> </w:t>
      </w:r>
      <w:r w:rsidR="009142E7">
        <w:t>partners’ share</w:t>
      </w:r>
      <w:r w:rsidR="0005547E">
        <w:t>s</w:t>
      </w:r>
      <w:bookmarkEnd w:id="25"/>
      <w:r w:rsidR="009142E7">
        <w:t xml:space="preserve">. </w:t>
      </w:r>
    </w:p>
    <w:p w14:paraId="07309A8C" w14:textId="77777777" w:rsidR="00FB4185" w:rsidRDefault="00685924" w:rsidP="00E10036">
      <w:pPr>
        <w:pStyle w:val="ListParagraph"/>
        <w:numPr>
          <w:ilvl w:val="0"/>
          <w:numId w:val="14"/>
        </w:numPr>
        <w:spacing w:after="120"/>
        <w:ind w:left="1080"/>
        <w:contextualSpacing w:val="0"/>
      </w:pPr>
      <w:r>
        <w:t xml:space="preserve">Apportioned at the partnership level: </w:t>
      </w:r>
    </w:p>
    <w:p w14:paraId="19AAD882" w14:textId="77777777" w:rsidR="00FB4185" w:rsidRDefault="00922451" w:rsidP="00E10036">
      <w:pPr>
        <w:pStyle w:val="ListParagraph"/>
        <w:numPr>
          <w:ilvl w:val="1"/>
          <w:numId w:val="14"/>
        </w:numPr>
        <w:spacing w:after="40"/>
        <w:ind w:left="1800"/>
        <w:contextualSpacing w:val="0"/>
      </w:pPr>
      <w:r>
        <w:t>P</w:t>
      </w:r>
      <w:r w:rsidR="0001715E">
        <w:t>1</w:t>
      </w:r>
      <w:r w:rsidR="008A550B">
        <w:t xml:space="preserve"> has</w:t>
      </w:r>
      <w:r w:rsidR="0001715E">
        <w:t xml:space="preserve"> $100,000 of net income </w:t>
      </w:r>
      <w:r w:rsidR="009142E7">
        <w:t xml:space="preserve">apportioned entirely to State A </w:t>
      </w:r>
    </w:p>
    <w:p w14:paraId="53C75317" w14:textId="77777777" w:rsidR="00FB4185" w:rsidRDefault="00922451" w:rsidP="00E10036">
      <w:pPr>
        <w:pStyle w:val="ListParagraph"/>
        <w:numPr>
          <w:ilvl w:val="1"/>
          <w:numId w:val="14"/>
        </w:numPr>
        <w:spacing w:after="120"/>
        <w:ind w:left="1800"/>
        <w:contextualSpacing w:val="0"/>
      </w:pPr>
      <w:r>
        <w:t>P</w:t>
      </w:r>
      <w:r w:rsidR="0001715E">
        <w:t>2 has $100,000 of net loss</w:t>
      </w:r>
      <w:r w:rsidR="009142E7">
        <w:t xml:space="preserve"> apportioned entirely to State B.</w:t>
      </w:r>
    </w:p>
    <w:p w14:paraId="2A0E51E5" w14:textId="77777777" w:rsidR="00FB4185" w:rsidRDefault="00685924" w:rsidP="00E10036">
      <w:pPr>
        <w:pStyle w:val="ListParagraph"/>
        <w:numPr>
          <w:ilvl w:val="0"/>
          <w:numId w:val="14"/>
        </w:numPr>
        <w:spacing w:after="120"/>
        <w:ind w:left="1080"/>
        <w:contextualSpacing w:val="0"/>
      </w:pPr>
      <w:r>
        <w:t>S</w:t>
      </w:r>
      <w:r w:rsidR="00E14CF5">
        <w:t>ourcing</w:t>
      </w:r>
      <w:r w:rsidR="009142E7">
        <w:t xml:space="preserve"> </w:t>
      </w:r>
      <w:r>
        <w:t>r</w:t>
      </w:r>
      <w:r w:rsidR="009142E7">
        <w:t>esult</w:t>
      </w:r>
      <w:r>
        <w:t xml:space="preserve"> for partners</w:t>
      </w:r>
      <w:r w:rsidR="00922451">
        <w:t xml:space="preserve">: </w:t>
      </w:r>
    </w:p>
    <w:p w14:paraId="12FCAE0E" w14:textId="77777777" w:rsidR="00FB4185" w:rsidRDefault="00405FD1" w:rsidP="00E10036">
      <w:pPr>
        <w:pStyle w:val="ListParagraph"/>
        <w:numPr>
          <w:ilvl w:val="1"/>
          <w:numId w:val="14"/>
        </w:numPr>
        <w:spacing w:after="120"/>
        <w:ind w:left="1800"/>
        <w:contextualSpacing w:val="0"/>
      </w:pPr>
      <w:r>
        <w:t xml:space="preserve">Federal </w:t>
      </w:r>
      <w:r w:rsidR="00685924">
        <w:t xml:space="preserve">tax </w:t>
      </w:r>
      <w:r>
        <w:t xml:space="preserve">and </w:t>
      </w:r>
      <w:r w:rsidR="009142E7">
        <w:t xml:space="preserve">resident </w:t>
      </w:r>
      <w:r>
        <w:t>state</w:t>
      </w:r>
      <w:r w:rsidR="00F571EB">
        <w:t>s</w:t>
      </w:r>
      <w:r w:rsidR="00685924">
        <w:t xml:space="preserve"> returns</w:t>
      </w:r>
      <w:r>
        <w:t xml:space="preserve"> – </w:t>
      </w:r>
    </w:p>
    <w:p w14:paraId="2DA845B4" w14:textId="77777777" w:rsidR="00FB4185" w:rsidRDefault="00405FD1" w:rsidP="00E10036">
      <w:pPr>
        <w:pStyle w:val="ListParagraph"/>
        <w:numPr>
          <w:ilvl w:val="1"/>
          <w:numId w:val="43"/>
        </w:numPr>
        <w:spacing w:after="120"/>
        <w:ind w:left="2520"/>
        <w:contextualSpacing w:val="0"/>
      </w:pPr>
      <w:r>
        <w:t xml:space="preserve">Smith and Jones will </w:t>
      </w:r>
      <w:r w:rsidR="00F571EB">
        <w:t xml:space="preserve">both </w:t>
      </w:r>
      <w:r w:rsidR="00E14CF5">
        <w:t xml:space="preserve">report their shares of both P1 income and P2 loss, offsetting those amounts for </w:t>
      </w:r>
      <w:r w:rsidR="009142E7">
        <w:t>$0 net partnership income.</w:t>
      </w:r>
    </w:p>
    <w:p w14:paraId="070CD629" w14:textId="77777777" w:rsidR="00FB4185" w:rsidRDefault="00405FD1" w:rsidP="00E10036">
      <w:pPr>
        <w:pStyle w:val="ListParagraph"/>
        <w:numPr>
          <w:ilvl w:val="0"/>
          <w:numId w:val="43"/>
        </w:numPr>
        <w:spacing w:after="120"/>
        <w:ind w:left="1800"/>
        <w:contextualSpacing w:val="0"/>
      </w:pPr>
      <w:r>
        <w:t>Nonreside</w:t>
      </w:r>
      <w:r w:rsidR="009142E7">
        <w:t>nt state</w:t>
      </w:r>
      <w:r w:rsidR="00F571EB">
        <w:t>s</w:t>
      </w:r>
      <w:r w:rsidR="00685924">
        <w:t xml:space="preserve"> returns</w:t>
      </w:r>
      <w:r w:rsidR="00F571EB">
        <w:t xml:space="preserve"> –</w:t>
      </w:r>
    </w:p>
    <w:p w14:paraId="15531D11" w14:textId="77777777" w:rsidR="00FB4185" w:rsidRDefault="00405FD1" w:rsidP="00E10036">
      <w:pPr>
        <w:pStyle w:val="ListParagraph"/>
        <w:numPr>
          <w:ilvl w:val="2"/>
          <w:numId w:val="43"/>
        </w:numPr>
        <w:spacing w:after="40"/>
        <w:contextualSpacing w:val="0"/>
      </w:pPr>
      <w:r>
        <w:t>Smith</w:t>
      </w:r>
      <w:r w:rsidR="009142E7">
        <w:t>, as a nonresident,</w:t>
      </w:r>
      <w:r>
        <w:t xml:space="preserve"> will report $50,000 of loss </w:t>
      </w:r>
      <w:r w:rsidR="009142E7">
        <w:t>to</w:t>
      </w:r>
      <w:r>
        <w:t xml:space="preserve"> State B</w:t>
      </w:r>
      <w:r w:rsidR="009142E7">
        <w:t>.</w:t>
      </w:r>
      <w:r>
        <w:t xml:space="preserve"> </w:t>
      </w:r>
    </w:p>
    <w:p w14:paraId="0F8DC0A9" w14:textId="3681A44D" w:rsidR="00315612" w:rsidRDefault="00405FD1" w:rsidP="00E10036">
      <w:pPr>
        <w:pStyle w:val="ListParagraph"/>
        <w:numPr>
          <w:ilvl w:val="1"/>
          <w:numId w:val="43"/>
        </w:numPr>
        <w:spacing w:after="120"/>
        <w:ind w:left="2520"/>
        <w:contextualSpacing w:val="0"/>
      </w:pPr>
      <w:r>
        <w:t>Jones</w:t>
      </w:r>
      <w:r w:rsidR="009142E7">
        <w:t>, as a nonresident,</w:t>
      </w:r>
      <w:r>
        <w:t xml:space="preserve"> will report $50,000 of income in State A</w:t>
      </w:r>
      <w:r w:rsidR="009142E7">
        <w:t xml:space="preserve">. </w:t>
      </w:r>
    </w:p>
    <w:p w14:paraId="6BD4C38E" w14:textId="2D9BC249" w:rsidR="00907459" w:rsidRDefault="00907459">
      <w:pPr>
        <w:spacing w:line="276" w:lineRule="auto"/>
        <w:jc w:val="left"/>
      </w:pPr>
      <w:r>
        <w:br w:type="page"/>
      </w:r>
    </w:p>
    <w:p w14:paraId="396255B9" w14:textId="4305835C" w:rsidR="008A550B" w:rsidRDefault="00907459" w:rsidP="00B22D31">
      <w:pPr>
        <w:pStyle w:val="Heading4"/>
        <w:ind w:left="720"/>
      </w:pPr>
      <w:r>
        <w:rPr>
          <w:noProof/>
        </w:rPr>
        <w:lastRenderedPageBreak/>
        <mc:AlternateContent>
          <mc:Choice Requires="wpg">
            <w:drawing>
              <wp:anchor distT="0" distB="0" distL="114300" distR="114300" simplePos="0" relativeHeight="251657728" behindDoc="0" locked="0" layoutInCell="1" allowOverlap="1" wp14:anchorId="66D9644B" wp14:editId="57B22A01">
                <wp:simplePos x="0" y="0"/>
                <wp:positionH relativeFrom="margin">
                  <wp:posOffset>3501390</wp:posOffset>
                </wp:positionH>
                <wp:positionV relativeFrom="paragraph">
                  <wp:posOffset>67310</wp:posOffset>
                </wp:positionV>
                <wp:extent cx="2076450" cy="1498600"/>
                <wp:effectExtent l="0" t="0" r="0" b="6350"/>
                <wp:wrapSquare wrapText="bothSides"/>
                <wp:docPr id="32" name="Group 31">
                  <a:extLst xmlns:a="http://schemas.openxmlformats.org/drawingml/2006/main">
                    <a:ext uri="{FF2B5EF4-FFF2-40B4-BE49-F238E27FC236}">
                      <a16:creationId xmlns:a16="http://schemas.microsoft.com/office/drawing/2014/main" id="{D4832D28-700E-1933-D989-E41E454A4A4A}"/>
                    </a:ext>
                  </a:extLst>
                </wp:docPr>
                <wp:cNvGraphicFramePr/>
                <a:graphic xmlns:a="http://schemas.openxmlformats.org/drawingml/2006/main">
                  <a:graphicData uri="http://schemas.microsoft.com/office/word/2010/wordprocessingGroup">
                    <wpg:wgp>
                      <wpg:cNvGrpSpPr/>
                      <wpg:grpSpPr>
                        <a:xfrm>
                          <a:off x="0" y="0"/>
                          <a:ext cx="2076450" cy="1498600"/>
                          <a:chOff x="0" y="0"/>
                          <a:chExt cx="2831247" cy="1735667"/>
                        </a:xfrm>
                      </wpg:grpSpPr>
                      <wpg:grpSp>
                        <wpg:cNvPr id="853439978" name="Group 853439978">
                          <a:extLst>
                            <a:ext uri="{FF2B5EF4-FFF2-40B4-BE49-F238E27FC236}">
                              <a16:creationId xmlns:a16="http://schemas.microsoft.com/office/drawing/2014/main" id="{D6B1602A-541E-1252-F5EE-0CB5A01B1940}"/>
                            </a:ext>
                          </a:extLst>
                        </wpg:cNvPr>
                        <wpg:cNvGrpSpPr/>
                        <wpg:grpSpPr>
                          <a:xfrm>
                            <a:off x="0" y="0"/>
                            <a:ext cx="2831247" cy="1735667"/>
                            <a:chOff x="0" y="0"/>
                            <a:chExt cx="2831247" cy="1735667"/>
                          </a:xfrm>
                        </wpg:grpSpPr>
                        <wps:wsp>
                          <wps:cNvPr id="1013487654" name="Freeform: Shape 1013487654">
                            <a:extLst>
                              <a:ext uri="{FF2B5EF4-FFF2-40B4-BE49-F238E27FC236}">
                                <a16:creationId xmlns:a16="http://schemas.microsoft.com/office/drawing/2014/main" id="{8858C84E-1043-FA32-58E3-87DF4BC709C6}"/>
                              </a:ext>
                            </a:extLst>
                          </wps:cNvPr>
                          <wps:cNvSpPr/>
                          <wps:spPr>
                            <a:xfrm>
                              <a:off x="0" y="0"/>
                              <a:ext cx="1972733" cy="1669059"/>
                            </a:xfrm>
                            <a:custGeom>
                              <a:avLst/>
                              <a:gdLst>
                                <a:gd name="connsiteX0" fmla="*/ 135467 w 1972733"/>
                                <a:gd name="connsiteY0" fmla="*/ 143934 h 1669059"/>
                                <a:gd name="connsiteX1" fmla="*/ 135467 w 1972733"/>
                                <a:gd name="connsiteY1" fmla="*/ 143934 h 1669059"/>
                                <a:gd name="connsiteX2" fmla="*/ 194733 w 1972733"/>
                                <a:gd name="connsiteY2" fmla="*/ 448734 h 1669059"/>
                                <a:gd name="connsiteX3" fmla="*/ 203200 w 1972733"/>
                                <a:gd name="connsiteY3" fmla="*/ 533400 h 1669059"/>
                                <a:gd name="connsiteX4" fmla="*/ 211667 w 1972733"/>
                                <a:gd name="connsiteY4" fmla="*/ 601134 h 1669059"/>
                                <a:gd name="connsiteX5" fmla="*/ 169333 w 1972733"/>
                                <a:gd name="connsiteY5" fmla="*/ 804334 h 1669059"/>
                                <a:gd name="connsiteX6" fmla="*/ 143933 w 1972733"/>
                                <a:gd name="connsiteY6" fmla="*/ 838200 h 1669059"/>
                                <a:gd name="connsiteX7" fmla="*/ 84667 w 1972733"/>
                                <a:gd name="connsiteY7" fmla="*/ 939800 h 1669059"/>
                                <a:gd name="connsiteX8" fmla="*/ 50800 w 1972733"/>
                                <a:gd name="connsiteY8" fmla="*/ 965200 h 1669059"/>
                                <a:gd name="connsiteX9" fmla="*/ 25400 w 1972733"/>
                                <a:gd name="connsiteY9" fmla="*/ 1007534 h 1669059"/>
                                <a:gd name="connsiteX10" fmla="*/ 16933 w 1972733"/>
                                <a:gd name="connsiteY10" fmla="*/ 1058334 h 1669059"/>
                                <a:gd name="connsiteX11" fmla="*/ 0 w 1972733"/>
                                <a:gd name="connsiteY11" fmla="*/ 1151467 h 1669059"/>
                                <a:gd name="connsiteX12" fmla="*/ 8467 w 1972733"/>
                                <a:gd name="connsiteY12" fmla="*/ 1405467 h 1669059"/>
                                <a:gd name="connsiteX13" fmla="*/ 25400 w 1972733"/>
                                <a:gd name="connsiteY13" fmla="*/ 1439334 h 1669059"/>
                                <a:gd name="connsiteX14" fmla="*/ 33867 w 1972733"/>
                                <a:gd name="connsiteY14" fmla="*/ 1464734 h 1669059"/>
                                <a:gd name="connsiteX15" fmla="*/ 135467 w 1972733"/>
                                <a:gd name="connsiteY15" fmla="*/ 1515534 h 1669059"/>
                                <a:gd name="connsiteX16" fmla="*/ 397933 w 1972733"/>
                                <a:gd name="connsiteY16" fmla="*/ 1617134 h 1669059"/>
                                <a:gd name="connsiteX17" fmla="*/ 448733 w 1972733"/>
                                <a:gd name="connsiteY17" fmla="*/ 1634067 h 1669059"/>
                                <a:gd name="connsiteX18" fmla="*/ 508000 w 1972733"/>
                                <a:gd name="connsiteY18" fmla="*/ 1642534 h 1669059"/>
                                <a:gd name="connsiteX19" fmla="*/ 601133 w 1972733"/>
                                <a:gd name="connsiteY19" fmla="*/ 1659467 h 1669059"/>
                                <a:gd name="connsiteX20" fmla="*/ 1524000 w 1972733"/>
                                <a:gd name="connsiteY20" fmla="*/ 1667934 h 1669059"/>
                                <a:gd name="connsiteX21" fmla="*/ 1684867 w 1972733"/>
                                <a:gd name="connsiteY21" fmla="*/ 1659467 h 1669059"/>
                                <a:gd name="connsiteX22" fmla="*/ 1727200 w 1972733"/>
                                <a:gd name="connsiteY22" fmla="*/ 1600200 h 1669059"/>
                                <a:gd name="connsiteX23" fmla="*/ 1778000 w 1972733"/>
                                <a:gd name="connsiteY23" fmla="*/ 1549400 h 1669059"/>
                                <a:gd name="connsiteX24" fmla="*/ 1811867 w 1972733"/>
                                <a:gd name="connsiteY24" fmla="*/ 1507067 h 1669059"/>
                                <a:gd name="connsiteX25" fmla="*/ 1828800 w 1972733"/>
                                <a:gd name="connsiteY25" fmla="*/ 1456267 h 1669059"/>
                                <a:gd name="connsiteX26" fmla="*/ 1837267 w 1972733"/>
                                <a:gd name="connsiteY26" fmla="*/ 1405467 h 1669059"/>
                                <a:gd name="connsiteX27" fmla="*/ 1854200 w 1972733"/>
                                <a:gd name="connsiteY27" fmla="*/ 1278467 h 1669059"/>
                                <a:gd name="connsiteX28" fmla="*/ 1879600 w 1972733"/>
                                <a:gd name="connsiteY28" fmla="*/ 1041400 h 1669059"/>
                                <a:gd name="connsiteX29" fmla="*/ 1888067 w 1972733"/>
                                <a:gd name="connsiteY29" fmla="*/ 922867 h 1669059"/>
                                <a:gd name="connsiteX30" fmla="*/ 1896533 w 1972733"/>
                                <a:gd name="connsiteY30" fmla="*/ 609600 h 1669059"/>
                                <a:gd name="connsiteX31" fmla="*/ 1955800 w 1972733"/>
                                <a:gd name="connsiteY31" fmla="*/ 304800 h 1669059"/>
                                <a:gd name="connsiteX32" fmla="*/ 1972733 w 1972733"/>
                                <a:gd name="connsiteY32" fmla="*/ 237067 h 1669059"/>
                                <a:gd name="connsiteX33" fmla="*/ 1811867 w 1972733"/>
                                <a:gd name="connsiteY33" fmla="*/ 76200 h 1669059"/>
                                <a:gd name="connsiteX34" fmla="*/ 1371600 w 1972733"/>
                                <a:gd name="connsiteY34" fmla="*/ 0 h 1669059"/>
                                <a:gd name="connsiteX35" fmla="*/ 905933 w 1972733"/>
                                <a:gd name="connsiteY35" fmla="*/ 16934 h 1669059"/>
                                <a:gd name="connsiteX36" fmla="*/ 863600 w 1972733"/>
                                <a:gd name="connsiteY36" fmla="*/ 25400 h 1669059"/>
                                <a:gd name="connsiteX37" fmla="*/ 440267 w 1972733"/>
                                <a:gd name="connsiteY37" fmla="*/ 33867 h 1669059"/>
                                <a:gd name="connsiteX38" fmla="*/ 347133 w 1972733"/>
                                <a:gd name="connsiteY38" fmla="*/ 50800 h 1669059"/>
                                <a:gd name="connsiteX39" fmla="*/ 279400 w 1972733"/>
                                <a:gd name="connsiteY39" fmla="*/ 67734 h 1669059"/>
                                <a:gd name="connsiteX40" fmla="*/ 186267 w 1972733"/>
                                <a:gd name="connsiteY40" fmla="*/ 101600 h 1669059"/>
                                <a:gd name="connsiteX41" fmla="*/ 135467 w 1972733"/>
                                <a:gd name="connsiteY41" fmla="*/ 143934 h 166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972733" h="1669059">
                                  <a:moveTo>
                                    <a:pt x="135467" y="143934"/>
                                  </a:moveTo>
                                  <a:lnTo>
                                    <a:pt x="135467" y="143934"/>
                                  </a:lnTo>
                                  <a:cubicBezTo>
                                    <a:pt x="181891" y="403910"/>
                                    <a:pt x="158332" y="303125"/>
                                    <a:pt x="194733" y="448734"/>
                                  </a:cubicBezTo>
                                  <a:cubicBezTo>
                                    <a:pt x="197555" y="476956"/>
                                    <a:pt x="200068" y="505211"/>
                                    <a:pt x="203200" y="533400"/>
                                  </a:cubicBezTo>
                                  <a:cubicBezTo>
                                    <a:pt x="205713" y="556015"/>
                                    <a:pt x="214489" y="578556"/>
                                    <a:pt x="211667" y="601134"/>
                                  </a:cubicBezTo>
                                  <a:cubicBezTo>
                                    <a:pt x="203085" y="669787"/>
                                    <a:pt x="188341" y="737808"/>
                                    <a:pt x="169333" y="804334"/>
                                  </a:cubicBezTo>
                                  <a:cubicBezTo>
                                    <a:pt x="165456" y="817902"/>
                                    <a:pt x="151412" y="826234"/>
                                    <a:pt x="143933" y="838200"/>
                                  </a:cubicBezTo>
                                  <a:cubicBezTo>
                                    <a:pt x="124759" y="868878"/>
                                    <a:pt x="113299" y="918326"/>
                                    <a:pt x="84667" y="939800"/>
                                  </a:cubicBezTo>
                                  <a:lnTo>
                                    <a:pt x="50800" y="965200"/>
                                  </a:lnTo>
                                  <a:cubicBezTo>
                                    <a:pt x="42333" y="979311"/>
                                    <a:pt x="31024" y="992068"/>
                                    <a:pt x="25400" y="1007534"/>
                                  </a:cubicBezTo>
                                  <a:cubicBezTo>
                                    <a:pt x="19533" y="1023667"/>
                                    <a:pt x="19543" y="1041367"/>
                                    <a:pt x="16933" y="1058334"/>
                                  </a:cubicBezTo>
                                  <a:cubicBezTo>
                                    <a:pt x="4798" y="1137214"/>
                                    <a:pt x="14487" y="1093520"/>
                                    <a:pt x="0" y="1151467"/>
                                  </a:cubicBezTo>
                                  <a:cubicBezTo>
                                    <a:pt x="2822" y="1236134"/>
                                    <a:pt x="1021" y="1321081"/>
                                    <a:pt x="8467" y="1405467"/>
                                  </a:cubicBezTo>
                                  <a:cubicBezTo>
                                    <a:pt x="9576" y="1418040"/>
                                    <a:pt x="20428" y="1427733"/>
                                    <a:pt x="25400" y="1439334"/>
                                  </a:cubicBezTo>
                                  <a:cubicBezTo>
                                    <a:pt x="28916" y="1447537"/>
                                    <a:pt x="26529" y="1459654"/>
                                    <a:pt x="33867" y="1464734"/>
                                  </a:cubicBezTo>
                                  <a:cubicBezTo>
                                    <a:pt x="64999" y="1486287"/>
                                    <a:pt x="100540" y="1500913"/>
                                    <a:pt x="135467" y="1515534"/>
                                  </a:cubicBezTo>
                                  <a:cubicBezTo>
                                    <a:pt x="222006" y="1551760"/>
                                    <a:pt x="310189" y="1583934"/>
                                    <a:pt x="397933" y="1617134"/>
                                  </a:cubicBezTo>
                                  <a:cubicBezTo>
                                    <a:pt x="414627" y="1623451"/>
                                    <a:pt x="431063" y="1631543"/>
                                    <a:pt x="448733" y="1634067"/>
                                  </a:cubicBezTo>
                                  <a:cubicBezTo>
                                    <a:pt x="468489" y="1636889"/>
                                    <a:pt x="488315" y="1639253"/>
                                    <a:pt x="508000" y="1642534"/>
                                  </a:cubicBezTo>
                                  <a:cubicBezTo>
                                    <a:pt x="539124" y="1647721"/>
                                    <a:pt x="569590" y="1658678"/>
                                    <a:pt x="601133" y="1659467"/>
                                  </a:cubicBezTo>
                                  <a:cubicBezTo>
                                    <a:pt x="908672" y="1667155"/>
                                    <a:pt x="1216378" y="1665112"/>
                                    <a:pt x="1524000" y="1667934"/>
                                  </a:cubicBezTo>
                                  <a:cubicBezTo>
                                    <a:pt x="1577622" y="1665112"/>
                                    <a:pt x="1633926" y="1676447"/>
                                    <a:pt x="1684867" y="1659467"/>
                                  </a:cubicBezTo>
                                  <a:cubicBezTo>
                                    <a:pt x="1707899" y="1651790"/>
                                    <a:pt x="1711518" y="1618733"/>
                                    <a:pt x="1727200" y="1600200"/>
                                  </a:cubicBezTo>
                                  <a:cubicBezTo>
                                    <a:pt x="1742669" y="1581919"/>
                                    <a:pt x="1762090" y="1567299"/>
                                    <a:pt x="1778000" y="1549400"/>
                                  </a:cubicBezTo>
                                  <a:cubicBezTo>
                                    <a:pt x="1863414" y="1453308"/>
                                    <a:pt x="1737489" y="1581441"/>
                                    <a:pt x="1811867" y="1507067"/>
                                  </a:cubicBezTo>
                                  <a:cubicBezTo>
                                    <a:pt x="1817511" y="1490134"/>
                                    <a:pt x="1824471" y="1473583"/>
                                    <a:pt x="1828800" y="1456267"/>
                                  </a:cubicBezTo>
                                  <a:cubicBezTo>
                                    <a:pt x="1832964" y="1439613"/>
                                    <a:pt x="1834196" y="1422357"/>
                                    <a:pt x="1837267" y="1405467"/>
                                  </a:cubicBezTo>
                                  <a:cubicBezTo>
                                    <a:pt x="1854733" y="1309400"/>
                                    <a:pt x="1837524" y="1428544"/>
                                    <a:pt x="1854200" y="1278467"/>
                                  </a:cubicBezTo>
                                  <a:cubicBezTo>
                                    <a:pt x="1866645" y="1166466"/>
                                    <a:pt x="1868028" y="1203407"/>
                                    <a:pt x="1879600" y="1041400"/>
                                  </a:cubicBezTo>
                                  <a:lnTo>
                                    <a:pt x="1888067" y="922867"/>
                                  </a:lnTo>
                                  <a:cubicBezTo>
                                    <a:pt x="1890889" y="818445"/>
                                    <a:pt x="1892092" y="713966"/>
                                    <a:pt x="1896533" y="609600"/>
                                  </a:cubicBezTo>
                                  <a:cubicBezTo>
                                    <a:pt x="1901622" y="490005"/>
                                    <a:pt x="1927488" y="446355"/>
                                    <a:pt x="1955800" y="304800"/>
                                  </a:cubicBezTo>
                                  <a:cubicBezTo>
                                    <a:pt x="1966017" y="253716"/>
                                    <a:pt x="1959717" y="276119"/>
                                    <a:pt x="1972733" y="237067"/>
                                  </a:cubicBezTo>
                                  <a:cubicBezTo>
                                    <a:pt x="1946156" y="205174"/>
                                    <a:pt x="1865428" y="93607"/>
                                    <a:pt x="1811867" y="76200"/>
                                  </a:cubicBezTo>
                                  <a:cubicBezTo>
                                    <a:pt x="1722464" y="47144"/>
                                    <a:pt x="1481859" y="15751"/>
                                    <a:pt x="1371600" y="0"/>
                                  </a:cubicBezTo>
                                  <a:cubicBezTo>
                                    <a:pt x="1292140" y="2270"/>
                                    <a:pt x="1017621" y="7999"/>
                                    <a:pt x="905933" y="16934"/>
                                  </a:cubicBezTo>
                                  <a:cubicBezTo>
                                    <a:pt x="891588" y="18082"/>
                                    <a:pt x="877981" y="24877"/>
                                    <a:pt x="863600" y="25400"/>
                                  </a:cubicBezTo>
                                  <a:cubicBezTo>
                                    <a:pt x="722554" y="30529"/>
                                    <a:pt x="581378" y="31045"/>
                                    <a:pt x="440267" y="33867"/>
                                  </a:cubicBezTo>
                                  <a:lnTo>
                                    <a:pt x="347133" y="50800"/>
                                  </a:lnTo>
                                  <a:cubicBezTo>
                                    <a:pt x="318807" y="56111"/>
                                    <a:pt x="304337" y="57759"/>
                                    <a:pt x="279400" y="67734"/>
                                  </a:cubicBezTo>
                                  <a:cubicBezTo>
                                    <a:pt x="160356" y="115352"/>
                                    <a:pt x="267556" y="78375"/>
                                    <a:pt x="186267" y="101600"/>
                                  </a:cubicBezTo>
                                  <a:cubicBezTo>
                                    <a:pt x="153508" y="110960"/>
                                    <a:pt x="143934" y="136878"/>
                                    <a:pt x="135467" y="143934"/>
                                  </a:cubicBezTo>
                                  <a:close/>
                                </a:path>
                              </a:pathLst>
                            </a:cu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4140480" name="Isosceles Triangle 1274140480">
                            <a:extLst>
                              <a:ext uri="{FF2B5EF4-FFF2-40B4-BE49-F238E27FC236}">
                                <a16:creationId xmlns:a16="http://schemas.microsoft.com/office/drawing/2014/main" id="{616D819C-6ECA-1A6E-F4F2-65580EDD4450}"/>
                              </a:ext>
                            </a:extLst>
                          </wps:cNvPr>
                          <wps:cNvSpPr/>
                          <wps:spPr>
                            <a:xfrm>
                              <a:off x="2125133" y="1176867"/>
                              <a:ext cx="706114" cy="5588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98708137" name="Rectangle 1198708137">
                          <a:extLst>
                            <a:ext uri="{FF2B5EF4-FFF2-40B4-BE49-F238E27FC236}">
                              <a16:creationId xmlns:a16="http://schemas.microsoft.com/office/drawing/2014/main" id="{38FCB56A-F583-141C-C4FA-288353EB3C5E}"/>
                            </a:ext>
                          </a:extLst>
                        </wps:cNvPr>
                        <wps:cNvSpPr/>
                        <wps:spPr>
                          <a:xfrm>
                            <a:off x="649283" y="296333"/>
                            <a:ext cx="945619" cy="347134"/>
                          </a:xfrm>
                          <a:prstGeom prst="rect">
                            <a:avLst/>
                          </a:prstGeom>
                          <a:solidFill>
                            <a:schemeClr val="tx1">
                              <a:lumMod val="95000"/>
                              <a:lumOff val="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0536215" name="Straight Connector 1550536215">
                          <a:extLst>
                            <a:ext uri="{FF2B5EF4-FFF2-40B4-BE49-F238E27FC236}">
                              <a16:creationId xmlns:a16="http://schemas.microsoft.com/office/drawing/2014/main" id="{37A17CC1-D99E-734A-E8EB-A1C40E04210C}"/>
                            </a:ext>
                          </a:extLst>
                        </wps:cNvPr>
                        <wps:cNvCnPr>
                          <a:cxnSpLocks/>
                          <a:stCxn id="1198708137" idx="2"/>
                          <a:endCxn id="1274140480" idx="0"/>
                        </wps:cNvCnPr>
                        <wps:spPr>
                          <a:xfrm>
                            <a:off x="1122093" y="643467"/>
                            <a:ext cx="1356097" cy="533400"/>
                          </a:xfrm>
                          <a:prstGeom prst="line">
                            <a:avLst/>
                          </a:prstGeom>
                          <a:ln w="19050">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9B4357" id="Group 31" o:spid="_x0000_s1026" style="position:absolute;margin-left:275.7pt;margin-top:5.3pt;width:163.5pt;height:118pt;z-index:251657728;mso-position-horizontal-relative:margin;mso-width-relative:margin;mso-height-relative:margin" coordsize="28312,1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pXJQ0AAPI9AAAOAAAAZHJzL2Uyb0RvYy54bWzsW22P47YR/l6g/0HwxwLNiqSol0X2AvTS&#10;BAX6EuRSIP3o88pro7ZlSL7bu/76PjNDyqTOG1GXIEWBfLmzVno4nOEzwyGH/PKrD8dD9r7th313&#10;elipL/JV1p423eP+9PSw+ucP3/yxXmXDZX16XB+6U/uw+tgOq69e/f53Xz6f71vd7brDY9tnaOQ0&#10;3D+fH1a7y+V8f3c3bHbtcT180Z3bE15uu/64vuCxf7p77NfPaP14uNN5Xt49d/3jue827TDgr1/L&#10;y9Urbn+7bTeXf2y3Q3vJDg8r9O3C//b871v69+7Vl+v7p3593u03rhvrz+jFcb0/QejY1Nfryzp7&#10;1+8/aeq43/Td0G0vX2y641233e43LesAbVQ+0ebbvnt3Zl2e7p+fzqOZYNqJnT672c3f33/bn9+c&#10;v+thiefzE2zBT6TLh21/pP/Ry+wDm+zjaLL2wyXb4I86r8rCwrIbvFNFU5e5M+pmB8t/gtvs/uyR&#10;tVG6qByyMrYsKxqOOy/4LurO+CDdRL+/67P948OqtqYwTVOBaKf1ERRjq2XXPzvFframL/R3ff+L&#10;awpXGK6jPfy80X6zW59bJtFwf7WaypUp6qq0hTfbN33bkp/dZ4zIgi/YgoweiTLcD+BMKktUU+nK&#10;GDfWZdnktonGGkZ8N1y+bTsm3Pr9X4cLhMKdHvFLfrjR3XSn07C/tD+Cc9vjAc76h7tMGVuUVfac&#10;eUEOPMH8K8KANabIdpm69ocETjA/qs+QE2ES5ehQTlPAXPP6hJgCw5miD0ZhtJvODYLovJwQY40p&#10;gJm1G4h1laNg5ITxCTFlrkDReTk2kKPKxqTYLcTUeQGN5uWUoRwa04TxCTG1qcnWs3ZDRBztVhdJ&#10;ZgshjWnqFDEIl6MYmxNk1ntCSFPaJG2aQIy2RJxZMSFE5XmF+D5vNRW5NtFgXlCMyW2dxAMVOneC&#10;OtH3SllFkWqWBSp0bdAgwXkiiCpyDonzgkLfThwhFWIU+0LKEIXebUydpFOIgeUQFlMkhf6dOjeo&#10;CGSVTeNd6OKmqdKIF4JUqaqkQKdCN+don8LxEKRKhO4k9oWuztEhheghSJWFTjNg6O4c81O0CkGq&#10;tE2ST+koRliNaJSgVoxCPE7KGnQYJVRZF0l0n6BS9QpjhUKmlTSn6wiFtD0pnuvI9asKE0eKDSOU&#10;LZqkDEJHzl8rlWbDCGXzKonxOvL+WtdJM2KMKmypU7xLR+5fm4pQs9NijEoN7zry/9oWadyIULri&#10;CWh2KtFRAKirBqRK0CtC5QVmroQsSUcRoMZwJdkwRDVaE6Fm1TJR2KiR+aQkFxGqzNkW86KiqNFY&#10;m8RCE6JMXhBoXlTk/rI+mx8sE6K0SfMtWviNuaZK9eMIVZVJ0clEvm8qlcTACJViujBW0FI2iQ8h&#10;iNYpCXmMCQNFXZo0bUKQJHTzZAj9vSjypIBkQpDkc/OCQmc3BRKfhNnehCBZq8wLCj1dVzzhzIZY&#10;E4LKKinXLOLowDPArKAYlDNNZ1UqQjdPzWpj0I2tCGy3jZss653fd9l8OLmNF/zK1rSZm/P+5rkb&#10;aE8v3IXBxp9/xAYLdl7QJFC0azMDhkIhWC0CIxKFYL0IjIgUgs0iMIJMCC4WgREGQrBdBIZrh+By&#10;ERjuGoL9ZmvaUMEFQ3C9SDLcKgT7rb80ybRKD9F4XsSxKcmWsYwW1ZH0ZTyjlXIEX8Y0NaEanhfp&#10;PiEblriL4BO6qWV8o/VqpPsyxqkJ5fC8qPMT0qllrKNVX9h5PC+RTgu5CL6MdbQ2i+DLWEeLtAi+&#10;jHW07orgy1hHi6IIvox1tM6J4MtYRwueCL6MdbSGieDLWEfLkgi+jHW0aAjheF7COloIRPBlrKPk&#10;PoIvYx0l7BF8GesoC4/gy1hnJqzD8yLTTViH1HsRfMI65MaL4BPWIeNdBJ+wDnnsEjhlo6Hl8bwI&#10;PmEdUs4ALsmgSyZ71OOpEn/gSvxllaES368yVOLfEmZ9f15fKAf1P7NnFJV97XCH365UR++P3fv2&#10;h46/vFBKKhkxa8Jb0p4+1+8Op5Tv/Vebd2/3mz+1/4kwtaobUbfITSOpCHotHaACgriQyVHbZgKO&#10;L7mix72TQp23USTlpsymslbIXVRlY5mYvlmsivNSyGNzq1FrEDNyh6S6xzKlaJcsU+cWSzNBWmzK&#10;RqpoBQ2Ecbaq7aRDXOljpBTwFsg0eS16YpSrmj3I66nq2tBSBjStDDYd2T/Gl1z145dSzEuWia1j&#10;bNoJUlVNzgFvbBalGpf+1brUiE+BbaXqIUgu7KXLxKEHVL9Jlbqsa5xbCJtVRjfyslG1wVwYvORq&#10;IAOlyHdTpKevcJJXywLhgp2D+I9u8a3QKKEKBFvdMaOMyl1y0DSaiBf0jrcaGOeKdje7d0uiakBP&#10;h9TGHQMZR6GxhX9ZKCNnRMaXNPIOyeW7ZJlF1YjboMhcgdGhJsRviecqbwzqnOFLiZWujpcsTtcu&#10;pVNQENWesEXYVJiNsVd5HbkwbbyKfrLhmyywsZXwGhyGU0Qq6LxwaY4qNHY5eJ72Jg2GUQp7ySI1&#10;QqOXCYrLFDg2C/oJr1VhsYUaWYA3j5yaXOJLllkWjXMXhQqLngSNHDVQN142zxtEtICv4Xwh1b5k&#10;qVoj7jpVrVVVGZkXToJZQtQBKbHTF4qVGqG8lcpfslhsjZcuvVUUj2xElQJyS+cMpVHkNYG2Ui90&#10;YrkKmC6WqldOH+xB1vgdNozITKVThDOUFxsU/cK3Ujt0b7kimCzWYn51wQbFxApOGjWMmbBxY1ta&#10;7ONHsUjqiE4sV9GSxTY5GpNZnM6soAwcilUaStJRM1a3tAoTRGAMJUVF/5pKhcmCla2wyz1K/qTp&#10;0sC6jnQlDt3h6FwoWUqMn6WyqvKq9m4EnTARRk1XFO28zgqnjKIhdgVHJ5nLiOk6V4XGZC9YW6tG&#10;Vuk+aMCzdO5H2WJY0MlQZyk/OjQXFdMlYzsd/iTYAvPPJKVAljGSHh0rJKkdOyZFDCeZS4wLJKsK&#10;g+skN3QOL1Kq1hha/xrHIuvY2lKa9P2m7eYFkpFclF5n02AiiiXDIo2P4FobGzNMCpVOMp8uWSDZ&#10;0oE2wZqcduMnkit4jmtao0o5MQmXLeW1FCMXSC5LHFAVLBwaB6piyWWd+8kQ+XKRT3TmIqagpTR5&#10;U7LPp9xCQMqRjJIiowP5z24mQTUijwuzWGUU6HNI9Rr5ViPBAZl5M9WCi5IsUEqNN3t5UywI6KNO&#10;0WA1EYttNNxAXL8oSjMJhlKgZLFSdlwgtkSMltQGUwYKdZG2iO2Vf1uVahIV/IIQMVhKkAvEFqVy&#10;CT/WOKqa8Ax5iSNDg2LbhAp8/oCV5WpkutBKa5xcYiQ8e8LtAoPtlgOYAeIpHakplYYYyQ5Di+n5&#10;BaNukNAKSusq9jQYvXTpZkWpU8AxqWSyMK5PJiuIvM86kigszaIZsa6QaEs008iqI5NKRZMFStaJ&#10;ziRpCINaOrgMAhiseiMtEKz9BI2EKPYiqWwKjs6f3dTQO6n4stQoGSJrKemj/ygeDQfBYhXcod5Z&#10;cDdKW+Amhuqm9K6iZWBgf6lS8juuPd7s3S2B4AhOzzMQMzUWLFGrJbYP5GWFCB67N1Jmv77gImS6&#10;SIjBjMlpEBZJcQLstl/4JfLFODUL024uR96WeeiGVkxNW0LMi3FviDlyPS0+dIf94zf7w4H2gvji&#10;SPv60Gfv19hoevukuGx5eHf8W/cofyuxFvDeNH7OEqKWDlzBPHXUsh90fPV89kff+dfl46EluYfT&#10;9+0W9xHoSgRLHFsWoevNpj1dpDPDbv3Yyp/Vi33hBqnlLeSPbbsG6HbMVUnftvTSfU/Qli/AjGCp&#10;4L7QMQGPCJbcnS4j+Lg/df0tzQ7QykmW772RxDRkpbfd40fc1ugvh9ed3MNZnza7Dpt/m0vPYPoK&#10;dx7obsevcfkBsxoiJA7K+MsPfxm6YdMe2iH7od+j3H1oM3X9COpRv3B7Yv7+g8bGH041ONeoShdm&#10;MBju3gvOzChKPOnCDA744LCOM5+/bnPuhdsZ/XhYXVyH2Pb+ZgRcwH9GIxUR94UBpu9CNyDmedEj&#10;5Dc3YAv8z93gevfp13IJ1dQVNp9ocpJrVN9jr955wvXdEk/A3ozG4oWmASw7aFMR6KsfNNh5RWLH&#10;fsCzrF8qv+AHVDv4XB+4fPh0Gmh86GW3oLtqPGP4v8LDZr3ip9yOREpYDL5CozSt/DaJXG0rVv9/&#10;nEQsKi4GyTQWl+Ixby79ev+0u2SvcUcNbO36DNtH/qOr67w+yc05nH95c/5rt/n3wI4xXF7jrBVd&#10;acSCZ3RGl1KI65wex0+us5NkHRLK3TQlEujhhVt62LfCelKcsywM7TKLBDdJIUvDQhKxgGcpvvH1&#10;07PUYX+iS4br+xdmqMNJank57oqmzViWv1s8Y/1CLgZrcEvIf6i7URKWkEe9nIQlZHCfMftco832&#10;p5Mw0svlWPyLLxazru4SNN1cDp/5q+tV7Vf/BQAA//8DAFBLAwQUAAYACAAAACEAOBzhl+AAAAAK&#10;AQAADwAAAGRycy9kb3ducmV2LnhtbEyPwUrDQBCG74LvsIzgzW5SmxhiNqUU9VQEW0G8TbPTJDS7&#10;G7LbJH17x5MeZ/6Pf74p1rPpxEiDb51VEC8iEGQrp1tbK/g8vD5kIHxAq7FzlhRcycO6vL0pMNdu&#10;sh807kMtuMT6HBU0IfS5lL5qyKBfuJ4sZyc3GAw8DrXUA05cbjq5jKJUGmwtX2iwp21D1Xl/MQre&#10;Jpw2j/HLuDufttfvQ/L+tYtJqfu7efMMItAc/mD41Wd1KNnp6C5We9EpSJJ4xSgHUQqCgewp48VR&#10;wXKVpiDLQv5/ofwBAAD//wMAUEsBAi0AFAAGAAgAAAAhALaDOJL+AAAA4QEAABMAAAAAAAAAAAAA&#10;AAAAAAAAAFtDb250ZW50X1R5cGVzXS54bWxQSwECLQAUAAYACAAAACEAOP0h/9YAAACUAQAACwAA&#10;AAAAAAAAAAAAAAAvAQAAX3JlbHMvLnJlbHNQSwECLQAUAAYACAAAACEAh5C6VyUNAADyPQAADgAA&#10;AAAAAAAAAAAAAAAuAgAAZHJzL2Uyb0RvYy54bWxQSwECLQAUAAYACAAAACEAOBzhl+AAAAAKAQAA&#10;DwAAAAAAAAAAAAAAAAB/DwAAZHJzL2Rvd25yZXYueG1sUEsFBgAAAAAEAAQA8wAAAIwQAAAAAA==&#10;">
                <v:group id="Group 853439978" o:spid="_x0000_s1027" style="position:absolute;width:28312;height:17356" coordsize="28312,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f4yAAAAOIAAAAPAAAAZHJzL2Rvd25yZXYueG1sRE9Na8JA&#10;EL0L/Q/LFHrTTRq1mrqKSC0eRKgK0tuQHZNgdjZkt0n8992D4PHxvher3lSipcaVlhXEowgEcWZ1&#10;ybmC82k7nIFwHlljZZkU3MnBavkyWGCqbcc/1B59LkIIuxQVFN7XqZQuK8igG9maOHBX2xj0ATa5&#10;1A12IdxU8j2KptJgyaGhwJo2BWW3459R8N1ht07ir3Z/u27uv6fJ4bKPSam31379CcJT75/ih3un&#10;FcwmyTiZzz/C5nAp3AG5/AcAAP//AwBQSwECLQAUAAYACAAAACEA2+H2y+4AAACFAQAAEwAAAAAA&#10;AAAAAAAAAAAAAAAAW0NvbnRlbnRfVHlwZXNdLnhtbFBLAQItABQABgAIAAAAIQBa9CxbvwAAABUB&#10;AAALAAAAAAAAAAAAAAAAAB8BAABfcmVscy8ucmVsc1BLAQItABQABgAIAAAAIQDRFsf4yAAAAOIA&#10;AAAPAAAAAAAAAAAAAAAAAAcCAABkcnMvZG93bnJldi54bWxQSwUGAAAAAAMAAwC3AAAA/AIAAAAA&#10;">
                  <v:shape id="Freeform: Shape 1013487654" o:spid="_x0000_s1028" style="position:absolute;width:19727;height:16690;visibility:visible;mso-wrap-style:square;v-text-anchor:middle" coordsize="1972733,16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z+xgAAAOMAAAAPAAAAZHJzL2Rvd25yZXYueG1sRE9fS8Mw&#10;EH8X/A7hBN9c0jnnqMvGmDp81FnY660527DmUpLY1W9vBoKP9/t/y/XoOjFQiNazhmKiQBDX3lhu&#10;NFSfr3cLEDEhG+w8k4YfirBeXV8tsTT+zB807FMjcgjHEjW0KfWllLFuyWGc+J44c18+OEz5DI00&#10;Ac853HVyqtRcOrScG1rsadtSfdp/Ow32qKp3V22K5+Gl6g7B7vpT47S+vRk3TyASjelf/Od+M3m+&#10;Ku5ni8f5wwwuP2UA5OoXAAD//wMAUEsBAi0AFAAGAAgAAAAhANvh9svuAAAAhQEAABMAAAAAAAAA&#10;AAAAAAAAAAAAAFtDb250ZW50X1R5cGVzXS54bWxQSwECLQAUAAYACAAAACEAWvQsW78AAAAVAQAA&#10;CwAAAAAAAAAAAAAAAAAfAQAAX3JlbHMvLnJlbHNQSwECLQAUAAYACAAAACEA0XZM/sYAAADjAAAA&#10;DwAAAAAAAAAAAAAAAAAHAgAAZHJzL2Rvd25yZXYueG1sUEsFBgAAAAADAAMAtwAAAPoCAAAAAA==&#10;" path="m135467,143934r,c181891,403910,158332,303125,194733,448734v2822,28222,5335,56477,8467,84666c205713,556015,214489,578556,211667,601134v-8582,68653,-23326,136674,-42334,203200c165456,817902,151412,826234,143933,838200v-19174,30678,-30634,80126,-59266,101600l50800,965200v-8467,14111,-19776,26868,-25400,42334c19533,1023667,19543,1041367,16933,1058334,4798,1137214,14487,1093520,,1151467v2822,84667,1021,169614,8467,254000c9576,1418040,20428,1427733,25400,1439334v3516,8203,1129,20320,8467,25400c64999,1486287,100540,1500913,135467,1515534v86539,36226,174722,68400,262466,101600c414627,1623451,431063,1631543,448733,1634067v19756,2822,39582,5186,59267,8467c539124,1647721,569590,1658678,601133,1659467v307539,7688,615245,5645,922867,8467c1577622,1665112,1633926,1676447,1684867,1659467v23032,-7677,26651,-40734,42333,-59267c1742669,1581919,1762090,1567299,1778000,1549400v85414,-96092,-40511,32041,33867,-42333c1817511,1490134,1824471,1473583,1828800,1456267v4164,-16654,5396,-33910,8467,-50800c1854733,1309400,1837524,1428544,1854200,1278467v12445,-112001,13828,-75060,25400,-237067l1888067,922867v2822,-104422,4025,-208901,8466,-313267c1901622,490005,1927488,446355,1955800,304800v10217,-51084,3917,-28681,16933,-67733c1946156,205174,1865428,93607,1811867,76200,1722464,47144,1481859,15751,1371600,,1292140,2270,1017621,7999,905933,16934v-14345,1148,-27952,7943,-42333,8466c722554,30529,581378,31045,440267,33867l347133,50800v-28326,5311,-42796,6959,-67733,16934c160356,115352,267556,78375,186267,101600v-32759,9360,-42333,35278,-50800,42334xe" fillcolor="#a5a5a5 [2092]" stroked="f" strokeweight="2pt">
                    <v:path arrowok="t" o:connecttype="custom" o:connectlocs="135467,143934;135467,143934;194733,448734;203200,533400;211667,601134;169333,804334;143933,838200;84667,939800;50800,965200;25400,1007534;16933,1058334;0,1151467;8467,1405467;25400,1439334;33867,1464734;135467,1515534;397933,1617134;448733,1634067;508000,1642534;601133,1659467;1524000,1667934;1684867,1659467;1727200,1600200;1778000,1549400;1811867,1507067;1828800,1456267;1837267,1405467;1854200,1278467;1879600,1041400;1888067,922867;1896533,609600;1955800,304800;1972733,237067;1811867,76200;1371600,0;905933,16934;863600,25400;440267,33867;347133,50800;279400,67734;186267,101600;135467,143934" o:connectangles="0,0,0,0,0,0,0,0,0,0,0,0,0,0,0,0,0,0,0,0,0,0,0,0,0,0,0,0,0,0,0,0,0,0,0,0,0,0,0,0,0,0"/>
                  </v:shape>
                  <v:shape id="Isosceles Triangle 1274140480" o:spid="_x0000_s1029" type="#_x0000_t5" style="position:absolute;left:21251;top:11768;width:7061;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QQywAAAOMAAAAPAAAAZHJzL2Rvd25yZXYueG1sRI9Bb8Iw&#10;DIXvk/YfIk/abaSgsqJCQNskNA5c6BhnqzFtReNUTaBlv34+TNrx+T1/9lttRteqG/Wh8WxgOklA&#10;EZfeNlwZOH5tXxagQkS22HomA3cKsFk/Pqwwt37gA92KWCmBcMjRQB1jl2sdypochonviMU7+95h&#10;FNlX2vY4CNy1epYkr9phw3Khxo4+aiovxdUJ5RSP38N+767Fz2G+zdz4eS/fjXl+Gt+WoCKN8T/8&#10;t72z8v4sS6dpki6khXSSAej1LwAAAP//AwBQSwECLQAUAAYACAAAACEA2+H2y+4AAACFAQAAEwAA&#10;AAAAAAAAAAAAAAAAAAAAW0NvbnRlbnRfVHlwZXNdLnhtbFBLAQItABQABgAIAAAAIQBa9CxbvwAA&#10;ABUBAAALAAAAAAAAAAAAAAAAAB8BAABfcmVscy8ucmVsc1BLAQItABQABgAIAAAAIQB8VuQQywAA&#10;AOMAAAAPAAAAAAAAAAAAAAAAAAcCAABkcnMvZG93bnJldi54bWxQSwUGAAAAAAMAAwC3AAAA/wIA&#10;AAAA&#10;" fillcolor="#77230c [1604]" stroked="f" strokeweight="2pt"/>
                </v:group>
                <v:rect id="Rectangle 1198708137" o:spid="_x0000_s1030" style="position:absolute;left:6492;top:2963;width:9457;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xyAAAAOMAAAAPAAAAZHJzL2Rvd25yZXYueG1sRE9LS8NA&#10;EL4X/A/LCL21u7FgYuy29IGivYitF29jdkxCs7Mhuybx33cLgsf53rNcj7YRPXW+dqwhmSsQxIUz&#10;NZcaPk5PswyED8gGG8ek4Zc8rFc3kyXmxg38Tv0xlCKGsM9RQxVCm0vpi4os+rlriSP37TqLIZ5d&#10;KU2HQwy3jbxT6l5arDk2VNjSrqLifPyxGobt22fYpof+y29K3j9n6hVPZ62nt+PmEUSgMfyL/9wv&#10;Js5PHrJUZckihetPEQC5ugAAAP//AwBQSwECLQAUAAYACAAAACEA2+H2y+4AAACFAQAAEwAAAAAA&#10;AAAAAAAAAAAAAAAAW0NvbnRlbnRfVHlwZXNdLnhtbFBLAQItABQABgAIAAAAIQBa9CxbvwAAABUB&#10;AAALAAAAAAAAAAAAAAAAAB8BAABfcmVscy8ucmVsc1BLAQItABQABgAIAAAAIQA/YKgxyAAAAOMA&#10;AAAPAAAAAAAAAAAAAAAAAAcCAABkcnMvZG93bnJldi54bWxQSwUGAAAAAAMAAwC3AAAA/AIAAAAA&#10;" fillcolor="#0d0d0d [3069]" strokecolor="black [3213]" strokeweight="2pt"/>
                <v:line id="Straight Connector 1550536215" o:spid="_x0000_s1031" style="position:absolute;visibility:visible;mso-wrap-style:square" from="11220,6434" to="24781,1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5qygAAAOMAAAAPAAAAZHJzL2Rvd25yZXYueG1sRE9fT8Iw&#10;EH8n8Ts0Z+IbdGCGOClEEQLxxQAm+Hiux7a4XkdbYfrpKQmJj/f7f+Npa2pxJOcrywr6vQQEcW51&#10;xYWCj+2iOwLhA7LG2jIp+CUP08lNZ4yZtide03ETChFD2GeooAyhyaT0eUkGfc82xJHbW2cwxNMV&#10;Ujs8xXBTy0GSDKXBimNDiQ3NSsq/Nz9GwfLzsNv7v/fX9aN7280e3PzFf82Vurttn59ABGrDv/jq&#10;Xuk4P02T9H446Kdw+SkCICdnAAAA//8DAFBLAQItABQABgAIAAAAIQDb4fbL7gAAAIUBAAATAAAA&#10;AAAAAAAAAAAAAAAAAABbQ29udGVudF9UeXBlc10ueG1sUEsBAi0AFAAGAAgAAAAhAFr0LFu/AAAA&#10;FQEAAAsAAAAAAAAAAAAAAAAAHwEAAF9yZWxzLy5yZWxzUEsBAi0AFAAGAAgAAAAhAKMC/mrKAAAA&#10;4wAAAA8AAAAAAAAAAAAAAAAABwIAAGRycy9kb3ducmV2LnhtbFBLBQYAAAAAAwADALcAAAD+AgAA&#10;AAA=&#10;" strokecolor="#654b00 [1608]" strokeweight="1.5pt">
                  <v:shadow on="t" color="black" opacity="24903f" origin=",.5" offset="0,.55556mm"/>
                  <o:lock v:ext="edit" shapetype="f"/>
                </v:line>
                <w10:wrap type="square" anchorx="margin"/>
              </v:group>
            </w:pict>
          </mc:Fallback>
        </mc:AlternateContent>
      </w:r>
      <w:r w:rsidR="008A550B">
        <w:t>Example 2:</w:t>
      </w:r>
    </w:p>
    <w:p w14:paraId="3C7CDDB8" w14:textId="4E44DE00" w:rsidR="00685924" w:rsidRPr="00685924" w:rsidRDefault="00685924" w:rsidP="00B22D31">
      <w:pPr>
        <w:spacing w:after="120"/>
        <w:ind w:left="720"/>
      </w:pPr>
      <w:r>
        <w:t>This example shows how apportionment applied at the entity level and apportionment applied using a “blended” approach can have very different results:</w:t>
      </w:r>
    </w:p>
    <w:p w14:paraId="3C6CCEE6" w14:textId="65328E00" w:rsidR="00B661EF" w:rsidRDefault="00F92C9C" w:rsidP="00B22D31">
      <w:pPr>
        <w:pStyle w:val="ListParagraph"/>
        <w:numPr>
          <w:ilvl w:val="0"/>
          <w:numId w:val="7"/>
        </w:numPr>
        <w:spacing w:after="120"/>
        <w:ind w:left="1080"/>
        <w:contextualSpacing w:val="0"/>
      </w:pPr>
      <w:r>
        <w:t xml:space="preserve">Corporation </w:t>
      </w:r>
      <w:r w:rsidR="00B661EF">
        <w:t xml:space="preserve">X </w:t>
      </w:r>
      <w:r w:rsidR="00C77F81">
        <w:t>is</w:t>
      </w:r>
      <w:r w:rsidR="00F81E08">
        <w:t xml:space="preserve"> </w:t>
      </w:r>
      <w:r>
        <w:t xml:space="preserve">the </w:t>
      </w:r>
      <w:r w:rsidR="0078570C">
        <w:t>managing member</w:t>
      </w:r>
      <w:r w:rsidR="007C03B1">
        <w:t xml:space="preserve"> in </w:t>
      </w:r>
      <w:r w:rsidR="00B661EF">
        <w:t>LLC</w:t>
      </w:r>
      <w:r w:rsidR="00A40D8F">
        <w:t xml:space="preserve"> – </w:t>
      </w:r>
      <w:r w:rsidR="00F81E08">
        <w:t>receiving a 50% distributive share</w:t>
      </w:r>
      <w:r w:rsidR="00B661EF">
        <w:t>.</w:t>
      </w:r>
    </w:p>
    <w:p w14:paraId="1845D958" w14:textId="0ED5E849" w:rsidR="00FB38F3" w:rsidRDefault="00E72018" w:rsidP="00B22D31">
      <w:pPr>
        <w:pStyle w:val="ListParagraph"/>
        <w:numPr>
          <w:ilvl w:val="0"/>
          <w:numId w:val="7"/>
        </w:numPr>
        <w:spacing w:after="120"/>
        <w:ind w:left="1080"/>
        <w:contextualSpacing w:val="0"/>
      </w:pPr>
      <w:r>
        <w:t xml:space="preserve">X and the LLC have income and </w:t>
      </w:r>
      <w:r w:rsidR="00F571EB">
        <w:t xml:space="preserve">State A </w:t>
      </w:r>
      <w:r w:rsidR="00A40D8F">
        <w:t xml:space="preserve">apportionment </w:t>
      </w:r>
      <w:r>
        <w:t>factors as follows:</w:t>
      </w:r>
    </w:p>
    <w:p w14:paraId="08E332A3" w14:textId="3BE6F41D" w:rsidR="00E72018" w:rsidRDefault="00F92C9C" w:rsidP="00B22D31">
      <w:pPr>
        <w:pStyle w:val="ListParagraph"/>
        <w:spacing w:after="0"/>
        <w:ind w:left="2160"/>
        <w:contextualSpacing w:val="0"/>
      </w:pPr>
      <w:r>
        <w:t xml:space="preserve">X </w:t>
      </w:r>
      <w:r w:rsidR="00E72018">
        <w:t xml:space="preserve">net income </w:t>
      </w:r>
      <w:r w:rsidR="00942D90">
        <w:t>-</w:t>
      </w:r>
      <w:r w:rsidR="00E72018">
        <w:tab/>
      </w:r>
      <w:r w:rsidR="00E72018">
        <w:tab/>
        <w:t>$</w:t>
      </w:r>
      <w:r w:rsidR="00F81E08">
        <w:t>2</w:t>
      </w:r>
      <w:r w:rsidR="00E72018">
        <w:t xml:space="preserve"> million</w:t>
      </w:r>
    </w:p>
    <w:p w14:paraId="79B366DA" w14:textId="3D1453AE" w:rsidR="00E72018" w:rsidRDefault="00E72018" w:rsidP="00B22D31">
      <w:pPr>
        <w:pStyle w:val="ListParagraph"/>
        <w:spacing w:after="0"/>
        <w:ind w:left="2160"/>
        <w:contextualSpacing w:val="0"/>
      </w:pPr>
      <w:r>
        <w:t xml:space="preserve">X </w:t>
      </w:r>
      <w:r w:rsidR="00D26105">
        <w:t>receipts</w:t>
      </w:r>
      <w:r>
        <w:t xml:space="preserve"> factor </w:t>
      </w:r>
      <w:r w:rsidR="00942D90">
        <w:t>-</w:t>
      </w:r>
      <w:r>
        <w:t xml:space="preserve"> </w:t>
      </w:r>
      <w:r w:rsidR="00F571EB">
        <w:tab/>
      </w:r>
      <w:r>
        <w:t>$</w:t>
      </w:r>
      <w:r w:rsidR="00F81E08">
        <w:t xml:space="preserve">10 million </w:t>
      </w:r>
      <w:r>
        <w:t xml:space="preserve">/ $10 million </w:t>
      </w:r>
    </w:p>
    <w:p w14:paraId="1636FBEB" w14:textId="77777777" w:rsidR="00F92C9C" w:rsidRDefault="00F92C9C" w:rsidP="00B22D31">
      <w:pPr>
        <w:pStyle w:val="ListParagraph"/>
        <w:spacing w:after="0"/>
        <w:ind w:left="2160"/>
        <w:contextualSpacing w:val="0"/>
      </w:pPr>
    </w:p>
    <w:p w14:paraId="686DC866" w14:textId="262FE37D" w:rsidR="00E72018" w:rsidRDefault="00E72018" w:rsidP="00B22D31">
      <w:pPr>
        <w:pStyle w:val="ListParagraph"/>
        <w:spacing w:after="0"/>
        <w:ind w:left="2160"/>
        <w:contextualSpacing w:val="0"/>
      </w:pPr>
      <w:r>
        <w:t>LLC net income</w:t>
      </w:r>
      <w:r w:rsidR="00942D90">
        <w:t xml:space="preserve"> -</w:t>
      </w:r>
      <w:r>
        <w:tab/>
      </w:r>
      <w:r w:rsidR="003D5AFE">
        <w:tab/>
      </w:r>
      <w:r>
        <w:t>$1</w:t>
      </w:r>
      <w:r w:rsidR="00F81E08">
        <w:t>2</w:t>
      </w:r>
      <w:r>
        <w:t xml:space="preserve"> million</w:t>
      </w:r>
    </w:p>
    <w:p w14:paraId="389D6CB4" w14:textId="281F1549" w:rsidR="00E72018" w:rsidRDefault="00E72018" w:rsidP="00B22D31">
      <w:pPr>
        <w:pStyle w:val="ListParagraph"/>
        <w:spacing w:after="120"/>
        <w:ind w:left="2160"/>
        <w:contextualSpacing w:val="0"/>
      </w:pPr>
      <w:r>
        <w:t xml:space="preserve">LLC </w:t>
      </w:r>
      <w:r w:rsidR="00D26105">
        <w:t>receipts</w:t>
      </w:r>
      <w:r>
        <w:t xml:space="preserve"> factor </w:t>
      </w:r>
      <w:r w:rsidR="00942D90">
        <w:t>-</w:t>
      </w:r>
      <w:r w:rsidR="00F571EB">
        <w:tab/>
      </w:r>
      <w:r>
        <w:t>$</w:t>
      </w:r>
      <w:r w:rsidR="00F81E08">
        <w:t>0</w:t>
      </w:r>
      <w:r>
        <w:t xml:space="preserve"> million </w:t>
      </w:r>
      <w:r w:rsidR="00F81E08">
        <w:t xml:space="preserve">/ </w:t>
      </w:r>
      <w:r>
        <w:t>$</w:t>
      </w:r>
      <w:r w:rsidR="00F81E08">
        <w:t>20</w:t>
      </w:r>
      <w:r>
        <w:t xml:space="preserve"> million</w:t>
      </w:r>
      <w:r w:rsidR="003D5AFE">
        <w:t xml:space="preserve"> </w:t>
      </w:r>
    </w:p>
    <w:p w14:paraId="711C1EE3" w14:textId="77777777" w:rsidR="00FB4185" w:rsidRDefault="00CD775F" w:rsidP="00B22D31">
      <w:pPr>
        <w:pStyle w:val="ListParagraph"/>
        <w:numPr>
          <w:ilvl w:val="0"/>
          <w:numId w:val="13"/>
        </w:numPr>
        <w:spacing w:after="120"/>
        <w:ind w:left="1080"/>
        <w:contextualSpacing w:val="0"/>
      </w:pPr>
      <w:r>
        <w:t>Two possible results – entity level versus blended apportionment</w:t>
      </w:r>
      <w:r w:rsidR="00A40D8F">
        <w:t>:</w:t>
      </w:r>
    </w:p>
    <w:p w14:paraId="71B06EAC" w14:textId="39118B5C" w:rsidR="00BA72C1" w:rsidRDefault="00BC1193" w:rsidP="00B22D31">
      <w:pPr>
        <w:pStyle w:val="ListParagraph"/>
        <w:numPr>
          <w:ilvl w:val="0"/>
          <w:numId w:val="13"/>
        </w:numPr>
        <w:spacing w:after="120"/>
        <w:ind w:left="2160"/>
        <w:contextualSpacing w:val="0"/>
      </w:pPr>
      <w:r>
        <w:t xml:space="preserve">Assume </w:t>
      </w:r>
      <w:r w:rsidR="00E72018">
        <w:t xml:space="preserve">State A apportions </w:t>
      </w:r>
      <w:r w:rsidR="00C77F81">
        <w:t xml:space="preserve">LLC </w:t>
      </w:r>
      <w:r w:rsidR="00E72018">
        <w:t>income at the entity level</w:t>
      </w:r>
      <w:r w:rsidR="00CD775F">
        <w:t>, attributing</w:t>
      </w:r>
      <w:r w:rsidR="00E72018">
        <w:t xml:space="preserve"> that source to X</w:t>
      </w:r>
      <w:r>
        <w:t xml:space="preserve">. </w:t>
      </w:r>
    </w:p>
    <w:p w14:paraId="606105B6" w14:textId="7ED453AA" w:rsidR="00A40D8F" w:rsidRDefault="00CE250E" w:rsidP="00B22D31">
      <w:pPr>
        <w:pStyle w:val="ListParagraph"/>
        <w:spacing w:after="120"/>
        <w:ind w:left="2880"/>
        <w:contextualSpacing w:val="0"/>
        <w:jc w:val="left"/>
      </w:pPr>
      <w:r>
        <w:t xml:space="preserve">X’s income sourced to </w:t>
      </w:r>
      <w:r w:rsidR="00BC1193">
        <w:t>State A</w:t>
      </w:r>
      <w:r w:rsidR="003D5AFE">
        <w:t xml:space="preserve"> </w:t>
      </w:r>
      <w:r w:rsidR="00BC1193">
        <w:t xml:space="preserve">will </w:t>
      </w:r>
      <w:r w:rsidR="003D5AFE">
        <w:t>be</w:t>
      </w:r>
      <w:r w:rsidR="00BC1193">
        <w:t xml:space="preserve"> </w:t>
      </w:r>
      <w:r w:rsidR="00E72018">
        <w:t>$</w:t>
      </w:r>
      <w:r w:rsidR="00F81E08">
        <w:t>2</w:t>
      </w:r>
      <w:r w:rsidR="00E72018">
        <w:t xml:space="preserve"> million</w:t>
      </w:r>
      <w:r w:rsidR="003D5AFE">
        <w:t xml:space="preserve"> </w:t>
      </w:r>
      <w:r w:rsidR="00BA72C1">
        <w:br/>
      </w:r>
      <w:r w:rsidR="003D5AFE">
        <w:t>(</w:t>
      </w:r>
      <w:r w:rsidR="00BC1193">
        <w:t xml:space="preserve">none of which is </w:t>
      </w:r>
      <w:r w:rsidR="003D5AFE">
        <w:t xml:space="preserve">from </w:t>
      </w:r>
      <w:r>
        <w:t xml:space="preserve">the </w:t>
      </w:r>
      <w:r w:rsidR="00BC1193">
        <w:t>LLC</w:t>
      </w:r>
      <w:r w:rsidR="003D5AFE">
        <w:t>)</w:t>
      </w:r>
      <w:r w:rsidR="00E72018">
        <w:t xml:space="preserve">. </w:t>
      </w:r>
    </w:p>
    <w:p w14:paraId="1CC15A65" w14:textId="1DD9D448" w:rsidR="00BA72C1" w:rsidRDefault="00CE250E" w:rsidP="00B22D31">
      <w:pPr>
        <w:pStyle w:val="ListParagraph"/>
        <w:numPr>
          <w:ilvl w:val="0"/>
          <w:numId w:val="9"/>
        </w:numPr>
        <w:spacing w:after="120"/>
        <w:ind w:left="2160"/>
        <w:contextualSpacing w:val="0"/>
      </w:pPr>
      <w:r>
        <w:t>Alternatively, a</w:t>
      </w:r>
      <w:r w:rsidR="00BC1193">
        <w:t xml:space="preserve">ssume </w:t>
      </w:r>
      <w:r w:rsidR="00E72018">
        <w:t xml:space="preserve">State A apportions income </w:t>
      </w:r>
      <w:r w:rsidR="00BC1193">
        <w:t>using “blended” apportionment</w:t>
      </w:r>
      <w:r>
        <w:t xml:space="preserve"> </w:t>
      </w:r>
      <w:r w:rsidR="00F92C9C">
        <w:t xml:space="preserve">so that X will include </w:t>
      </w:r>
      <w:r w:rsidR="00BA72C1">
        <w:t>its</w:t>
      </w:r>
      <w:r w:rsidR="00F92C9C">
        <w:t xml:space="preserve"> </w:t>
      </w:r>
      <w:r w:rsidR="00E72018">
        <w:t xml:space="preserve">share of </w:t>
      </w:r>
      <w:r w:rsidR="00BC1193">
        <w:t>the LLC’s</w:t>
      </w:r>
      <w:r w:rsidR="00E72018">
        <w:t xml:space="preserve"> sales in </w:t>
      </w:r>
      <w:r w:rsidR="00F92C9C">
        <w:t>its</w:t>
      </w:r>
      <w:r w:rsidR="00E72018">
        <w:t xml:space="preserve"> own </w:t>
      </w:r>
      <w:r w:rsidR="00D26105">
        <w:t>receipts</w:t>
      </w:r>
      <w:r w:rsidR="00F92C9C">
        <w:t xml:space="preserve"> </w:t>
      </w:r>
      <w:r w:rsidR="00E72018">
        <w:t>factor</w:t>
      </w:r>
      <w:r>
        <w:t xml:space="preserve"> </w:t>
      </w:r>
      <w:r w:rsidR="00BC1193">
        <w:t xml:space="preserve">and </w:t>
      </w:r>
      <w:r w:rsidR="00BA72C1">
        <w:t xml:space="preserve">then </w:t>
      </w:r>
      <w:r>
        <w:t>us</w:t>
      </w:r>
      <w:r w:rsidR="00F92C9C">
        <w:t>e</w:t>
      </w:r>
      <w:r w:rsidR="00942D90">
        <w:t xml:space="preserve"> this “blended” factor to </w:t>
      </w:r>
      <w:r w:rsidR="00BC1193">
        <w:t>source X’s</w:t>
      </w:r>
      <w:r w:rsidR="00942D90">
        <w:t xml:space="preserve"> </w:t>
      </w:r>
      <w:r w:rsidR="00F92C9C">
        <w:t xml:space="preserve">total </w:t>
      </w:r>
      <w:r w:rsidR="00942D90">
        <w:t xml:space="preserve">income, including </w:t>
      </w:r>
      <w:r w:rsidR="00BC1193">
        <w:t>its share of LLC</w:t>
      </w:r>
      <w:r w:rsidR="00942D90">
        <w:t xml:space="preserve"> income</w:t>
      </w:r>
      <w:r w:rsidR="00BC1193">
        <w:t>.</w:t>
      </w:r>
      <w:r w:rsidR="00942D90">
        <w:t xml:space="preserve"> </w:t>
      </w:r>
    </w:p>
    <w:p w14:paraId="5C4DBCB5" w14:textId="59C9D9AB" w:rsidR="00B661EF" w:rsidRDefault="003D5AFE" w:rsidP="00B22D31">
      <w:pPr>
        <w:pStyle w:val="ListParagraph"/>
        <w:spacing w:after="120"/>
        <w:ind w:left="2880"/>
      </w:pPr>
      <w:r>
        <w:t xml:space="preserve">X’s income </w:t>
      </w:r>
      <w:r w:rsidR="00CE250E">
        <w:t xml:space="preserve">sourced to State A will be: </w:t>
      </w:r>
    </w:p>
    <w:p w14:paraId="766F10F7" w14:textId="0F703AB7" w:rsidR="00F81E08" w:rsidRDefault="00F81E08" w:rsidP="00B22D31">
      <w:pPr>
        <w:spacing w:after="120"/>
        <w:ind w:left="3024"/>
      </w:pPr>
      <w:r>
        <w:t>X</w:t>
      </w:r>
      <w:r w:rsidR="00BA72C1">
        <w:t>’s total income</w:t>
      </w:r>
      <w:r>
        <w:t xml:space="preserve"> = </w:t>
      </w:r>
      <w:r w:rsidR="009D36AA">
        <w:tab/>
      </w:r>
      <w:r>
        <w:t xml:space="preserve">$2 </w:t>
      </w:r>
      <w:r w:rsidR="00BA72C1">
        <w:t>M</w:t>
      </w:r>
      <w:r>
        <w:t xml:space="preserve"> + 50% of $12 </w:t>
      </w:r>
      <w:r w:rsidR="00BA72C1">
        <w:t>M</w:t>
      </w:r>
      <w:r>
        <w:t xml:space="preserve"> = $8 </w:t>
      </w:r>
      <w:r w:rsidR="00BA72C1">
        <w:t>M</w:t>
      </w:r>
    </w:p>
    <w:p w14:paraId="5DEF5025" w14:textId="5F8945A9" w:rsidR="009D36AA" w:rsidRDefault="00942D90" w:rsidP="00B22D31">
      <w:pPr>
        <w:spacing w:after="0"/>
        <w:ind w:left="3024"/>
      </w:pPr>
      <w:r>
        <w:t xml:space="preserve">Blended </w:t>
      </w:r>
      <w:r w:rsidR="00F81E08">
        <w:t>factor</w:t>
      </w:r>
      <w:r>
        <w:t xml:space="preserve"> </w:t>
      </w:r>
      <w:r w:rsidR="00F81E08">
        <w:t xml:space="preserve"> = </w:t>
      </w:r>
      <w:r w:rsidR="009D36AA">
        <w:tab/>
      </w:r>
      <w:r w:rsidR="00BA72C1">
        <w:tab/>
      </w:r>
      <w:r w:rsidR="00F81E08" w:rsidRPr="009D36AA">
        <w:rPr>
          <w:u w:val="single"/>
        </w:rPr>
        <w:t xml:space="preserve">$10 </w:t>
      </w:r>
      <w:r w:rsidR="00BA72C1">
        <w:rPr>
          <w:u w:val="single"/>
        </w:rPr>
        <w:t>M</w:t>
      </w:r>
      <w:r w:rsidR="00F81E08" w:rsidRPr="009D36AA">
        <w:rPr>
          <w:u w:val="single"/>
        </w:rPr>
        <w:t xml:space="preserve"> in State A</w:t>
      </w:r>
      <w:r w:rsidR="00F81E08">
        <w:t xml:space="preserve"> </w:t>
      </w:r>
    </w:p>
    <w:p w14:paraId="57A9BC8D" w14:textId="7D03AAB0" w:rsidR="009D36AA" w:rsidRDefault="00F81E08" w:rsidP="00B22D31">
      <w:pPr>
        <w:spacing w:after="0"/>
        <w:ind w:left="4320" w:firstLine="720"/>
      </w:pPr>
      <w:r>
        <w:t xml:space="preserve">$10 </w:t>
      </w:r>
      <w:r w:rsidR="00BA72C1">
        <w:t>M</w:t>
      </w:r>
      <w:r>
        <w:t xml:space="preserve"> + 50%</w:t>
      </w:r>
      <w:r w:rsidR="009D36AA">
        <w:t xml:space="preserve"> of $20 </w:t>
      </w:r>
      <w:r w:rsidR="00BA72C1">
        <w:t>M</w:t>
      </w:r>
      <w:r w:rsidR="009D36AA">
        <w:t xml:space="preserve"> = $20 </w:t>
      </w:r>
      <w:r w:rsidR="00BA72C1">
        <w:t>M</w:t>
      </w:r>
    </w:p>
    <w:p w14:paraId="78B34E43" w14:textId="5C1F65DA" w:rsidR="009D36AA" w:rsidRDefault="009D36AA" w:rsidP="00B22D31">
      <w:pPr>
        <w:spacing w:after="120"/>
        <w:ind w:left="5760"/>
      </w:pPr>
      <w:r>
        <w:t>= 50%</w:t>
      </w:r>
    </w:p>
    <w:p w14:paraId="1B2AB652" w14:textId="02F1519B" w:rsidR="009D36AA" w:rsidRDefault="009D36AA" w:rsidP="00B22D31">
      <w:pPr>
        <w:spacing w:after="120"/>
        <w:ind w:left="3024"/>
      </w:pPr>
      <w:r>
        <w:t>Net income sourced to State A =</w:t>
      </w:r>
      <w:r>
        <w:tab/>
        <w:t xml:space="preserve">$8 </w:t>
      </w:r>
      <w:r w:rsidR="00BA72C1">
        <w:t>M</w:t>
      </w:r>
      <w:r>
        <w:t xml:space="preserve"> x 50% = $4 million</w:t>
      </w:r>
    </w:p>
    <w:p w14:paraId="150DC2D5" w14:textId="77777777" w:rsidR="00CD775F" w:rsidRDefault="00CD775F" w:rsidP="00BA72C1">
      <w:pPr>
        <w:spacing w:after="120"/>
        <w:ind w:left="2304"/>
      </w:pPr>
    </w:p>
    <w:p w14:paraId="369D201A" w14:textId="1A4F27DE" w:rsidR="00942D90" w:rsidRDefault="00942D90" w:rsidP="00FB4185">
      <w:pPr>
        <w:pStyle w:val="Heading4"/>
      </w:pPr>
      <w:r>
        <w:t>Example 3:</w:t>
      </w:r>
    </w:p>
    <w:p w14:paraId="7AD92D8A" w14:textId="6FF5530C" w:rsidR="00CD775F" w:rsidRPr="00CD775F" w:rsidRDefault="00CD775F" w:rsidP="00FB4185">
      <w:r>
        <w:t xml:space="preserve">This example shows how results may differ depending on whether certain sourcing rules are applied at the partnership or partner level. </w:t>
      </w:r>
    </w:p>
    <w:p w14:paraId="50FDE5E1" w14:textId="77777777" w:rsidR="00F92C9C" w:rsidRDefault="003D5AFE" w:rsidP="0031303D">
      <w:pPr>
        <w:pStyle w:val="ListParagraph"/>
        <w:numPr>
          <w:ilvl w:val="0"/>
          <w:numId w:val="10"/>
        </w:numPr>
        <w:spacing w:after="60"/>
        <w:contextualSpacing w:val="0"/>
      </w:pPr>
      <w:r>
        <w:t>Assume the s</w:t>
      </w:r>
      <w:r w:rsidR="0078570C">
        <w:t>ame facts as Example 2</w:t>
      </w:r>
      <w:r>
        <w:t xml:space="preserve"> </w:t>
      </w:r>
      <w:r w:rsidR="0078570C">
        <w:t xml:space="preserve">and </w:t>
      </w:r>
      <w:r>
        <w:t xml:space="preserve">that </w:t>
      </w:r>
      <w:r w:rsidR="0078570C">
        <w:t>State A uses blended apportionment</w:t>
      </w:r>
      <w:r>
        <w:t xml:space="preserve">. </w:t>
      </w:r>
    </w:p>
    <w:p w14:paraId="1A741BD7" w14:textId="31891B8B" w:rsidR="00F92C9C" w:rsidRDefault="00942D90" w:rsidP="0031303D">
      <w:pPr>
        <w:pStyle w:val="ListParagraph"/>
        <w:numPr>
          <w:ilvl w:val="0"/>
          <w:numId w:val="10"/>
        </w:numPr>
        <w:spacing w:after="60"/>
        <w:contextualSpacing w:val="0"/>
      </w:pPr>
      <w:r>
        <w:t>LLC</w:t>
      </w:r>
      <w:r w:rsidR="003D5AFE">
        <w:t xml:space="preserve">’s income is </w:t>
      </w:r>
      <w:r w:rsidR="00F92C9C">
        <w:t xml:space="preserve">entirely </w:t>
      </w:r>
      <w:r w:rsidR="00CE250E">
        <w:t xml:space="preserve">a </w:t>
      </w:r>
      <w:r w:rsidR="0078570C">
        <w:t xml:space="preserve">gain </w:t>
      </w:r>
      <w:r>
        <w:t>from the sale of property</w:t>
      </w:r>
      <w:r w:rsidR="00BA72C1">
        <w:t xml:space="preserve"> outside State A.</w:t>
      </w:r>
    </w:p>
    <w:p w14:paraId="0E7DF936" w14:textId="256C7E32" w:rsidR="00FB4185" w:rsidRDefault="00F92C9C" w:rsidP="00955008">
      <w:pPr>
        <w:pStyle w:val="ListParagraph"/>
        <w:numPr>
          <w:ilvl w:val="0"/>
          <w:numId w:val="10"/>
        </w:numPr>
        <w:spacing w:after="120"/>
      </w:pPr>
      <w:r>
        <w:t>State A</w:t>
      </w:r>
      <w:r w:rsidR="00BA72C1">
        <w:t>’s rules would</w:t>
      </w:r>
      <w:r w:rsidR="00541610">
        <w:t xml:space="preserve"> generally</w:t>
      </w:r>
      <w:r w:rsidR="00BA72C1">
        <w:t xml:space="preserve"> </w:t>
      </w:r>
      <w:r w:rsidR="003D5AFE">
        <w:t>treat</w:t>
      </w:r>
      <w:r>
        <w:t xml:space="preserve"> </w:t>
      </w:r>
      <w:r w:rsidR="00080585">
        <w:t xml:space="preserve">this type of </w:t>
      </w:r>
      <w:r>
        <w:t xml:space="preserve"> gain</w:t>
      </w:r>
      <w:r w:rsidR="003D5AFE">
        <w:t xml:space="preserve"> as</w:t>
      </w:r>
      <w:r w:rsidR="00FC1B40">
        <w:t xml:space="preserve"> nonbusiness </w:t>
      </w:r>
      <w:r w:rsidR="003805EC">
        <w:t>(</w:t>
      </w:r>
      <w:proofErr w:type="spellStart"/>
      <w:r w:rsidR="003805EC">
        <w:t>nonapportionable</w:t>
      </w:r>
      <w:proofErr w:type="spellEnd"/>
      <w:r w:rsidR="003805EC">
        <w:t xml:space="preserve">) </w:t>
      </w:r>
      <w:r w:rsidR="00942D90">
        <w:t>income</w:t>
      </w:r>
      <w:r w:rsidR="00541610">
        <w:t xml:space="preserve"> under the circumstances</w:t>
      </w:r>
      <w:r>
        <w:t>.</w:t>
      </w:r>
      <w:r w:rsidR="00942D90">
        <w:t xml:space="preserve"> </w:t>
      </w:r>
    </w:p>
    <w:p w14:paraId="26D17CBB" w14:textId="77777777" w:rsidR="008E2113" w:rsidRDefault="008E2113" w:rsidP="008E2113">
      <w:pPr>
        <w:pStyle w:val="ListParagraph"/>
        <w:spacing w:after="120"/>
        <w:ind w:left="360"/>
      </w:pPr>
    </w:p>
    <w:p w14:paraId="68780C6F" w14:textId="77777777" w:rsidR="008E2113" w:rsidRDefault="00F92C9C" w:rsidP="00955008">
      <w:pPr>
        <w:pStyle w:val="ListParagraph"/>
        <w:numPr>
          <w:ilvl w:val="0"/>
          <w:numId w:val="10"/>
        </w:numPr>
        <w:spacing w:after="120"/>
      </w:pPr>
      <w:r>
        <w:t>Two</w:t>
      </w:r>
      <w:r w:rsidR="0078570C">
        <w:t xml:space="preserve"> possible results</w:t>
      </w:r>
      <w:r w:rsidR="00FC1B40">
        <w:t xml:space="preserve">: </w:t>
      </w:r>
    </w:p>
    <w:p w14:paraId="6081FA1B" w14:textId="77777777" w:rsidR="008E2113" w:rsidRDefault="008E2113" w:rsidP="008E2113">
      <w:pPr>
        <w:pStyle w:val="ListParagraph"/>
      </w:pPr>
    </w:p>
    <w:p w14:paraId="7766DE83" w14:textId="6C8D2820" w:rsidR="008E2113" w:rsidRDefault="00BA72C1" w:rsidP="0031303D">
      <w:pPr>
        <w:pStyle w:val="ListParagraph"/>
        <w:numPr>
          <w:ilvl w:val="0"/>
          <w:numId w:val="10"/>
        </w:numPr>
        <w:spacing w:after="120"/>
        <w:ind w:left="720"/>
        <w:contextualSpacing w:val="0"/>
      </w:pPr>
      <w:r>
        <w:t xml:space="preserve">None of the gain is taxable - </w:t>
      </w:r>
      <w:r w:rsidR="00F92C9C">
        <w:t xml:space="preserve">State A’s </w:t>
      </w:r>
      <w:r w:rsidR="00CE250E">
        <w:t xml:space="preserve">rule for nonbusiness income </w:t>
      </w:r>
      <w:r>
        <w:t xml:space="preserve">is applied </w:t>
      </w:r>
      <w:r w:rsidR="00CE250E">
        <w:t>at the entity (LLC) level</w:t>
      </w:r>
      <w:r w:rsidR="00CD775F">
        <w:t>, the</w:t>
      </w:r>
      <w:r w:rsidR="00CE250E">
        <w:t xml:space="preserve"> gain</w:t>
      </w:r>
      <w:r w:rsidR="0078570C">
        <w:t xml:space="preserve"> </w:t>
      </w:r>
      <w:r>
        <w:t xml:space="preserve">is </w:t>
      </w:r>
      <w:r w:rsidR="009041C9">
        <w:t xml:space="preserve">sourced </w:t>
      </w:r>
      <w:r w:rsidR="0078570C">
        <w:t>outside State A</w:t>
      </w:r>
      <w:r w:rsidR="001B7E4F">
        <w:t>, and</w:t>
      </w:r>
      <w:r w:rsidR="00CE250E">
        <w:t xml:space="preserve"> </w:t>
      </w:r>
      <w:r w:rsidR="00CD775F">
        <w:t xml:space="preserve">this </w:t>
      </w:r>
      <w:r w:rsidR="001A64CC">
        <w:t xml:space="preserve">is </w:t>
      </w:r>
      <w:r>
        <w:t>attribute</w:t>
      </w:r>
      <w:r w:rsidR="00CD775F">
        <w:t>d</w:t>
      </w:r>
      <w:r>
        <w:t xml:space="preserve"> </w:t>
      </w:r>
      <w:r w:rsidR="00CE250E">
        <w:t xml:space="preserve">to </w:t>
      </w:r>
      <w:r w:rsidR="009041C9">
        <w:t>X</w:t>
      </w:r>
      <w:r w:rsidR="00CE250E">
        <w:t>’s share</w:t>
      </w:r>
      <w:r w:rsidR="0078570C">
        <w:t>.</w:t>
      </w:r>
      <w:r w:rsidR="009041C9">
        <w:t xml:space="preserve"> </w:t>
      </w:r>
    </w:p>
    <w:p w14:paraId="671E4494" w14:textId="62BAC6AB" w:rsidR="00F81E08" w:rsidRDefault="00CD775F" w:rsidP="00955008">
      <w:pPr>
        <w:pStyle w:val="ListParagraph"/>
        <w:numPr>
          <w:ilvl w:val="0"/>
          <w:numId w:val="10"/>
        </w:numPr>
        <w:spacing w:after="120"/>
        <w:ind w:left="720"/>
      </w:pPr>
      <w:r>
        <w:t xml:space="preserve">A portion of the gain is taxable - </w:t>
      </w:r>
      <w:r w:rsidR="00A13E8A">
        <w:t xml:space="preserve">State A’s rule for nonbusiness income </w:t>
      </w:r>
      <w:r>
        <w:t xml:space="preserve">is applied </w:t>
      </w:r>
      <w:r w:rsidR="00BA72C1">
        <w:t xml:space="preserve">at the </w:t>
      </w:r>
      <w:r w:rsidR="00541610">
        <w:t>partner</w:t>
      </w:r>
      <w:r w:rsidR="00BA72C1">
        <w:t xml:space="preserve"> level</w:t>
      </w:r>
      <w:r>
        <w:t xml:space="preserve"> and X’s share of</w:t>
      </w:r>
      <w:r w:rsidR="00F92C9C">
        <w:t xml:space="preserve"> gain</w:t>
      </w:r>
      <w:r w:rsidR="00BC3E05">
        <w:t xml:space="preserve"> is </w:t>
      </w:r>
      <w:r w:rsidR="0078570C">
        <w:t>characterized</w:t>
      </w:r>
      <w:r w:rsidR="003D5AFE">
        <w:t xml:space="preserve"> </w:t>
      </w:r>
      <w:r w:rsidR="00FC1B40">
        <w:t xml:space="preserve">as </w:t>
      </w:r>
      <w:r w:rsidR="00BC3E05">
        <w:t>business (</w:t>
      </w:r>
      <w:r w:rsidR="009041C9">
        <w:t>apportionable</w:t>
      </w:r>
      <w:r w:rsidR="00BC3E05">
        <w:t>)</w:t>
      </w:r>
      <w:r w:rsidR="009041C9">
        <w:t xml:space="preserve"> income</w:t>
      </w:r>
      <w:r w:rsidR="00FC1B40">
        <w:t xml:space="preserve"> </w:t>
      </w:r>
      <w:r w:rsidR="00BC3E05">
        <w:t xml:space="preserve">to </w:t>
      </w:r>
      <w:r w:rsidR="00130208">
        <w:t>X</w:t>
      </w:r>
      <w:r w:rsidR="00BA72C1">
        <w:t xml:space="preserve"> </w:t>
      </w:r>
      <w:r>
        <w:t xml:space="preserve">so that part is </w:t>
      </w:r>
      <w:r w:rsidR="00BA72C1">
        <w:t xml:space="preserve">apportioned </w:t>
      </w:r>
      <w:r w:rsidR="00CE250E">
        <w:t>to</w:t>
      </w:r>
      <w:r w:rsidR="003D5AFE">
        <w:t xml:space="preserve"> </w:t>
      </w:r>
      <w:r w:rsidR="00FC1B40">
        <w:t>State A</w:t>
      </w:r>
      <w:r w:rsidR="00130208">
        <w:t xml:space="preserve"> using the blended formula</w:t>
      </w:r>
      <w:r w:rsidR="003D5AFE">
        <w:t>.</w:t>
      </w:r>
      <w:r w:rsidR="009041C9">
        <w:t xml:space="preserve">  </w:t>
      </w:r>
      <w:r w:rsidR="009D36AA">
        <w:t xml:space="preserve"> </w:t>
      </w:r>
    </w:p>
    <w:p w14:paraId="4505E5B5" w14:textId="016A684C" w:rsidR="009041C9" w:rsidRDefault="00501699" w:rsidP="008E2113">
      <w:pPr>
        <w:pStyle w:val="Heading3"/>
      </w:pPr>
      <w:bookmarkStart w:id="26" w:name="_Toc195435227"/>
      <w:r>
        <w:lastRenderedPageBreak/>
        <w:t xml:space="preserve">Summary of Some Common </w:t>
      </w:r>
      <w:r w:rsidR="00080585">
        <w:t>Questions</w:t>
      </w:r>
      <w:bookmarkEnd w:id="26"/>
    </w:p>
    <w:p w14:paraId="01463EE4" w14:textId="541550F8" w:rsidR="00F81E08" w:rsidRDefault="00501699" w:rsidP="00942D90">
      <w:pPr>
        <w:spacing w:after="120"/>
      </w:pPr>
      <w:r>
        <w:t xml:space="preserve">States today </w:t>
      </w:r>
      <w:r w:rsidR="00714379">
        <w:t>face</w:t>
      </w:r>
      <w:r>
        <w:t xml:space="preserve"> common</w:t>
      </w:r>
      <w:r w:rsidR="00CA1146">
        <w:t xml:space="preserve"> questions</w:t>
      </w:r>
      <w:r w:rsidR="00714379">
        <w:t xml:space="preserve"> about sourcing of partnership income</w:t>
      </w:r>
      <w:r w:rsidR="00907459">
        <w:t xml:space="preserve"> taxed under the pass-through system</w:t>
      </w:r>
      <w:r w:rsidR="00714379">
        <w:t>:</w:t>
      </w:r>
      <w:r>
        <w:t xml:space="preserve"> </w:t>
      </w:r>
    </w:p>
    <w:p w14:paraId="1410C567" w14:textId="1C3B0F32" w:rsidR="002242CE" w:rsidRDefault="008E2113" w:rsidP="00714379">
      <w:pPr>
        <w:pStyle w:val="ListParagraph"/>
        <w:numPr>
          <w:ilvl w:val="0"/>
          <w:numId w:val="8"/>
        </w:numPr>
        <w:spacing w:after="40"/>
        <w:ind w:left="360"/>
        <w:contextualSpacing w:val="0"/>
      </w:pPr>
      <w:r>
        <w:t xml:space="preserve">When sourcing partnership income, do </w:t>
      </w:r>
      <w:r w:rsidR="006861C6">
        <w:t xml:space="preserve">sourcing rules apply </w:t>
      </w:r>
      <w:r w:rsidR="002242CE">
        <w:t xml:space="preserve">at the </w:t>
      </w:r>
      <w:r w:rsidR="001A64CC">
        <w:t>partnership or</w:t>
      </w:r>
      <w:r>
        <w:t xml:space="preserve"> the </w:t>
      </w:r>
      <w:r w:rsidR="001A64CC">
        <w:t>partner level</w:t>
      </w:r>
      <w:r w:rsidR="002242CE">
        <w:t xml:space="preserve">? </w:t>
      </w:r>
      <w:r w:rsidR="006861C6">
        <w:t xml:space="preserve"> </w:t>
      </w:r>
    </w:p>
    <w:p w14:paraId="408106EA" w14:textId="3A83DC3E" w:rsidR="001A64CC" w:rsidRDefault="002242CE" w:rsidP="00E10036">
      <w:pPr>
        <w:pStyle w:val="ListParagraph"/>
        <w:numPr>
          <w:ilvl w:val="1"/>
          <w:numId w:val="15"/>
        </w:numPr>
        <w:spacing w:after="40"/>
        <w:ind w:left="792"/>
        <w:contextualSpacing w:val="0"/>
      </w:pPr>
      <w:r>
        <w:t xml:space="preserve">Does </w:t>
      </w:r>
      <w:r w:rsidR="001A64CC">
        <w:t xml:space="preserve">this vary based on type of partner </w:t>
      </w:r>
      <w:r w:rsidR="006861C6">
        <w:t xml:space="preserve">(e.g., individual, corporation, </w:t>
      </w:r>
      <w:r w:rsidR="001A64CC">
        <w:t>tiered partner,</w:t>
      </w:r>
      <w:r w:rsidR="006861C6">
        <w:t xml:space="preserve"> etc.)?</w:t>
      </w:r>
    </w:p>
    <w:p w14:paraId="004857C0" w14:textId="6FA4F9BB" w:rsidR="006861C6" w:rsidRDefault="001A64CC" w:rsidP="00E10036">
      <w:pPr>
        <w:pStyle w:val="ListParagraph"/>
        <w:numPr>
          <w:ilvl w:val="1"/>
          <w:numId w:val="15"/>
        </w:numPr>
        <w:spacing w:after="120"/>
        <w:ind w:left="792"/>
        <w:contextualSpacing w:val="0"/>
      </w:pPr>
      <w:r>
        <w:t>Does this vary based on partner’s role (active, passive, direct, indirect, etc.)?</w:t>
      </w:r>
      <w:r w:rsidR="006861C6">
        <w:t xml:space="preserve"> </w:t>
      </w:r>
    </w:p>
    <w:p w14:paraId="6911D918" w14:textId="3E7EA37E" w:rsidR="00CA1146" w:rsidRDefault="006861C6" w:rsidP="00714379">
      <w:pPr>
        <w:pStyle w:val="ListParagraph"/>
        <w:numPr>
          <w:ilvl w:val="0"/>
          <w:numId w:val="8"/>
        </w:numPr>
        <w:spacing w:after="40"/>
        <w:ind w:left="360"/>
        <w:contextualSpacing w:val="0"/>
      </w:pPr>
      <w:r>
        <w:t>If blended apportionment is used</w:t>
      </w:r>
      <w:r w:rsidR="002242CE">
        <w:t>—</w:t>
      </w:r>
      <w:r>
        <w:t xml:space="preserve">how is </w:t>
      </w:r>
      <w:r w:rsidR="001A64CC">
        <w:t xml:space="preserve">it </w:t>
      </w:r>
      <w:r>
        <w:t xml:space="preserve">done? </w:t>
      </w:r>
    </w:p>
    <w:p w14:paraId="5676C936" w14:textId="37A265E1" w:rsidR="00CA1146" w:rsidRDefault="00714379" w:rsidP="00E10036">
      <w:pPr>
        <w:pStyle w:val="ListParagraph"/>
        <w:numPr>
          <w:ilvl w:val="1"/>
          <w:numId w:val="16"/>
        </w:numPr>
        <w:spacing w:after="40"/>
        <w:ind w:left="792"/>
        <w:contextualSpacing w:val="0"/>
      </w:pPr>
      <w:r>
        <w:t>What share of</w:t>
      </w:r>
      <w:r w:rsidR="00CA1146">
        <w:t xml:space="preserve"> </w:t>
      </w:r>
      <w:r w:rsidR="00CD775F">
        <w:t xml:space="preserve">partnership </w:t>
      </w:r>
      <w:r w:rsidR="00CA1146">
        <w:t xml:space="preserve">factors </w:t>
      </w:r>
      <w:r>
        <w:t>should be included in a blended apportionment factor</w:t>
      </w:r>
      <w:r w:rsidR="00CA1146">
        <w:t>?</w:t>
      </w:r>
    </w:p>
    <w:p w14:paraId="0E6A313A" w14:textId="373E113E" w:rsidR="00F81E08" w:rsidRDefault="00CA1146" w:rsidP="00E10036">
      <w:pPr>
        <w:pStyle w:val="ListParagraph"/>
        <w:numPr>
          <w:ilvl w:val="1"/>
          <w:numId w:val="16"/>
        </w:numPr>
        <w:spacing w:after="60"/>
        <w:ind w:left="792"/>
        <w:contextualSpacing w:val="0"/>
      </w:pPr>
      <w:r>
        <w:t xml:space="preserve">How </w:t>
      </w:r>
      <w:r w:rsidR="001A64CC">
        <w:t xml:space="preserve">should </w:t>
      </w:r>
      <w:r>
        <w:t>partner</w:t>
      </w:r>
      <w:r w:rsidR="001A64CC">
        <w:t>-</w:t>
      </w:r>
      <w:r>
        <w:t>partnership</w:t>
      </w:r>
      <w:r w:rsidR="001A64CC">
        <w:t xml:space="preserve"> or related-entity transactions be treated in computing</w:t>
      </w:r>
      <w:r w:rsidR="006861C6">
        <w:t xml:space="preserve"> </w:t>
      </w:r>
      <w:r w:rsidR="006B27F5">
        <w:t xml:space="preserve">the </w:t>
      </w:r>
      <w:r w:rsidR="006861C6">
        <w:t>apportionable income or apportionment factors</w:t>
      </w:r>
      <w:r>
        <w:t xml:space="preserve">? </w:t>
      </w:r>
    </w:p>
    <w:p w14:paraId="499BB667" w14:textId="24801514" w:rsidR="006861C6" w:rsidRDefault="006861C6" w:rsidP="00714379">
      <w:pPr>
        <w:pStyle w:val="ListParagraph"/>
        <w:numPr>
          <w:ilvl w:val="0"/>
          <w:numId w:val="8"/>
        </w:numPr>
        <w:spacing w:after="40"/>
        <w:ind w:left="360"/>
        <w:contextualSpacing w:val="0"/>
      </w:pPr>
      <w:r>
        <w:t>If blended apportionment is used</w:t>
      </w:r>
      <w:r w:rsidR="001A64CC">
        <w:t>—</w:t>
      </w:r>
      <w:r>
        <w:t xml:space="preserve">are there any limitations on </w:t>
      </w:r>
      <w:r w:rsidR="002242CE">
        <w:t xml:space="preserve">when it is </w:t>
      </w:r>
      <w:r>
        <w:t>use</w:t>
      </w:r>
      <w:r w:rsidR="002242CE">
        <w:t>d</w:t>
      </w:r>
      <w:r>
        <w:t>?</w:t>
      </w:r>
    </w:p>
    <w:p w14:paraId="22D76464" w14:textId="46306F87" w:rsidR="006861C6" w:rsidRDefault="006861C6" w:rsidP="00E10036">
      <w:pPr>
        <w:pStyle w:val="ListParagraph"/>
        <w:numPr>
          <w:ilvl w:val="1"/>
          <w:numId w:val="17"/>
        </w:numPr>
        <w:spacing w:after="40"/>
        <w:ind w:left="792"/>
        <w:contextualSpacing w:val="0"/>
      </w:pPr>
      <w:r>
        <w:t xml:space="preserve">Should the use be limited </w:t>
      </w:r>
      <w:r w:rsidR="00541610">
        <w:t>based on the unitary business principle</w:t>
      </w:r>
      <w:r>
        <w:t>?</w:t>
      </w:r>
    </w:p>
    <w:p w14:paraId="50D721C7" w14:textId="4D78F44D" w:rsidR="006861C6" w:rsidRDefault="006861C6" w:rsidP="00E10036">
      <w:pPr>
        <w:pStyle w:val="ListParagraph"/>
        <w:numPr>
          <w:ilvl w:val="1"/>
          <w:numId w:val="17"/>
        </w:numPr>
        <w:spacing w:after="120"/>
        <w:ind w:left="792"/>
        <w:contextualSpacing w:val="0"/>
      </w:pPr>
      <w:r>
        <w:t xml:space="preserve">Should the use be limited </w:t>
      </w:r>
      <w:r w:rsidR="00714379">
        <w:t>based on the</w:t>
      </w:r>
      <w:r>
        <w:t xml:space="preserve"> type of partner?</w:t>
      </w:r>
    </w:p>
    <w:p w14:paraId="7D884D78" w14:textId="4A59F0F0" w:rsidR="00792E74" w:rsidRDefault="00792E74" w:rsidP="00E10036">
      <w:pPr>
        <w:pStyle w:val="ListParagraph"/>
        <w:numPr>
          <w:ilvl w:val="0"/>
          <w:numId w:val="17"/>
        </w:numPr>
        <w:spacing w:after="120"/>
        <w:ind w:left="360"/>
        <w:contextualSpacing w:val="0"/>
      </w:pPr>
      <w:r>
        <w:t xml:space="preserve">Do special or mandatory allocations of partnership income call for different sourcing rules? </w:t>
      </w:r>
    </w:p>
    <w:p w14:paraId="750BE1BA" w14:textId="13AA0B83" w:rsidR="00FC1B40" w:rsidRDefault="00FC1B40" w:rsidP="00955008">
      <w:pPr>
        <w:pStyle w:val="ListParagraph"/>
        <w:numPr>
          <w:ilvl w:val="0"/>
          <w:numId w:val="8"/>
        </w:numPr>
        <w:spacing w:after="240"/>
        <w:ind w:left="360"/>
        <w:contextualSpacing w:val="0"/>
      </w:pPr>
      <w:r>
        <w:t>Are there any anti-abuse rules needed to avoid unintended sourcing results?</w:t>
      </w:r>
    </w:p>
    <w:p w14:paraId="76221C78" w14:textId="5C2CBA2E" w:rsidR="00130208" w:rsidRDefault="00130208" w:rsidP="00130208">
      <w:r>
        <w:t>To better understand the reason</w:t>
      </w:r>
      <w:r w:rsidR="007709D7">
        <w:t xml:space="preserve">s why </w:t>
      </w:r>
      <w:r>
        <w:t xml:space="preserve">partnerships and the pass-through </w:t>
      </w:r>
      <w:r w:rsidR="007709D7">
        <w:t xml:space="preserve">tax </w:t>
      </w:r>
      <w:r>
        <w:t xml:space="preserve">system raise </w:t>
      </w:r>
      <w:r w:rsidR="001A3F1E">
        <w:t xml:space="preserve">difficult </w:t>
      </w:r>
      <w:r w:rsidR="007977D5">
        <w:t>sourcing</w:t>
      </w:r>
      <w:r>
        <w:t xml:space="preserve"> </w:t>
      </w:r>
      <w:r w:rsidR="001A3F1E">
        <w:t>issues</w:t>
      </w:r>
      <w:r>
        <w:t xml:space="preserve">, </w:t>
      </w:r>
      <w:r w:rsidR="007977D5">
        <w:t xml:space="preserve">the </w:t>
      </w:r>
      <w:r>
        <w:t xml:space="preserve">following subsections discuss </w:t>
      </w:r>
      <w:r w:rsidR="001A3F1E">
        <w:t xml:space="preserve">the </w:t>
      </w:r>
      <w:r>
        <w:t>important context</w:t>
      </w:r>
      <w:r w:rsidR="001A3F1E">
        <w:t xml:space="preserve"> in which partnership income is taxed,</w:t>
      </w:r>
      <w:r>
        <w:t xml:space="preserve"> including</w:t>
      </w:r>
      <w:r w:rsidR="00907459">
        <w:t>:</w:t>
      </w:r>
      <w:r>
        <w:t xml:space="preserve"> laws governing partnerships generally, common terms necessary for discussing the issues, what it means </w:t>
      </w:r>
      <w:r w:rsidR="001A64CC">
        <w:t>for</w:t>
      </w:r>
      <w:r>
        <w:t xml:space="preserve"> states to conform to the federal pass-through system, the importance of the attribution principle, and </w:t>
      </w:r>
      <w:r w:rsidR="007709D7">
        <w:t xml:space="preserve">a </w:t>
      </w:r>
      <w:r>
        <w:t xml:space="preserve">further </w:t>
      </w:r>
      <w:r w:rsidR="001A64CC">
        <w:t>analysis</w:t>
      </w:r>
      <w:r>
        <w:t xml:space="preserve"> of the states’ general sourcing rules.</w:t>
      </w:r>
    </w:p>
    <w:p w14:paraId="5D4E1ED1" w14:textId="77777777" w:rsidR="00907459" w:rsidRDefault="00907459" w:rsidP="00130208"/>
    <w:p w14:paraId="162D7F1F" w14:textId="74D8C437" w:rsidR="00BE3C6D" w:rsidRPr="00BE3C6D" w:rsidRDefault="004A6944" w:rsidP="008718C5">
      <w:pPr>
        <w:pStyle w:val="Heading2"/>
      </w:pPr>
      <w:bookmarkStart w:id="27" w:name="_Toc195435228"/>
      <w:r>
        <w:t xml:space="preserve">I. </w:t>
      </w:r>
      <w:r w:rsidR="00F65298">
        <w:t>B</w:t>
      </w:r>
      <w:r>
        <w:t xml:space="preserve">. </w:t>
      </w:r>
      <w:r w:rsidR="004E7A20">
        <w:t xml:space="preserve">Overview of </w:t>
      </w:r>
      <w:r w:rsidR="00543B8C">
        <w:t xml:space="preserve">Important </w:t>
      </w:r>
      <w:r>
        <w:t>Law</w:t>
      </w:r>
      <w:bookmarkEnd w:id="27"/>
    </w:p>
    <w:p w14:paraId="5D51E84A" w14:textId="3FE92020" w:rsidR="004A6944" w:rsidRDefault="00C7708A" w:rsidP="004A6944">
      <w:r w:rsidRPr="00816484">
        <w:rPr>
          <w:noProof/>
        </w:rPr>
        <w:drawing>
          <wp:anchor distT="0" distB="0" distL="114300" distR="114300" simplePos="0" relativeHeight="251654656" behindDoc="0" locked="0" layoutInCell="1" allowOverlap="1" wp14:anchorId="3842CC21" wp14:editId="233D2058">
            <wp:simplePos x="0" y="0"/>
            <wp:positionH relativeFrom="margin">
              <wp:posOffset>572770</wp:posOffset>
            </wp:positionH>
            <wp:positionV relativeFrom="paragraph">
              <wp:posOffset>535305</wp:posOffset>
            </wp:positionV>
            <wp:extent cx="4514850" cy="3003550"/>
            <wp:effectExtent l="0" t="0" r="0" b="158750"/>
            <wp:wrapTopAndBottom/>
            <wp:docPr id="50708939" name="Diagram 1">
              <a:extLst xmlns:a="http://schemas.openxmlformats.org/drawingml/2006/main">
                <a:ext uri="{FF2B5EF4-FFF2-40B4-BE49-F238E27FC236}">
                  <a16:creationId xmlns:a16="http://schemas.microsoft.com/office/drawing/2014/main" id="{4108E833-F227-3C7B-674A-FEE1381CA3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900D28">
        <w:t xml:space="preserve">State taxation of partnership income is </w:t>
      </w:r>
      <w:r w:rsidR="001A64CC">
        <w:t xml:space="preserve">directly </w:t>
      </w:r>
      <w:r w:rsidR="00900D28">
        <w:t>affected by t</w:t>
      </w:r>
      <w:r w:rsidR="00160A0E">
        <w:t xml:space="preserve">hree </w:t>
      </w:r>
      <w:r w:rsidR="00F97A02">
        <w:t>categories of law</w:t>
      </w:r>
      <w:r w:rsidR="000A6650">
        <w:t>s</w:t>
      </w:r>
      <w:r w:rsidR="00C03F56">
        <w:t>. The first—</w:t>
      </w:r>
      <w:r w:rsidR="0062473E">
        <w:t>state laws governing formation</w:t>
      </w:r>
      <w:r w:rsidR="001669CF">
        <w:t>—</w:t>
      </w:r>
      <w:r w:rsidR="00C03F56">
        <w:t xml:space="preserve">will be discussed in this subsection I.B. The </w:t>
      </w:r>
      <w:r w:rsidR="00130C41">
        <w:t>other two—federal tax law and state tax sourcing rules</w:t>
      </w:r>
      <w:r w:rsidR="0062473E">
        <w:t>—</w:t>
      </w:r>
      <w:r w:rsidR="00130C41">
        <w:t>are</w:t>
      </w:r>
      <w:r w:rsidR="00695012">
        <w:t xml:space="preserve"> summarized </w:t>
      </w:r>
      <w:r w:rsidR="00130C41">
        <w:t xml:space="preserve">briefly </w:t>
      </w:r>
      <w:r w:rsidR="0062473E">
        <w:t xml:space="preserve">below </w:t>
      </w:r>
      <w:r w:rsidR="007709D7">
        <w:t>and</w:t>
      </w:r>
      <w:r w:rsidR="004D6CD1">
        <w:t xml:space="preserve"> discussed in greater detail </w:t>
      </w:r>
      <w:r w:rsidR="00130C41">
        <w:t>in this</w:t>
      </w:r>
      <w:r w:rsidR="004D6CD1">
        <w:t xml:space="preserve"> white paper.</w:t>
      </w:r>
      <w:r w:rsidR="00160A0E">
        <w:t xml:space="preserve"> </w:t>
      </w:r>
    </w:p>
    <w:p w14:paraId="0BE62C65" w14:textId="6D6467A5" w:rsidR="00907459" w:rsidRDefault="00907459" w:rsidP="004A6944"/>
    <w:p w14:paraId="4C47F716" w14:textId="37527203" w:rsidR="00A876DA" w:rsidRDefault="00D86C97" w:rsidP="00A876DA">
      <w:pPr>
        <w:pStyle w:val="Heading3"/>
      </w:pPr>
      <w:bookmarkStart w:id="28" w:name="_Toc195435229"/>
      <w:r>
        <w:lastRenderedPageBreak/>
        <w:t xml:space="preserve">State </w:t>
      </w:r>
      <w:r w:rsidR="008236EB">
        <w:t xml:space="preserve">Laws </w:t>
      </w:r>
      <w:r w:rsidR="0062473E">
        <w:t>Governing</w:t>
      </w:r>
      <w:r>
        <w:t xml:space="preserve"> </w:t>
      </w:r>
      <w:r w:rsidR="008236EB">
        <w:t>Formation</w:t>
      </w:r>
      <w:bookmarkEnd w:id="28"/>
    </w:p>
    <w:p w14:paraId="5521144B" w14:textId="71CF09A4" w:rsidR="00B71521" w:rsidRDefault="00A876DA" w:rsidP="00364D04">
      <w:pPr>
        <w:spacing w:after="120"/>
      </w:pPr>
      <w:r>
        <w:t xml:space="preserve">Partnerships, like corporations, are </w:t>
      </w:r>
      <w:r w:rsidR="008718C5">
        <w:t xml:space="preserve">the </w:t>
      </w:r>
      <w:r>
        <w:t xml:space="preserve">creatures of state statutory law. </w:t>
      </w:r>
      <w:r w:rsidR="000A6650">
        <w:t>These</w:t>
      </w:r>
      <w:r w:rsidR="00B71521">
        <w:t xml:space="preserve"> </w:t>
      </w:r>
      <w:r w:rsidR="007709D7">
        <w:t>statutes</w:t>
      </w:r>
      <w:r>
        <w:t xml:space="preserve"> </w:t>
      </w:r>
      <w:r w:rsidR="00866DAD">
        <w:t xml:space="preserve">govern </w:t>
      </w:r>
      <w:r w:rsidR="005E0A55">
        <w:t xml:space="preserve">formation of partnerships </w:t>
      </w:r>
      <w:r w:rsidR="0062473E">
        <w:t xml:space="preserve">and </w:t>
      </w:r>
      <w:r>
        <w:t>prescrib</w:t>
      </w:r>
      <w:r w:rsidR="008718C5">
        <w:t>e</w:t>
      </w:r>
      <w:r>
        <w:t xml:space="preserve">, in </w:t>
      </w:r>
      <w:r w:rsidR="007709D7">
        <w:t xml:space="preserve">some </w:t>
      </w:r>
      <w:r>
        <w:t xml:space="preserve">detail, </w:t>
      </w:r>
      <w:r w:rsidR="00900D28">
        <w:t xml:space="preserve">the </w:t>
      </w:r>
      <w:r w:rsidR="00B5622F">
        <w:t xml:space="preserve">legal </w:t>
      </w:r>
      <w:r w:rsidR="008236EB">
        <w:t>rights and duties</w:t>
      </w:r>
      <w:r w:rsidR="00900D28">
        <w:t xml:space="preserve"> </w:t>
      </w:r>
      <w:r w:rsidR="000A6650">
        <w:t xml:space="preserve">of </w:t>
      </w:r>
      <w:r>
        <w:t>partners</w:t>
      </w:r>
      <w:r w:rsidR="000A6650">
        <w:t xml:space="preserve"> and </w:t>
      </w:r>
      <w:r>
        <w:t>partnerships</w:t>
      </w:r>
      <w:r w:rsidR="00900D28">
        <w:t xml:space="preserve"> </w:t>
      </w:r>
      <w:r w:rsidR="000A6650">
        <w:t xml:space="preserve">in relationship to each other and with </w:t>
      </w:r>
      <w:r w:rsidR="00900D28">
        <w:t xml:space="preserve">third parties. </w:t>
      </w:r>
      <w:r w:rsidR="000A6650">
        <w:t>S</w:t>
      </w:r>
      <w:r w:rsidR="007977D5">
        <w:t xml:space="preserve">tate </w:t>
      </w:r>
      <w:r w:rsidR="00B71521">
        <w:t>laws also</w:t>
      </w:r>
      <w:r w:rsidR="00900D28">
        <w:t xml:space="preserve"> </w:t>
      </w:r>
      <w:r w:rsidR="000A6650">
        <w:t xml:space="preserve">allow for the creation of </w:t>
      </w:r>
      <w:r w:rsidR="00D053C0">
        <w:t xml:space="preserve">different </w:t>
      </w:r>
      <w:r w:rsidR="00B5622F">
        <w:t xml:space="preserve">forms of </w:t>
      </w:r>
      <w:r w:rsidR="00D053C0">
        <w:t>partnership</w:t>
      </w:r>
      <w:r w:rsidR="00B5622F">
        <w:t>s</w:t>
      </w:r>
      <w:r w:rsidR="0062473E">
        <w:t xml:space="preserve">. </w:t>
      </w:r>
      <w:r w:rsidR="00907459">
        <w:t>M</w:t>
      </w:r>
      <w:r w:rsidR="0062473E">
        <w:t xml:space="preserve">ost importantly, </w:t>
      </w:r>
      <w:r w:rsidR="00907459">
        <w:t xml:space="preserve">when </w:t>
      </w:r>
      <w:r w:rsidR="0062473E">
        <w:t xml:space="preserve">compared </w:t>
      </w:r>
      <w:r w:rsidR="000A6650">
        <w:t xml:space="preserve">with </w:t>
      </w:r>
      <w:r w:rsidR="0062473E">
        <w:t>corporat</w:t>
      </w:r>
      <w:r w:rsidR="00907459">
        <w:t>ions,</w:t>
      </w:r>
      <w:r w:rsidR="000A6650">
        <w:t xml:space="preserve"> </w:t>
      </w:r>
      <w:r w:rsidR="0062473E">
        <w:t>partners</w:t>
      </w:r>
      <w:r w:rsidR="00907459">
        <w:t>hips</w:t>
      </w:r>
      <w:r w:rsidR="0062473E">
        <w:t xml:space="preserve"> have much greater flexibility in</w:t>
      </w:r>
      <w:r w:rsidR="00907459">
        <w:t xml:space="preserve"> terms of their </w:t>
      </w:r>
      <w:r w:rsidR="0062473E">
        <w:t>structur</w:t>
      </w:r>
      <w:r w:rsidR="00907459">
        <w:t>e</w:t>
      </w:r>
      <w:r w:rsidR="0062473E">
        <w:t xml:space="preserve"> and </w:t>
      </w:r>
      <w:r w:rsidR="00907459">
        <w:t>operations</w:t>
      </w:r>
      <w:r w:rsidR="0062473E">
        <w:t xml:space="preserve"> as well as in </w:t>
      </w:r>
      <w:r w:rsidR="00907459">
        <w:t>the roles of partners</w:t>
      </w:r>
      <w:r w:rsidR="0062473E">
        <w:t>.</w:t>
      </w:r>
    </w:p>
    <w:p w14:paraId="228348AE" w14:textId="6436DBA2" w:rsidR="00405772" w:rsidRDefault="00405772" w:rsidP="00405772">
      <w:pPr>
        <w:pStyle w:val="Heading4"/>
        <w:ind w:left="720"/>
      </w:pPr>
      <w:r>
        <w:t xml:space="preserve">Uniform </w:t>
      </w:r>
      <w:r w:rsidR="0062473E">
        <w:t>Governing</w:t>
      </w:r>
      <w:r>
        <w:t xml:space="preserve"> Laws</w:t>
      </w:r>
    </w:p>
    <w:p w14:paraId="7FDEF62F" w14:textId="1984DB66" w:rsidR="00A876DA" w:rsidRPr="00C7708A" w:rsidRDefault="00866DAD" w:rsidP="00405772">
      <w:pPr>
        <w:spacing w:after="120"/>
        <w:ind w:left="720"/>
        <w:rPr>
          <w:color w:val="0070C0"/>
        </w:rPr>
      </w:pPr>
      <w:r>
        <w:t>Most</w:t>
      </w:r>
      <w:r w:rsidR="007977D5">
        <w:t xml:space="preserve"> state</w:t>
      </w:r>
      <w:r>
        <w:t xml:space="preserve"> governing statutes</w:t>
      </w:r>
      <w:r w:rsidR="00D053C0">
        <w:t xml:space="preserve"> are </w:t>
      </w:r>
      <w:r w:rsidR="00BE40F5">
        <w:t xml:space="preserve">largely </w:t>
      </w:r>
      <w:r w:rsidR="00D053C0">
        <w:t>consistent with t</w:t>
      </w:r>
      <w:r w:rsidR="00A876DA">
        <w:t xml:space="preserve">he Uniform Law Commission (ULC) </w:t>
      </w:r>
      <w:r w:rsidR="00D053C0">
        <w:t>model acts</w:t>
      </w:r>
      <w:r>
        <w:t>. This</w:t>
      </w:r>
      <w:r w:rsidR="00A876DA">
        <w:t xml:space="preserve"> </w:t>
      </w:r>
      <w:r w:rsidR="00B71521">
        <w:t xml:space="preserve">white paper may reference these acts </w:t>
      </w:r>
      <w:r w:rsidR="00BE40F5">
        <w:t>when discussing partnership</w:t>
      </w:r>
      <w:r>
        <w:t xml:space="preserve">s </w:t>
      </w:r>
      <w:r w:rsidR="00A876DA">
        <w:t>– see links here:</w:t>
      </w:r>
    </w:p>
    <w:p w14:paraId="27975832" w14:textId="6561D96A" w:rsidR="00A876DA" w:rsidRPr="00634DA2" w:rsidRDefault="00D053C0" w:rsidP="00C7708A">
      <w:pPr>
        <w:pStyle w:val="ListParagraph"/>
        <w:ind w:left="1440"/>
        <w:rPr>
          <w:color w:val="851C00" w:themeColor="accent6" w:themeShade="BF"/>
        </w:rPr>
      </w:pPr>
      <w:hyperlink r:id="rId22" w:history="1">
        <w:r w:rsidRPr="00C7708A">
          <w:rPr>
            <w:rStyle w:val="Hyperlink"/>
          </w:rPr>
          <w:t>ULC P</w:t>
        </w:r>
        <w:r w:rsidR="00A876DA" w:rsidRPr="00C7708A">
          <w:rPr>
            <w:rStyle w:val="Hyperlink"/>
          </w:rPr>
          <w:t>artnership Act</w:t>
        </w:r>
      </w:hyperlink>
      <w:r w:rsidR="00900D28">
        <w:rPr>
          <w:color w:val="851C00" w:themeColor="accent6" w:themeShade="BF"/>
        </w:rPr>
        <w:t xml:space="preserve"> </w:t>
      </w:r>
      <w:r w:rsidR="00900D28">
        <w:rPr>
          <w:color w:val="000000" w:themeColor="text1"/>
        </w:rPr>
        <w:t xml:space="preserve">(which </w:t>
      </w:r>
      <w:r w:rsidR="0062473E">
        <w:rPr>
          <w:color w:val="000000" w:themeColor="text1"/>
        </w:rPr>
        <w:t xml:space="preserve">includes </w:t>
      </w:r>
      <w:r w:rsidR="00900D28">
        <w:rPr>
          <w:color w:val="000000" w:themeColor="text1"/>
        </w:rPr>
        <w:t>general and limited liability partnerships)</w:t>
      </w:r>
    </w:p>
    <w:bookmarkStart w:id="29" w:name="_Hlk193992006"/>
    <w:p w14:paraId="3B1F91C4" w14:textId="77777777" w:rsidR="0062473E" w:rsidRPr="00C7708A" w:rsidRDefault="0062473E" w:rsidP="00C7708A">
      <w:pPr>
        <w:pStyle w:val="ListParagraph"/>
        <w:ind w:left="1440"/>
        <w:rPr>
          <w:rStyle w:val="Hyperlink"/>
        </w:rPr>
      </w:pPr>
      <w:r w:rsidRPr="00C7708A">
        <w:rPr>
          <w:rStyle w:val="Hyperlink"/>
        </w:rPr>
        <w:fldChar w:fldCharType="begin"/>
      </w:r>
      <w:r w:rsidRPr="00C7708A">
        <w:rPr>
          <w:rStyle w:val="Hyperlink"/>
        </w:rPr>
        <w:instrText>HYPERLINK "https://www.uniformlaws.org/viewdocument/final-act-84?CommunityKey=d9036976-6c90-4951-ba81-1046c90da035&amp;tab=librarydocuments"</w:instrText>
      </w:r>
      <w:r w:rsidRPr="00C7708A">
        <w:rPr>
          <w:rStyle w:val="Hyperlink"/>
        </w:rPr>
      </w:r>
      <w:r w:rsidRPr="00C7708A">
        <w:rPr>
          <w:rStyle w:val="Hyperlink"/>
        </w:rPr>
        <w:fldChar w:fldCharType="separate"/>
      </w:r>
      <w:r w:rsidRPr="00C7708A">
        <w:rPr>
          <w:rStyle w:val="Hyperlink"/>
        </w:rPr>
        <w:t>ULC Limited Partnership Act</w:t>
      </w:r>
      <w:r w:rsidRPr="00C7708A">
        <w:rPr>
          <w:rStyle w:val="Hyperlink"/>
        </w:rPr>
        <w:fldChar w:fldCharType="end"/>
      </w:r>
    </w:p>
    <w:p w14:paraId="741F3806" w14:textId="1A476324" w:rsidR="00A876DA" w:rsidRPr="00C7708A" w:rsidRDefault="00D053C0" w:rsidP="00C7708A">
      <w:pPr>
        <w:pStyle w:val="ListParagraph"/>
        <w:ind w:left="1440"/>
        <w:rPr>
          <w:rStyle w:val="Hyperlink"/>
        </w:rPr>
      </w:pPr>
      <w:hyperlink r:id="rId23" w:history="1">
        <w:r w:rsidRPr="00C7708A">
          <w:rPr>
            <w:rStyle w:val="Hyperlink"/>
          </w:rPr>
          <w:t>ULC L</w:t>
        </w:r>
        <w:r w:rsidR="00A876DA" w:rsidRPr="00C7708A">
          <w:rPr>
            <w:rStyle w:val="Hyperlink"/>
          </w:rPr>
          <w:t>imited Liability Company Act</w:t>
        </w:r>
      </w:hyperlink>
      <w:r w:rsidR="00A876DA" w:rsidRPr="00C7708A">
        <w:rPr>
          <w:rStyle w:val="Hyperlink"/>
        </w:rPr>
        <w:t xml:space="preserve"> </w:t>
      </w:r>
    </w:p>
    <w:bookmarkEnd w:id="29"/>
    <w:p w14:paraId="42BD097F" w14:textId="57C4C38A" w:rsidR="00405772" w:rsidRDefault="00555503" w:rsidP="00405772">
      <w:pPr>
        <w:pStyle w:val="Heading4"/>
        <w:ind w:left="720"/>
      </w:pPr>
      <w:r>
        <w:t>Partnership Laws are Influence</w:t>
      </w:r>
      <w:r w:rsidR="006A7AED">
        <w:t>d by</w:t>
      </w:r>
      <w:r>
        <w:t xml:space="preserve"> Two Theories – Aggregate and Entity </w:t>
      </w:r>
    </w:p>
    <w:p w14:paraId="0144C9D1" w14:textId="519283EE" w:rsidR="00F626D3" w:rsidRDefault="00866DAD" w:rsidP="00405772">
      <w:pPr>
        <w:ind w:left="720"/>
      </w:pPr>
      <w:r>
        <w:t>T</w:t>
      </w:r>
      <w:r w:rsidR="007709D7">
        <w:t xml:space="preserve">wo </w:t>
      </w:r>
      <w:r w:rsidR="00E46576">
        <w:t xml:space="preserve">legal </w:t>
      </w:r>
      <w:r w:rsidR="007709D7">
        <w:t xml:space="preserve">theories </w:t>
      </w:r>
      <w:r>
        <w:t>of partnerships have influenced the development of state governing laws</w:t>
      </w:r>
      <w:r w:rsidR="00E46576">
        <w:t>. These theories</w:t>
      </w:r>
      <w:r>
        <w:t xml:space="preserve"> </w:t>
      </w:r>
      <w:r w:rsidR="00F626D3">
        <w:t xml:space="preserve">sometimes </w:t>
      </w:r>
      <w:r w:rsidR="000A6650">
        <w:t xml:space="preserve">also </w:t>
      </w:r>
      <w:r w:rsidR="00F626D3">
        <w:t xml:space="preserve">come up in the context of state sourcing debates. </w:t>
      </w:r>
      <w:r w:rsidR="000A6650">
        <w:t>The a</w:t>
      </w:r>
      <w:r w:rsidR="00F626D3">
        <w:t xml:space="preserve">ggregate theory </w:t>
      </w:r>
      <w:r>
        <w:t>views</w:t>
      </w:r>
      <w:r w:rsidR="00F626D3">
        <w:t xml:space="preserve"> partnerships as simply joint endeavors </w:t>
      </w:r>
      <w:r>
        <w:t xml:space="preserve">undertaken </w:t>
      </w:r>
      <w:r w:rsidR="00F626D3">
        <w:t>by separate persons—</w:t>
      </w:r>
      <w:r>
        <w:t xml:space="preserve">whether </w:t>
      </w:r>
      <w:r w:rsidR="00F626D3">
        <w:t xml:space="preserve">owning property collectively </w:t>
      </w:r>
      <w:r>
        <w:t xml:space="preserve">or </w:t>
      </w:r>
      <w:r w:rsidR="00F626D3">
        <w:t xml:space="preserve">taking certain collective actions. </w:t>
      </w:r>
      <w:r w:rsidR="000A6650">
        <w:t>I</w:t>
      </w:r>
      <w:r w:rsidR="00F626D3">
        <w:t xml:space="preserve">n contrast, </w:t>
      </w:r>
      <w:r w:rsidR="000A6650">
        <w:t xml:space="preserve">the entity theory </w:t>
      </w:r>
      <w:r>
        <w:t>views</w:t>
      </w:r>
      <w:r w:rsidR="00F626D3">
        <w:t xml:space="preserve"> partnerships as separate persons under the law (similar to corporations). </w:t>
      </w:r>
    </w:p>
    <w:p w14:paraId="58EBB4D3" w14:textId="0233AB53" w:rsidR="00F626D3" w:rsidRDefault="00904ECB" w:rsidP="00405772">
      <w:pPr>
        <w:ind w:left="720"/>
      </w:pPr>
      <w:r>
        <w:t>I</w:t>
      </w:r>
      <w:r w:rsidR="00F626D3">
        <w:t xml:space="preserve">ntroductory comments to the </w:t>
      </w:r>
      <w:r>
        <w:t xml:space="preserve">current </w:t>
      </w:r>
      <w:r w:rsidR="00F626D3">
        <w:t xml:space="preserve">ULC Partnership Act (as amended in 2013) </w:t>
      </w:r>
      <w:r w:rsidR="00866DAD">
        <w:t>address how these theories have influenced the governing rules</w:t>
      </w:r>
      <w:r>
        <w:t xml:space="preserve"> as the following excerpts show</w:t>
      </w:r>
      <w:r w:rsidR="00F626D3">
        <w:t>:</w:t>
      </w:r>
    </w:p>
    <w:p w14:paraId="26757D1E" w14:textId="41E47C3C" w:rsidR="00F626D3" w:rsidRDefault="00F626D3" w:rsidP="00405772">
      <w:pPr>
        <w:ind w:left="1440"/>
      </w:pPr>
      <w:r>
        <w:t>“</w:t>
      </w:r>
      <w:r w:rsidRPr="00F626D3">
        <w:t xml:space="preserve">The National Conference of Commissioners on Uniform State Laws first considered a uniform law of partnership in 1902. Although early drafts had proceeded along the mercantile or "entity" theory of partnerships, later drafts were based on the common-law "aggregate" theory. The resulting Uniform Partnership Act ("UPA"), which embodied certain aspects of each theory, was finally approved by the Conference in 1914. </w:t>
      </w:r>
      <w:r>
        <w:t xml:space="preserve">. . . </w:t>
      </w:r>
    </w:p>
    <w:p w14:paraId="32F4E507" w14:textId="49C36F76" w:rsidR="00F626D3" w:rsidRDefault="00F626D3" w:rsidP="00405772">
      <w:pPr>
        <w:ind w:left="1440"/>
      </w:pPr>
      <w:r w:rsidRPr="00F626D3">
        <w:t xml:space="preserve">In January of 1986, an American Bar Association subcommittee issued a detailed report that recommended extensive revisions to the UPA. </w:t>
      </w:r>
      <w:r>
        <w:t>. . .</w:t>
      </w:r>
      <w:r w:rsidRPr="00F626D3">
        <w:t xml:space="preserve"> The ABA Report recommended that the entity theory "should be incorporated into any revision of the UPA whenever possible." </w:t>
      </w:r>
      <w:r>
        <w:t xml:space="preserve">. . . </w:t>
      </w:r>
      <w:r w:rsidRPr="00F626D3">
        <w:t>The Revised Uniform Partnership Act (1992) was adopted unanimously by a vote of the States on August 6, 1992.  The following year, in response to suggestions from various groups</w:t>
      </w:r>
      <w:r w:rsidR="00866DAD">
        <w:t xml:space="preserve"> . . .</w:t>
      </w:r>
      <w:r w:rsidRPr="00F626D3">
        <w:t xml:space="preserve"> the Drafting Committee recommended numerous revisions </w:t>
      </w:r>
      <w:r>
        <w:t>. . .</w:t>
      </w:r>
      <w:r w:rsidRPr="00F626D3">
        <w:t xml:space="preserve"> </w:t>
      </w:r>
    </w:p>
    <w:p w14:paraId="53C330B2" w14:textId="53DB9711" w:rsidR="00F626D3" w:rsidRDefault="00F626D3" w:rsidP="00405772">
      <w:pPr>
        <w:ind w:left="1440"/>
      </w:pPr>
      <w:r w:rsidRPr="00F626D3">
        <w:t xml:space="preserve">The </w:t>
      </w:r>
      <w:r>
        <w:t xml:space="preserve">[current] </w:t>
      </w:r>
      <w:r w:rsidRPr="00F626D3">
        <w:t>Act enhances the entity treatment of partnerships to achieve simplicity for state law purposes, particularly in matters concerning title to partnership property. RUPA does not, however, relentlessly apply the entity approach. The aggregate approach is retained for some purposes, such as partners' joint and several liability.</w:t>
      </w:r>
      <w:r>
        <w:t>”</w:t>
      </w:r>
    </w:p>
    <w:p w14:paraId="1C8F490B" w14:textId="12336830" w:rsidR="00387289" w:rsidRDefault="00F626D3" w:rsidP="00405772">
      <w:pPr>
        <w:ind w:left="720"/>
      </w:pPr>
      <w:r>
        <w:t>Th</w:t>
      </w:r>
      <w:r w:rsidR="00904ECB">
        <w:t>is</w:t>
      </w:r>
      <w:r>
        <w:t xml:space="preserve"> ULC Partnership Act is </w:t>
      </w:r>
      <w:r w:rsidR="00866DAD">
        <w:t xml:space="preserve">designed to govern </w:t>
      </w:r>
      <w:r w:rsidR="00AD1EEB">
        <w:t xml:space="preserve">the most </w:t>
      </w:r>
      <w:r>
        <w:t>traditional partnerships</w:t>
      </w:r>
      <w:r w:rsidR="00866DAD">
        <w:t>.</w:t>
      </w:r>
      <w:r w:rsidR="00405772">
        <w:t xml:space="preserve"> </w:t>
      </w:r>
      <w:r w:rsidR="00866DAD">
        <w:t>B</w:t>
      </w:r>
      <w:r w:rsidR="00405772">
        <w:t xml:space="preserve">ut as these comments </w:t>
      </w:r>
      <w:r w:rsidR="00904ECB">
        <w:t>reflect</w:t>
      </w:r>
      <w:r w:rsidR="00405772">
        <w:t xml:space="preserve">, </w:t>
      </w:r>
      <w:r w:rsidR="00866DAD">
        <w:t xml:space="preserve">even </w:t>
      </w:r>
      <w:r w:rsidR="00297662">
        <w:t xml:space="preserve">these </w:t>
      </w:r>
      <w:r w:rsidR="00904ECB">
        <w:t xml:space="preserve">traditional </w:t>
      </w:r>
      <w:r w:rsidR="00297662">
        <w:t xml:space="preserve">partnerships </w:t>
      </w:r>
      <w:r w:rsidR="00904ECB">
        <w:t>have been influenced by the entity theory</w:t>
      </w:r>
      <w:r w:rsidR="00AD1EEB">
        <w:t xml:space="preserve"> over time</w:t>
      </w:r>
      <w:r w:rsidR="00405772">
        <w:t xml:space="preserve">. </w:t>
      </w:r>
      <w:r>
        <w:t>The ULC Limited Liability Company Act and ULC Limited Partnership Act</w:t>
      </w:r>
      <w:r w:rsidR="00866DAD">
        <w:t xml:space="preserve"> </w:t>
      </w:r>
      <w:r w:rsidR="00405772">
        <w:t>incorporate even more of the entity theory into their provision</w:t>
      </w:r>
      <w:r w:rsidR="00BF7620">
        <w:t>s</w:t>
      </w:r>
      <w:r w:rsidR="00866DAD">
        <w:t xml:space="preserve">, including </w:t>
      </w:r>
      <w:r w:rsidR="00490A87">
        <w:t>providing limited</w:t>
      </w:r>
      <w:r w:rsidR="00866DAD">
        <w:t xml:space="preserve"> liability for partners </w:t>
      </w:r>
      <w:r w:rsidR="00490A87">
        <w:t xml:space="preserve">despite their </w:t>
      </w:r>
      <w:r w:rsidR="00866DAD">
        <w:t>role in the entity’s business</w:t>
      </w:r>
      <w:r w:rsidR="00405772">
        <w:t xml:space="preserve">. </w:t>
      </w:r>
    </w:p>
    <w:p w14:paraId="06A8BDA4" w14:textId="4E4C674C" w:rsidR="00F626D3" w:rsidRPr="00AD1EEB" w:rsidRDefault="00387289" w:rsidP="00904ECB">
      <w:pPr>
        <w:pBdr>
          <w:top w:val="single" w:sz="4" w:space="1" w:color="auto" w:shadow="1"/>
          <w:left w:val="single" w:sz="4" w:space="4" w:color="auto" w:shadow="1"/>
          <w:bottom w:val="single" w:sz="4" w:space="1" w:color="auto" w:shadow="1"/>
          <w:right w:val="single" w:sz="4" w:space="4" w:color="auto" w:shadow="1"/>
        </w:pBdr>
        <w:ind w:left="1440" w:right="720"/>
        <w:rPr>
          <w:b/>
          <w:bCs/>
          <w:sz w:val="18"/>
          <w:szCs w:val="20"/>
        </w:rPr>
      </w:pPr>
      <w:r w:rsidRPr="00AD1EEB">
        <w:rPr>
          <w:b/>
          <w:bCs/>
          <w:sz w:val="18"/>
          <w:szCs w:val="20"/>
        </w:rPr>
        <w:t xml:space="preserve">STATE TAX IMPLICATION: Traditionally, state tax rules may have treated partnerships primarily as aggregates of persons and not as separate entities. For example, state rules may effectively assume that partners share ownership in partnership assets in a way that is similar to joint ownership. These assumptions </w:t>
      </w:r>
      <w:r w:rsidR="002437A2" w:rsidRPr="00AD1EEB">
        <w:rPr>
          <w:b/>
          <w:bCs/>
          <w:sz w:val="18"/>
          <w:szCs w:val="20"/>
        </w:rPr>
        <w:t xml:space="preserve">about partnerships </w:t>
      </w:r>
      <w:r w:rsidRPr="00AD1EEB">
        <w:rPr>
          <w:b/>
          <w:bCs/>
          <w:sz w:val="18"/>
          <w:szCs w:val="20"/>
        </w:rPr>
        <w:t>may no longer b</w:t>
      </w:r>
      <w:r w:rsidR="00146CAE" w:rsidRPr="00AD1EEB">
        <w:rPr>
          <w:b/>
          <w:bCs/>
          <w:sz w:val="18"/>
          <w:szCs w:val="20"/>
        </w:rPr>
        <w:t>e</w:t>
      </w:r>
      <w:r w:rsidRPr="00AD1EEB">
        <w:rPr>
          <w:b/>
          <w:bCs/>
          <w:sz w:val="18"/>
          <w:szCs w:val="20"/>
        </w:rPr>
        <w:t xml:space="preserve"> sound. </w:t>
      </w:r>
      <w:r w:rsidR="00DC1962" w:rsidRPr="00AD1EEB">
        <w:rPr>
          <w:b/>
          <w:bCs/>
          <w:sz w:val="18"/>
          <w:szCs w:val="20"/>
        </w:rPr>
        <w:t xml:space="preserve">But see </w:t>
      </w:r>
      <w:r w:rsidR="00904ECB">
        <w:rPr>
          <w:b/>
          <w:bCs/>
          <w:sz w:val="18"/>
          <w:szCs w:val="20"/>
        </w:rPr>
        <w:t xml:space="preserve">also </w:t>
      </w:r>
      <w:r w:rsidR="00DC1962" w:rsidRPr="00AD1EEB">
        <w:rPr>
          <w:b/>
          <w:bCs/>
          <w:sz w:val="18"/>
          <w:szCs w:val="20"/>
        </w:rPr>
        <w:t>the discussion of the attribution or “conduit” principle in subsection I.</w:t>
      </w:r>
      <w:r w:rsidR="00874597" w:rsidRPr="00AD1EEB">
        <w:rPr>
          <w:b/>
          <w:bCs/>
          <w:sz w:val="18"/>
          <w:szCs w:val="20"/>
        </w:rPr>
        <w:t>E. below.</w:t>
      </w:r>
    </w:p>
    <w:p w14:paraId="16683D0A" w14:textId="6B4CD462" w:rsidR="004A626C" w:rsidRDefault="00904ECB" w:rsidP="004A626C">
      <w:pPr>
        <w:pStyle w:val="Heading4"/>
        <w:ind w:left="720"/>
      </w:pPr>
      <w:r>
        <w:lastRenderedPageBreak/>
        <w:t>Governing</w:t>
      </w:r>
      <w:r w:rsidR="00AD1EEB">
        <w:t xml:space="preserve"> Laws Impose Few Limits on </w:t>
      </w:r>
      <w:r>
        <w:t xml:space="preserve">Partnership </w:t>
      </w:r>
      <w:r w:rsidR="00AD1EEB">
        <w:t>Size or Structural Complexity</w:t>
      </w:r>
    </w:p>
    <w:p w14:paraId="0AC0D0C1" w14:textId="4AD63154" w:rsidR="00904ECB" w:rsidRDefault="00904ECB" w:rsidP="004A626C">
      <w:pPr>
        <w:ind w:left="720"/>
      </w:pPr>
      <w:bookmarkStart w:id="30" w:name="_Hlk193995026"/>
      <w:r>
        <w:rPr>
          <w:noProof/>
        </w:rPr>
        <w:drawing>
          <wp:anchor distT="0" distB="0" distL="114300" distR="114300" simplePos="0" relativeHeight="251660800" behindDoc="1" locked="0" layoutInCell="1" allowOverlap="1" wp14:anchorId="0391B06E" wp14:editId="5FEB66D6">
            <wp:simplePos x="0" y="0"/>
            <wp:positionH relativeFrom="margin">
              <wp:posOffset>1144270</wp:posOffset>
            </wp:positionH>
            <wp:positionV relativeFrom="paragraph">
              <wp:posOffset>1311275</wp:posOffset>
            </wp:positionV>
            <wp:extent cx="3670300" cy="1853565"/>
            <wp:effectExtent l="0" t="0" r="6350" b="0"/>
            <wp:wrapTopAndBottom/>
            <wp:docPr id="1966878107" name="Picture 2" descr="Shap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8107" name="Picture 2" descr="Shape, arrow&#10;&#10;AI-generated content may be incorrect."/>
                    <pic:cNvPicPr>
                      <a:picLocks noChangeAspect="1" noChangeArrowheads="1"/>
                    </pic:cNvPicPr>
                  </pic:nvPicPr>
                  <pic:blipFill>
                    <a:blip r:embed="rId2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670300" cy="1853565"/>
                    </a:xfrm>
                    <a:prstGeom prst="rect">
                      <a:avLst/>
                    </a:prstGeom>
                    <a:noFill/>
                  </pic:spPr>
                </pic:pic>
              </a:graphicData>
            </a:graphic>
            <wp14:sizeRelH relativeFrom="margin">
              <wp14:pctWidth>0</wp14:pctWidth>
            </wp14:sizeRelH>
            <wp14:sizeRelV relativeFrom="margin">
              <wp14:pctHeight>0</wp14:pctHeight>
            </wp14:sizeRelV>
          </wp:anchor>
        </w:drawing>
      </w:r>
      <w:bookmarkEnd w:id="30"/>
      <w:r w:rsidR="006127B4">
        <w:t>Because</w:t>
      </w:r>
      <w:r w:rsidR="002437A2">
        <w:t xml:space="preserve"> state governing laws</w:t>
      </w:r>
      <w:r w:rsidR="004A626C">
        <w:t xml:space="preserve"> provide much greater structural and operational flexibility for </w:t>
      </w:r>
      <w:r w:rsidR="002437A2">
        <w:t xml:space="preserve">partnerships </w:t>
      </w:r>
      <w:r w:rsidR="004A626C">
        <w:t>than corporations</w:t>
      </w:r>
      <w:r w:rsidR="006127B4">
        <w:t xml:space="preserve">, </w:t>
      </w:r>
      <w:r w:rsidR="004A626C">
        <w:t xml:space="preserve">partnerships are often used for unique or complex business arrangements or where those arrangements may change over time. </w:t>
      </w:r>
      <w:r w:rsidR="00640953">
        <w:t xml:space="preserve">Nor </w:t>
      </w:r>
      <w:r w:rsidR="00EF5893">
        <w:t xml:space="preserve">do federal tax rules apply </w:t>
      </w:r>
      <w:r w:rsidR="0056700A">
        <w:t>the</w:t>
      </w:r>
      <w:r w:rsidR="004A626C">
        <w:t xml:space="preserve"> kind of ownership </w:t>
      </w:r>
      <w:r w:rsidR="00EF5893">
        <w:t xml:space="preserve">limits on partnerships </w:t>
      </w:r>
      <w:r w:rsidR="0056700A">
        <w:t xml:space="preserve">that they </w:t>
      </w:r>
      <w:r w:rsidR="00EF5893">
        <w:t>apply to</w:t>
      </w:r>
      <w:r w:rsidR="0056700A">
        <w:t xml:space="preserve"> </w:t>
      </w:r>
      <w:r w:rsidR="004A626C">
        <w:t>S corporations</w:t>
      </w:r>
      <w:r w:rsidR="00D573CB">
        <w:t>. So</w:t>
      </w:r>
      <w:r w:rsidR="004A626C">
        <w:t xml:space="preserve"> partnerships can have thousands of partners and complex multi-tiered structures.</w:t>
      </w:r>
      <w:r w:rsidR="002437A2">
        <w:t xml:space="preserve"> </w:t>
      </w:r>
      <w:r w:rsidR="004A626C">
        <w:t>Partners and partnerships can also engage in transactions with each other and with related partnerships.</w:t>
      </w:r>
      <w:r w:rsidR="00A56EBD">
        <w:t xml:space="preserve"> </w:t>
      </w:r>
      <w:r w:rsidR="002C2019">
        <w:t xml:space="preserve">And federal tax data has long shown a </w:t>
      </w:r>
      <w:r>
        <w:t xml:space="preserve">rapid </w:t>
      </w:r>
      <w:r w:rsidR="002C2019">
        <w:t>growth in</w:t>
      </w:r>
      <w:r w:rsidR="00A56EBD">
        <w:t xml:space="preserve"> large</w:t>
      </w:r>
      <w:r w:rsidR="002C2019">
        <w:t>, complex</w:t>
      </w:r>
      <w:r w:rsidR="00A56EBD">
        <w:t xml:space="preserve"> partnerships.</w:t>
      </w:r>
      <w:r w:rsidR="004A626C">
        <w:rPr>
          <w:rStyle w:val="FootnoteReference"/>
        </w:rPr>
        <w:footnoteReference w:id="7"/>
      </w:r>
      <w:r w:rsidR="004A626C">
        <w:t xml:space="preserve"> </w:t>
      </w:r>
    </w:p>
    <w:p w14:paraId="20D290E9" w14:textId="77777777" w:rsidR="00904ECB" w:rsidRDefault="00904ECB" w:rsidP="004A626C">
      <w:pPr>
        <w:ind w:left="720"/>
      </w:pPr>
    </w:p>
    <w:p w14:paraId="00C169B3" w14:textId="667EC91E" w:rsidR="00C03F56" w:rsidRPr="00AD1EEB" w:rsidRDefault="00130C41" w:rsidP="004B6D12">
      <w:pPr>
        <w:pBdr>
          <w:top w:val="single" w:sz="4" w:space="1" w:color="auto" w:shadow="1"/>
          <w:left w:val="single" w:sz="4" w:space="4" w:color="auto" w:shadow="1"/>
          <w:bottom w:val="single" w:sz="4" w:space="1" w:color="auto" w:shadow="1"/>
          <w:right w:val="single" w:sz="4" w:space="4" w:color="auto" w:shadow="1"/>
        </w:pBdr>
        <w:ind w:left="1440" w:right="720"/>
        <w:jc w:val="left"/>
        <w:rPr>
          <w:b/>
          <w:bCs/>
          <w:sz w:val="18"/>
          <w:szCs w:val="20"/>
        </w:rPr>
      </w:pPr>
      <w:r w:rsidRPr="00AD1EEB">
        <w:rPr>
          <w:b/>
          <w:bCs/>
          <w:sz w:val="18"/>
          <w:szCs w:val="20"/>
        </w:rPr>
        <w:t xml:space="preserve">STATE TAX IMPLICATION: Given the flexibility in partnership structures allowed by general state </w:t>
      </w:r>
      <w:r w:rsidR="0062473E" w:rsidRPr="00AD1EEB">
        <w:rPr>
          <w:b/>
          <w:bCs/>
          <w:sz w:val="18"/>
          <w:szCs w:val="20"/>
        </w:rPr>
        <w:t>governing</w:t>
      </w:r>
      <w:r w:rsidRPr="00AD1EEB">
        <w:rPr>
          <w:b/>
          <w:bCs/>
          <w:sz w:val="18"/>
          <w:szCs w:val="20"/>
        </w:rPr>
        <w:t xml:space="preserve"> laws and the </w:t>
      </w:r>
      <w:r w:rsidR="00C03F56" w:rsidRPr="00AD1EEB">
        <w:rPr>
          <w:b/>
          <w:bCs/>
          <w:sz w:val="18"/>
          <w:szCs w:val="20"/>
        </w:rPr>
        <w:t xml:space="preserve">growing complexity of </w:t>
      </w:r>
      <w:r w:rsidRPr="00AD1EEB">
        <w:rPr>
          <w:b/>
          <w:bCs/>
          <w:sz w:val="18"/>
          <w:szCs w:val="20"/>
        </w:rPr>
        <w:t>partnerships that has been observed in recent years,</w:t>
      </w:r>
      <w:r w:rsidR="00C03F56" w:rsidRPr="00AD1EEB">
        <w:rPr>
          <w:b/>
          <w:bCs/>
          <w:sz w:val="18"/>
          <w:szCs w:val="20"/>
        </w:rPr>
        <w:t xml:space="preserve"> </w:t>
      </w:r>
      <w:r w:rsidRPr="00AD1EEB">
        <w:rPr>
          <w:b/>
          <w:bCs/>
          <w:sz w:val="18"/>
          <w:szCs w:val="20"/>
        </w:rPr>
        <w:t xml:space="preserve">state tax </w:t>
      </w:r>
      <w:r w:rsidR="0056700A" w:rsidRPr="00AD1EEB">
        <w:rPr>
          <w:b/>
          <w:bCs/>
          <w:sz w:val="18"/>
          <w:szCs w:val="20"/>
        </w:rPr>
        <w:t xml:space="preserve">and sourcing </w:t>
      </w:r>
      <w:r w:rsidRPr="00AD1EEB">
        <w:rPr>
          <w:b/>
          <w:bCs/>
          <w:sz w:val="18"/>
          <w:szCs w:val="20"/>
        </w:rPr>
        <w:t xml:space="preserve">rules should not assume that </w:t>
      </w:r>
      <w:r w:rsidR="00AD1EEB">
        <w:rPr>
          <w:b/>
          <w:bCs/>
          <w:sz w:val="18"/>
          <w:szCs w:val="20"/>
        </w:rPr>
        <w:t xml:space="preserve">all </w:t>
      </w:r>
      <w:r w:rsidR="00C03F56" w:rsidRPr="00AD1EEB">
        <w:rPr>
          <w:b/>
          <w:bCs/>
          <w:sz w:val="18"/>
          <w:szCs w:val="20"/>
        </w:rPr>
        <w:t>partnerships a</w:t>
      </w:r>
      <w:r w:rsidR="00387289" w:rsidRPr="00AD1EEB">
        <w:rPr>
          <w:b/>
          <w:bCs/>
          <w:sz w:val="18"/>
          <w:szCs w:val="20"/>
        </w:rPr>
        <w:t>re</w:t>
      </w:r>
      <w:r w:rsidR="00C03F56" w:rsidRPr="00AD1EEB">
        <w:rPr>
          <w:b/>
          <w:bCs/>
          <w:sz w:val="18"/>
          <w:szCs w:val="20"/>
        </w:rPr>
        <w:t xml:space="preserve"> small, simple, uniform entities.</w:t>
      </w:r>
      <w:r w:rsidR="001F45F2" w:rsidRPr="00AD1EEB">
        <w:rPr>
          <w:b/>
          <w:bCs/>
          <w:sz w:val="18"/>
          <w:szCs w:val="20"/>
        </w:rPr>
        <w:t xml:space="preserve"> Moreover, it is these large complex partnerships that give rise to the most multistate income. </w:t>
      </w:r>
    </w:p>
    <w:p w14:paraId="5E4F1F09" w14:textId="77777777" w:rsidR="00555503" w:rsidRDefault="00555503" w:rsidP="00555503"/>
    <w:p w14:paraId="44181504" w14:textId="31567EE7" w:rsidR="009E50ED" w:rsidRDefault="009E50ED" w:rsidP="009E50ED">
      <w:pPr>
        <w:pStyle w:val="Heading4"/>
        <w:ind w:left="720"/>
      </w:pPr>
      <w:r>
        <w:t>Partner Roles and Control Vary and are Not Dictated by Ownership Share</w:t>
      </w:r>
    </w:p>
    <w:p w14:paraId="6AEB0EF8" w14:textId="2420378F" w:rsidR="009E50ED" w:rsidRDefault="00E5778A" w:rsidP="009E50ED">
      <w:pPr>
        <w:ind w:left="720"/>
      </w:pPr>
      <w:r>
        <w:t xml:space="preserve">Partners can agree to share income and control however they choose with very few limitations. </w:t>
      </w:r>
      <w:r w:rsidR="002824CA">
        <w:t>A partner’s role in or control of the partnership is not necessarily tied to that partner’s ownership share or whether the partner has limited liability. And u</w:t>
      </w:r>
      <w:r w:rsidR="002437A2">
        <w:t>nlike corporate shareholders, partners</w:t>
      </w:r>
      <w:r w:rsidR="00F309AA">
        <w:t>’</w:t>
      </w:r>
      <w:r w:rsidR="00E8797C">
        <w:t xml:space="preserve"> role</w:t>
      </w:r>
      <w:r w:rsidR="00F309AA">
        <w:t>s</w:t>
      </w:r>
      <w:r w:rsidR="00E8797C">
        <w:t xml:space="preserve"> can </w:t>
      </w:r>
      <w:r w:rsidR="00753C71">
        <w:t>vary widely—</w:t>
      </w:r>
      <w:r w:rsidR="00E8797C">
        <w:t xml:space="preserve">from </w:t>
      </w:r>
      <w:r w:rsidR="004B6D12">
        <w:t xml:space="preserve">a purely </w:t>
      </w:r>
      <w:r w:rsidR="002A2C09">
        <w:t xml:space="preserve">passive </w:t>
      </w:r>
      <w:r w:rsidR="00753C71">
        <w:t>investor</w:t>
      </w:r>
      <w:r w:rsidR="002A2C09">
        <w:t xml:space="preserve"> to </w:t>
      </w:r>
      <w:r w:rsidR="004B6D12">
        <w:t xml:space="preserve">an </w:t>
      </w:r>
      <w:r w:rsidR="002437A2">
        <w:t xml:space="preserve">active </w:t>
      </w:r>
      <w:r w:rsidR="00753C71">
        <w:t>participant or manager</w:t>
      </w:r>
      <w:r w:rsidR="002437A2">
        <w:t xml:space="preserve">. </w:t>
      </w:r>
      <w:r w:rsidR="00387289">
        <w:t>For example, all members of an LLC have limited liability but any member may, nevertheless, participate in the company’s activities or may engage in managing the company, alone or with others</w:t>
      </w:r>
      <w:r w:rsidR="001D66D0">
        <w:t>, regardless of ownership share</w:t>
      </w:r>
      <w:r w:rsidR="00387289">
        <w:t>. And it is not uncommon for partnerships of all sorts to be controlled by a partner that has only a minority ownership share as measured by capital.</w:t>
      </w:r>
    </w:p>
    <w:p w14:paraId="06C48B49" w14:textId="70C487DB" w:rsidR="00387289" w:rsidRPr="003E16FB" w:rsidRDefault="00387289" w:rsidP="004B6D1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STATE TAX IMPLICATION: Some state tax rules appear to assume that</w:t>
      </w:r>
      <w:r w:rsidR="004B6D12">
        <w:rPr>
          <w:b/>
          <w:bCs/>
        </w:rPr>
        <w:t xml:space="preserve"> a partner’s</w:t>
      </w:r>
      <w:r w:rsidRPr="003E16FB">
        <w:rPr>
          <w:b/>
          <w:bCs/>
        </w:rPr>
        <w:t xml:space="preserve"> ownership </w:t>
      </w:r>
      <w:r w:rsidR="00C46DE0" w:rsidRPr="003E16FB">
        <w:rPr>
          <w:b/>
          <w:bCs/>
        </w:rPr>
        <w:t xml:space="preserve">share </w:t>
      </w:r>
      <w:r w:rsidR="001D66D0" w:rsidRPr="003E16FB">
        <w:rPr>
          <w:b/>
          <w:bCs/>
        </w:rPr>
        <w:t xml:space="preserve">or </w:t>
      </w:r>
      <w:r w:rsidR="00553DB8" w:rsidRPr="003E16FB">
        <w:rPr>
          <w:b/>
          <w:bCs/>
        </w:rPr>
        <w:t xml:space="preserve">limited liability </w:t>
      </w:r>
      <w:r w:rsidR="0056700A" w:rsidRPr="003E16FB">
        <w:rPr>
          <w:b/>
          <w:bCs/>
        </w:rPr>
        <w:t xml:space="preserve">will </w:t>
      </w:r>
      <w:r w:rsidRPr="003E16FB">
        <w:rPr>
          <w:b/>
          <w:bCs/>
        </w:rPr>
        <w:t>determine</w:t>
      </w:r>
      <w:r w:rsidR="00F31EAD" w:rsidRPr="003E16FB">
        <w:rPr>
          <w:b/>
          <w:bCs/>
        </w:rPr>
        <w:t xml:space="preserve"> </w:t>
      </w:r>
      <w:r w:rsidR="004B6D12">
        <w:rPr>
          <w:b/>
          <w:bCs/>
        </w:rPr>
        <w:t>their</w:t>
      </w:r>
      <w:r w:rsidR="00F31EAD" w:rsidRPr="003E16FB">
        <w:rPr>
          <w:b/>
          <w:bCs/>
        </w:rPr>
        <w:t xml:space="preserve"> role—</w:t>
      </w:r>
      <w:r w:rsidR="002A1235" w:rsidRPr="003E16FB">
        <w:rPr>
          <w:b/>
          <w:bCs/>
        </w:rPr>
        <w:t>that is, their</w:t>
      </w:r>
      <w:r w:rsidR="00F31EAD" w:rsidRPr="003E16FB">
        <w:rPr>
          <w:b/>
          <w:bCs/>
        </w:rPr>
        <w:t xml:space="preserve"> </w:t>
      </w:r>
      <w:r w:rsidRPr="003E16FB">
        <w:rPr>
          <w:b/>
          <w:bCs/>
        </w:rPr>
        <w:t>control</w:t>
      </w:r>
      <w:r w:rsidR="00F31EAD" w:rsidRPr="003E16FB">
        <w:rPr>
          <w:b/>
          <w:bCs/>
        </w:rPr>
        <w:t xml:space="preserve"> of or </w:t>
      </w:r>
      <w:r w:rsidR="002A1235" w:rsidRPr="003E16FB">
        <w:rPr>
          <w:b/>
          <w:bCs/>
        </w:rPr>
        <w:t xml:space="preserve">active </w:t>
      </w:r>
      <w:r w:rsidR="00F31EAD" w:rsidRPr="003E16FB">
        <w:rPr>
          <w:b/>
          <w:bCs/>
        </w:rPr>
        <w:t>participation</w:t>
      </w:r>
      <w:r w:rsidRPr="003E16FB">
        <w:rPr>
          <w:b/>
          <w:bCs/>
        </w:rPr>
        <w:t xml:space="preserve"> </w:t>
      </w:r>
      <w:r w:rsidR="00F31EAD" w:rsidRPr="003E16FB">
        <w:rPr>
          <w:b/>
          <w:bCs/>
        </w:rPr>
        <w:t xml:space="preserve">in </w:t>
      </w:r>
      <w:r w:rsidRPr="003E16FB">
        <w:rPr>
          <w:b/>
          <w:bCs/>
        </w:rPr>
        <w:t>partnership</w:t>
      </w:r>
      <w:r w:rsidR="00F31EAD" w:rsidRPr="003E16FB">
        <w:rPr>
          <w:b/>
          <w:bCs/>
        </w:rPr>
        <w:t xml:space="preserve"> activities</w:t>
      </w:r>
      <w:r w:rsidRPr="003E16FB">
        <w:rPr>
          <w:b/>
          <w:bCs/>
        </w:rPr>
        <w:t xml:space="preserve">. </w:t>
      </w:r>
      <w:r w:rsidR="00EE61CE" w:rsidRPr="003E16FB">
        <w:rPr>
          <w:b/>
          <w:bCs/>
        </w:rPr>
        <w:t xml:space="preserve">These </w:t>
      </w:r>
      <w:r w:rsidR="004B6D12">
        <w:rPr>
          <w:b/>
          <w:bCs/>
        </w:rPr>
        <w:t xml:space="preserve">mistaken </w:t>
      </w:r>
      <w:r w:rsidR="00541610">
        <w:rPr>
          <w:b/>
          <w:bCs/>
        </w:rPr>
        <w:t>a</w:t>
      </w:r>
      <w:r w:rsidR="00EE61CE" w:rsidRPr="003E16FB">
        <w:rPr>
          <w:b/>
          <w:bCs/>
        </w:rPr>
        <w:t xml:space="preserve">ssumptions can lead to misapplication of </w:t>
      </w:r>
      <w:r w:rsidR="001E09DF" w:rsidRPr="003E16FB">
        <w:rPr>
          <w:b/>
          <w:bCs/>
        </w:rPr>
        <w:t xml:space="preserve">general </w:t>
      </w:r>
      <w:r w:rsidR="00EE61CE" w:rsidRPr="003E16FB">
        <w:rPr>
          <w:b/>
          <w:bCs/>
        </w:rPr>
        <w:t xml:space="preserve">state </w:t>
      </w:r>
      <w:r w:rsidR="001E09DF" w:rsidRPr="003E16FB">
        <w:rPr>
          <w:b/>
          <w:bCs/>
        </w:rPr>
        <w:t xml:space="preserve">sourcing </w:t>
      </w:r>
      <w:r w:rsidR="00EE61CE" w:rsidRPr="003E16FB">
        <w:rPr>
          <w:b/>
          <w:bCs/>
        </w:rPr>
        <w:t>rules</w:t>
      </w:r>
      <w:r w:rsidR="001E09DF" w:rsidRPr="003E16FB">
        <w:rPr>
          <w:b/>
          <w:bCs/>
        </w:rPr>
        <w:t xml:space="preserve"> and the underlying principles on which they are based</w:t>
      </w:r>
      <w:r w:rsidR="00EE61CE" w:rsidRPr="003E16FB">
        <w:rPr>
          <w:b/>
          <w:bCs/>
        </w:rPr>
        <w:t xml:space="preserve">. </w:t>
      </w:r>
    </w:p>
    <w:p w14:paraId="29DEB269" w14:textId="77C33837" w:rsidR="00A876DA" w:rsidRDefault="00D053C0" w:rsidP="00A876DA">
      <w:pPr>
        <w:pStyle w:val="Heading3"/>
      </w:pPr>
      <w:bookmarkStart w:id="31" w:name="_Toc195435230"/>
      <w:r>
        <w:lastRenderedPageBreak/>
        <w:t xml:space="preserve">Federal </w:t>
      </w:r>
      <w:r w:rsidR="00130C41">
        <w:t>Tax Law</w:t>
      </w:r>
      <w:r w:rsidR="00555503">
        <w:t xml:space="preserve"> - Generally</w:t>
      </w:r>
      <w:bookmarkEnd w:id="31"/>
    </w:p>
    <w:p w14:paraId="205C0908" w14:textId="77777777" w:rsidR="00555503" w:rsidRDefault="00555503" w:rsidP="00A876DA">
      <w:r>
        <w:t>In general, s</w:t>
      </w:r>
      <w:r w:rsidR="00A142FF">
        <w:t>tate</w:t>
      </w:r>
      <w:r w:rsidR="00B71521">
        <w:t xml:space="preserve">s </w:t>
      </w:r>
      <w:r w:rsidR="00A142FF">
        <w:t>are</w:t>
      </w:r>
      <w:r w:rsidR="00B71521">
        <w:t xml:space="preserve"> </w:t>
      </w:r>
      <w:r w:rsidR="00A142FF">
        <w:t xml:space="preserve">said to “conform” to the </w:t>
      </w:r>
      <w:r w:rsidR="00A876DA">
        <w:t>federal Internal Revenue Code (IRC)</w:t>
      </w:r>
      <w:r w:rsidR="00B71521">
        <w:t xml:space="preserve"> when taxing income</w:t>
      </w:r>
      <w:r w:rsidR="00A876DA">
        <w:t xml:space="preserve">. </w:t>
      </w:r>
      <w:r w:rsidR="00FB19AD">
        <w:t>And m</w:t>
      </w:r>
      <w:r w:rsidR="00A142FF">
        <w:t>ost s</w:t>
      </w:r>
      <w:r w:rsidR="00A876DA">
        <w:t xml:space="preserve">tates </w:t>
      </w:r>
      <w:r w:rsidR="004971CE">
        <w:t xml:space="preserve">also </w:t>
      </w:r>
      <w:r w:rsidR="00A876DA">
        <w:t xml:space="preserve">conform to IRC Subchapter K which creates </w:t>
      </w:r>
      <w:r w:rsidR="00D053C0">
        <w:t>a</w:t>
      </w:r>
      <w:r w:rsidR="00A876DA">
        <w:t xml:space="preserve"> pass-through system for </w:t>
      </w:r>
      <w:r w:rsidR="004E7A20">
        <w:t xml:space="preserve">taxing </w:t>
      </w:r>
      <w:r w:rsidR="00A876DA">
        <w:t>partnership income.</w:t>
      </w:r>
      <w:r w:rsidR="00B71521">
        <w:t xml:space="preserve"> </w:t>
      </w:r>
      <w:r w:rsidR="004971CE">
        <w:t>The substantive tax laws and the specific partnership rules interact in a number of ways—especially when it comes to how partnership income is tracked, reported, and treated for tax purposes. See for example IRC §§ 702 and 703.</w:t>
      </w:r>
      <w:r w:rsidR="007623AE">
        <w:t xml:space="preserve"> </w:t>
      </w:r>
    </w:p>
    <w:p w14:paraId="691C0913" w14:textId="77777777" w:rsidR="00555503" w:rsidRDefault="007623AE" w:rsidP="00A876DA">
      <w:r>
        <w:t xml:space="preserve">The </w:t>
      </w:r>
      <w:r w:rsidR="00246D0C">
        <w:t xml:space="preserve">implications of conforming to the </w:t>
      </w:r>
      <w:r>
        <w:t xml:space="preserve">federal partnership tax system will be discussed further in subsection I.D </w:t>
      </w:r>
      <w:r w:rsidR="00246D0C">
        <w:t>below.</w:t>
      </w:r>
      <w:r w:rsidR="00555503">
        <w:t xml:space="preserve"> Here, it is enough to note what a leading text says about this system:</w:t>
      </w:r>
    </w:p>
    <w:p w14:paraId="40631DFD" w14:textId="37C5A350" w:rsidR="004971CE" w:rsidRDefault="00555503" w:rsidP="00356E56">
      <w:pPr>
        <w:ind w:left="720"/>
      </w:pPr>
      <w:r>
        <w:t>“Subchapter K has a well-earned reputation as one of the most complex areas of the tax law, while a flow-through regime sounds simple enough in concept, implementing that regime is another matter.”</w:t>
      </w:r>
      <w:r>
        <w:rPr>
          <w:rStyle w:val="FootnoteReference"/>
        </w:rPr>
        <w:footnoteReference w:id="8"/>
      </w:r>
      <w:r w:rsidR="00246D0C">
        <w:t xml:space="preserve"> </w:t>
      </w:r>
    </w:p>
    <w:p w14:paraId="5F6F3199" w14:textId="16ADA17D" w:rsidR="00A876DA" w:rsidRPr="003E16FB" w:rsidRDefault="00C569AB" w:rsidP="00356E56">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 xml:space="preserve">STATE TAX IMPLICATION: Understanding the </w:t>
      </w:r>
      <w:r w:rsidR="00356E56">
        <w:rPr>
          <w:b/>
          <w:bCs/>
        </w:rPr>
        <w:t xml:space="preserve">basics of the </w:t>
      </w:r>
      <w:r w:rsidR="003052FC" w:rsidRPr="003E16FB">
        <w:rPr>
          <w:b/>
          <w:bCs/>
        </w:rPr>
        <w:t>federal pass-through system is essential to understanding how state sourcing rules may apply to partnership income.</w:t>
      </w:r>
    </w:p>
    <w:p w14:paraId="4039FA69" w14:textId="181BFD70" w:rsidR="00160A0E" w:rsidRDefault="00D86C97" w:rsidP="00160A0E">
      <w:pPr>
        <w:pStyle w:val="Heading3"/>
        <w:rPr>
          <w:highlight w:val="yellow"/>
        </w:rPr>
      </w:pPr>
      <w:bookmarkStart w:id="32" w:name="_Toc195435231"/>
      <w:r>
        <w:t xml:space="preserve">State Tax </w:t>
      </w:r>
      <w:r w:rsidR="004A626C">
        <w:t>Sourcing Rules</w:t>
      </w:r>
      <w:r w:rsidR="00356E56">
        <w:t xml:space="preserve"> - Generally</w:t>
      </w:r>
      <w:bookmarkEnd w:id="32"/>
    </w:p>
    <w:p w14:paraId="256D733E" w14:textId="77777777" w:rsidR="00356E56" w:rsidRDefault="00356E56" w:rsidP="00742DE6">
      <w:r>
        <w:t>While s</w:t>
      </w:r>
      <w:r w:rsidR="005527FE">
        <w:t xml:space="preserve">tates generally conform to the federal rules for determining domestic versus foreign income, </w:t>
      </w:r>
      <w:r>
        <w:t>they have their own approaches for determining</w:t>
      </w:r>
      <w:r w:rsidR="005527FE">
        <w:t xml:space="preserve"> their share of multistate domestic business income</w:t>
      </w:r>
      <w:r>
        <w:t xml:space="preserve">. </w:t>
      </w:r>
      <w:r w:rsidR="0062564C">
        <w:t>State</w:t>
      </w:r>
      <w:r w:rsidR="00B9413D">
        <w:t xml:space="preserve"> </w:t>
      </w:r>
      <w:r w:rsidR="0062564C">
        <w:t xml:space="preserve">tax </w:t>
      </w:r>
      <w:r w:rsidR="00A825AE">
        <w:t xml:space="preserve">sourcing </w:t>
      </w:r>
      <w:r w:rsidR="00E66C3B">
        <w:t xml:space="preserve">rules </w:t>
      </w:r>
      <w:r w:rsidR="0062564C">
        <w:t xml:space="preserve">have been developed in the </w:t>
      </w:r>
      <w:r w:rsidR="00E66C3B">
        <w:t xml:space="preserve">context of </w:t>
      </w:r>
      <w:r w:rsidR="002C6E09">
        <w:t>tax</w:t>
      </w:r>
      <w:r w:rsidR="00A825AE">
        <w:t>es</w:t>
      </w:r>
      <w:r w:rsidR="002C6E09">
        <w:t xml:space="preserve"> </w:t>
      </w:r>
      <w:r w:rsidR="00A825AE">
        <w:t xml:space="preserve">imposed </w:t>
      </w:r>
      <w:r w:rsidR="002C6E09">
        <w:t xml:space="preserve">on </w:t>
      </w:r>
      <w:r w:rsidR="001218DC">
        <w:t>in</w:t>
      </w:r>
      <w:r w:rsidR="00B9413D">
        <w:t>dividual</w:t>
      </w:r>
      <w:r w:rsidR="002C6E09">
        <w:t>s</w:t>
      </w:r>
      <w:r w:rsidR="00B9413D">
        <w:t xml:space="preserve"> and </w:t>
      </w:r>
      <w:r w:rsidR="0062564C">
        <w:t>corporat</w:t>
      </w:r>
      <w:r w:rsidR="002C6E09">
        <w:t>ions.</w:t>
      </w:r>
      <w:r w:rsidR="0062564C">
        <w:t xml:space="preserve"> </w:t>
      </w:r>
      <w:r w:rsidR="00B71521">
        <w:t xml:space="preserve">So </w:t>
      </w:r>
      <w:r w:rsidR="007977D5">
        <w:t>any</w:t>
      </w:r>
      <w:r w:rsidR="00B71521">
        <w:t xml:space="preserve"> </w:t>
      </w:r>
      <w:r w:rsidR="0062564C">
        <w:t>rules specifically addressing partnership income are often found embedded in those sections of state tax law. This</w:t>
      </w:r>
      <w:r w:rsidR="00F64FDE">
        <w:t xml:space="preserve"> approach is generally </w:t>
      </w:r>
      <w:r w:rsidR="00B71521">
        <w:t>consistent with the federal</w:t>
      </w:r>
      <w:r w:rsidR="0062564C">
        <w:t xml:space="preserve"> </w:t>
      </w:r>
      <w:r w:rsidR="00B71521">
        <w:t xml:space="preserve">pass-through tax </w:t>
      </w:r>
      <w:r w:rsidR="0062564C">
        <w:t>system</w:t>
      </w:r>
      <w:r w:rsidR="00B71521">
        <w:t>,</w:t>
      </w:r>
      <w:r w:rsidR="0062564C">
        <w:t xml:space="preserve"> which seeks to apply the same substantive tax rules </w:t>
      </w:r>
      <w:r w:rsidR="00B71521">
        <w:t>to partnership income</w:t>
      </w:r>
      <w:r w:rsidR="007D4DE9">
        <w:t xml:space="preserve"> that apply to other businesses</w:t>
      </w:r>
      <w:r w:rsidR="00F64FDE">
        <w:t>,</w:t>
      </w:r>
      <w:r w:rsidR="00B71521">
        <w:t xml:space="preserve"> </w:t>
      </w:r>
      <w:r w:rsidR="0062564C">
        <w:t xml:space="preserve">while imposing tax on </w:t>
      </w:r>
      <w:r w:rsidR="00B71521">
        <w:t>the owners rather than the entity</w:t>
      </w:r>
      <w:r w:rsidR="0062564C">
        <w:t xml:space="preserve">. </w:t>
      </w:r>
      <w:bookmarkStart w:id="33" w:name="_Toc153291129"/>
      <w:r w:rsidR="00F64FDE">
        <w:t xml:space="preserve">But </w:t>
      </w:r>
      <w:r w:rsidR="0009081B">
        <w:t xml:space="preserve">sometimes the application of rules in the pass-through context is unclear. </w:t>
      </w:r>
    </w:p>
    <w:p w14:paraId="740D3409" w14:textId="4E70CA22" w:rsidR="00692143" w:rsidRDefault="00811A00" w:rsidP="00742DE6">
      <w:r>
        <w:t>Important aspects of these state sourcing rules are discussed in subsection I.F. below</w:t>
      </w:r>
      <w:r w:rsidR="005527FE">
        <w:t>.</w:t>
      </w:r>
      <w:r w:rsidR="00356E56">
        <w:t xml:space="preserve"> Here it is important to note that many states face some challenges in updating their sourcing rules for partnership income that stem from the history of how sourcing rules were developed over time and ensuring that any rules specific to partnerships are consistent and based in sound principles.</w:t>
      </w:r>
    </w:p>
    <w:p w14:paraId="49BC6A9B" w14:textId="5C5B106B" w:rsidR="00E25A7C" w:rsidRPr="003E16FB" w:rsidRDefault="00E25A7C" w:rsidP="00356E56">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 xml:space="preserve">STATE TAX IMPLICATION: Application of state sourcing rules to partnership income </w:t>
      </w:r>
      <w:r w:rsidR="00C725D6" w:rsidRPr="003E16FB">
        <w:rPr>
          <w:b/>
          <w:bCs/>
        </w:rPr>
        <w:t>has often been overlooked in the focus on individuals and corporations</w:t>
      </w:r>
      <w:r w:rsidR="0009081B" w:rsidRPr="003E16FB">
        <w:rPr>
          <w:b/>
          <w:bCs/>
        </w:rPr>
        <w:t xml:space="preserve"> and applying those rules in the pass-through context raises </w:t>
      </w:r>
      <w:r w:rsidR="0051222A" w:rsidRPr="003E16FB">
        <w:rPr>
          <w:b/>
          <w:bCs/>
        </w:rPr>
        <w:t>issues not addressed</w:t>
      </w:r>
      <w:r w:rsidR="00356E56">
        <w:rPr>
          <w:b/>
          <w:bCs/>
        </w:rPr>
        <w:t xml:space="preserve">, or </w:t>
      </w:r>
      <w:r w:rsidR="00661956">
        <w:rPr>
          <w:b/>
          <w:bCs/>
        </w:rPr>
        <w:t xml:space="preserve">are </w:t>
      </w:r>
      <w:r w:rsidR="00356E56">
        <w:rPr>
          <w:b/>
          <w:bCs/>
        </w:rPr>
        <w:t>addressed in ways that may not be consistent</w:t>
      </w:r>
      <w:r w:rsidR="0051222A" w:rsidRPr="003E16FB">
        <w:rPr>
          <w:b/>
          <w:bCs/>
        </w:rPr>
        <w:t>.</w:t>
      </w:r>
    </w:p>
    <w:p w14:paraId="1FDD49B4" w14:textId="360E3759" w:rsidR="00C352EA" w:rsidRDefault="00C352EA" w:rsidP="00C352EA">
      <w:pPr>
        <w:pStyle w:val="Heading3"/>
      </w:pPr>
      <w:bookmarkStart w:id="34" w:name="_Toc195435232"/>
      <w:r>
        <w:t xml:space="preserve">Interactions Between </w:t>
      </w:r>
      <w:r w:rsidR="00A37618">
        <w:t>These</w:t>
      </w:r>
      <w:r>
        <w:t xml:space="preserve"> Three</w:t>
      </w:r>
      <w:r w:rsidR="00A37618">
        <w:t xml:space="preserve"> Categories of Law</w:t>
      </w:r>
      <w:bookmarkEnd w:id="34"/>
      <w:r>
        <w:t xml:space="preserve"> </w:t>
      </w:r>
    </w:p>
    <w:p w14:paraId="2F5A16D9" w14:textId="2180ED4E" w:rsidR="00A37618" w:rsidRDefault="00811A00">
      <w:pPr>
        <w:spacing w:line="276" w:lineRule="auto"/>
        <w:jc w:val="left"/>
      </w:pPr>
      <w:r>
        <w:t xml:space="preserve">While </w:t>
      </w:r>
      <w:r w:rsidR="00C352EA">
        <w:t xml:space="preserve">the general laws discussed in this subsection </w:t>
      </w:r>
      <w:r w:rsidR="0051222A">
        <w:t>are separate and</w:t>
      </w:r>
      <w:r>
        <w:t xml:space="preserve"> distinct, there are </w:t>
      </w:r>
      <w:r w:rsidR="00A37618">
        <w:t xml:space="preserve">many </w:t>
      </w:r>
      <w:r>
        <w:t>ways in which th</w:t>
      </w:r>
      <w:r w:rsidR="0051222A">
        <w:t xml:space="preserve">ey </w:t>
      </w:r>
      <w:r>
        <w:t xml:space="preserve">interact or influence each other. For example, </w:t>
      </w:r>
      <w:r w:rsidR="00A37618">
        <w:t>the relationship between a partner and</w:t>
      </w:r>
      <w:r>
        <w:t xml:space="preserve"> </w:t>
      </w:r>
      <w:r w:rsidR="00A37618">
        <w:t xml:space="preserve">the </w:t>
      </w:r>
      <w:r>
        <w:t>partnership</w:t>
      </w:r>
      <w:r w:rsidR="00A37618">
        <w:t xml:space="preserve"> may be determined, in the first instance, by state governing laws. This relationship </w:t>
      </w:r>
      <w:r>
        <w:t>may</w:t>
      </w:r>
      <w:r w:rsidR="00A37618">
        <w:t xml:space="preserve"> affect how federal tax rules would apply to the computation of that partner’s income. And this, in turn, may affect how state sourcing rules would then apply to that income</w:t>
      </w:r>
      <w:r>
        <w:t xml:space="preserve">. </w:t>
      </w:r>
    </w:p>
    <w:p w14:paraId="75ED82B5" w14:textId="1EFE0BF6" w:rsidR="00811A00" w:rsidRDefault="00A37618">
      <w:pPr>
        <w:spacing w:line="276" w:lineRule="auto"/>
        <w:jc w:val="left"/>
        <w:rPr>
          <w:rFonts w:asciiTheme="majorHAnsi" w:eastAsiaTheme="majorEastAsia" w:hAnsiTheme="majorHAnsi" w:cstheme="majorBidi"/>
          <w:b/>
          <w:color w:val="851C00" w:themeColor="accent6" w:themeShade="BF"/>
          <w:sz w:val="28"/>
          <w:szCs w:val="26"/>
          <w:u w:val="single"/>
        </w:rPr>
      </w:pPr>
      <w:r>
        <w:t xml:space="preserve">One important aspect of this dynamic is the use of terminology. </w:t>
      </w:r>
      <w:r w:rsidR="00811A00">
        <w:t xml:space="preserve">The following subsection I.C., </w:t>
      </w:r>
      <w:r w:rsidR="004A626C">
        <w:t xml:space="preserve">lists important </w:t>
      </w:r>
      <w:r w:rsidR="00811A00">
        <w:t xml:space="preserve">terms </w:t>
      </w:r>
      <w:r w:rsidR="004A626C">
        <w:t xml:space="preserve">and concepts </w:t>
      </w:r>
      <w:r w:rsidR="00811A00">
        <w:t>that are derived from these three sources and how they will be used in this white paper</w:t>
      </w:r>
      <w:r w:rsidR="004A626C">
        <w:t>.</w:t>
      </w:r>
      <w:r w:rsidR="00811A00">
        <w:t xml:space="preserve"> </w:t>
      </w:r>
    </w:p>
    <w:p w14:paraId="512B2AE2" w14:textId="2F182C49" w:rsidR="00491330" w:rsidRDefault="00F54CF3" w:rsidP="00964BF6">
      <w:pPr>
        <w:pStyle w:val="Heading2"/>
      </w:pPr>
      <w:bookmarkStart w:id="35" w:name="_Toc195435233"/>
      <w:r>
        <w:lastRenderedPageBreak/>
        <w:t xml:space="preserve">I. </w:t>
      </w:r>
      <w:r w:rsidR="00F65298">
        <w:t>C</w:t>
      </w:r>
      <w:r w:rsidR="00B5459F">
        <w:t xml:space="preserve">. </w:t>
      </w:r>
      <w:r w:rsidR="001B4E38">
        <w:t xml:space="preserve">Common </w:t>
      </w:r>
      <w:r w:rsidR="00491330">
        <w:t>Terms</w:t>
      </w:r>
      <w:r w:rsidR="00A3333C">
        <w:t xml:space="preserve"> Used in th</w:t>
      </w:r>
      <w:r w:rsidR="005C72A8">
        <w:t>e</w:t>
      </w:r>
      <w:r w:rsidR="00A3333C">
        <w:t xml:space="preserve"> White Paper</w:t>
      </w:r>
      <w:bookmarkEnd w:id="33"/>
      <w:bookmarkEnd w:id="35"/>
    </w:p>
    <w:p w14:paraId="5C63F2A2" w14:textId="5E7B5941" w:rsidR="004971CE" w:rsidRDefault="00760DC5" w:rsidP="00436972">
      <w:r>
        <w:t>Terminology is critical f</w:t>
      </w:r>
      <w:r w:rsidR="00742DE6">
        <w:t xml:space="preserve">or any possible discussion of this subject. </w:t>
      </w:r>
      <w:r w:rsidR="0027691F">
        <w:t xml:space="preserve">And, as Section I.B. </w:t>
      </w:r>
      <w:r w:rsidR="00BA036E">
        <w:t xml:space="preserve">above </w:t>
      </w:r>
      <w:r w:rsidR="0027691F">
        <w:t xml:space="preserve">notes, there are three separate bodies of law that </w:t>
      </w:r>
      <w:r>
        <w:t xml:space="preserve">can </w:t>
      </w:r>
      <w:r w:rsidR="0027691F">
        <w:t xml:space="preserve">affect </w:t>
      </w:r>
      <w:r w:rsidR="00BA036E">
        <w:t>definitions and usage of important terms</w:t>
      </w:r>
      <w:r w:rsidR="0027691F">
        <w:t xml:space="preserve">—general state governing laws, the federal IRC, and state tax laws. </w:t>
      </w:r>
      <w:r w:rsidR="009D19D1">
        <w:t>As a result, s</w:t>
      </w:r>
      <w:r>
        <w:t xml:space="preserve">ome </w:t>
      </w:r>
      <w:r w:rsidR="004971CE">
        <w:t>important terms and concepts may be defined and used differently in each context.</w:t>
      </w:r>
      <w:r w:rsidR="0027691F">
        <w:t xml:space="preserve"> </w:t>
      </w:r>
      <w:r w:rsidR="00205BAD">
        <w:t>Nor is it</w:t>
      </w:r>
      <w:r w:rsidR="0027691F">
        <w:t xml:space="preserve"> uncommon for the terms to be used inconsistently</w:t>
      </w:r>
      <w:r w:rsidR="00205BAD">
        <w:t>, even in the same context.</w:t>
      </w:r>
    </w:p>
    <w:p w14:paraId="2ACC6541" w14:textId="08566EE6" w:rsidR="003C0426" w:rsidRDefault="00205BAD" w:rsidP="00436972">
      <w:r>
        <w:t>This</w:t>
      </w:r>
      <w:r w:rsidR="0027691F">
        <w:t xml:space="preserve"> subsection I.C. lists</w:t>
      </w:r>
      <w:r w:rsidR="00405772">
        <w:t xml:space="preserve"> </w:t>
      </w:r>
      <w:r w:rsidR="009D19D1">
        <w:t xml:space="preserve">the most </w:t>
      </w:r>
      <w:r w:rsidR="00617AAA">
        <w:t xml:space="preserve">important terms </w:t>
      </w:r>
      <w:r w:rsidR="00405772">
        <w:t>and how they will be used in this white paper</w:t>
      </w:r>
      <w:r w:rsidR="00617AAA">
        <w:t xml:space="preserve">. </w:t>
      </w:r>
      <w:r w:rsidR="004971CE">
        <w:t xml:space="preserve">In general, when choosing how to use a term, </w:t>
      </w:r>
      <w:r>
        <w:t>these definitions</w:t>
      </w:r>
      <w:r w:rsidR="004971CE">
        <w:t xml:space="preserve"> will defer first to the IRC</w:t>
      </w:r>
      <w:r w:rsidR="0027691F">
        <w:t xml:space="preserve"> Subchapter K or general federal tax usage</w:t>
      </w:r>
      <w:r w:rsidR="004971CE">
        <w:t xml:space="preserve"> and then to general state </w:t>
      </w:r>
      <w:r w:rsidR="0062473E">
        <w:t>governing</w:t>
      </w:r>
      <w:r w:rsidR="004971CE">
        <w:t xml:space="preserve"> law</w:t>
      </w:r>
      <w:r w:rsidR="000672D1">
        <w:t>.</w:t>
      </w:r>
      <w:r w:rsidR="008C55D5">
        <w:t xml:space="preserve"> </w:t>
      </w:r>
    </w:p>
    <w:p w14:paraId="3D35209E" w14:textId="43CF08D6" w:rsidR="00AE2D78" w:rsidRDefault="0027691F" w:rsidP="00436972">
      <w:r>
        <w:t>As for</w:t>
      </w:r>
      <w:r w:rsidR="005B1363">
        <w:t xml:space="preserve"> </w:t>
      </w:r>
      <w:r w:rsidR="0062751F">
        <w:t xml:space="preserve">state </w:t>
      </w:r>
      <w:r w:rsidR="005B1363">
        <w:t xml:space="preserve">tax </w:t>
      </w:r>
      <w:r w:rsidR="007977D5">
        <w:t xml:space="preserve">sourcing </w:t>
      </w:r>
      <w:r w:rsidR="00614C10">
        <w:t>methods</w:t>
      </w:r>
      <w:r w:rsidR="00E70441">
        <w:t xml:space="preserve"> </w:t>
      </w:r>
      <w:r w:rsidR="00614C10">
        <w:t xml:space="preserve">or </w:t>
      </w:r>
      <w:r w:rsidR="0062751F">
        <w:t>concepts</w:t>
      </w:r>
      <w:r>
        <w:t xml:space="preserve">—the terms used to refer to them </w:t>
      </w:r>
      <w:r w:rsidR="00614C10">
        <w:t xml:space="preserve">may </w:t>
      </w:r>
      <w:r>
        <w:t xml:space="preserve">also </w:t>
      </w:r>
      <w:r w:rsidR="0062751F">
        <w:t>vary among the states</w:t>
      </w:r>
      <w:r w:rsidR="00614C10">
        <w:t>.</w:t>
      </w:r>
      <w:r w:rsidR="0062751F">
        <w:t xml:space="preserve"> </w:t>
      </w:r>
      <w:r w:rsidR="00614C10">
        <w:t xml:space="preserve">Therefore, this </w:t>
      </w:r>
      <w:r>
        <w:t>sub</w:t>
      </w:r>
      <w:r w:rsidR="00614C10">
        <w:t xml:space="preserve">section also </w:t>
      </w:r>
      <w:r w:rsidR="00205BAD">
        <w:t xml:space="preserve">contains a summary of </w:t>
      </w:r>
      <w:r w:rsidR="007977D5">
        <w:t>how certain</w:t>
      </w:r>
      <w:r w:rsidR="00614C10">
        <w:t xml:space="preserve"> state tax terms will be used. </w:t>
      </w:r>
    </w:p>
    <w:p w14:paraId="3FF9F0E1" w14:textId="714F45B3" w:rsidR="00D96C7F" w:rsidRDefault="00816484" w:rsidP="00FC1B40">
      <w:pPr>
        <w:pStyle w:val="Heading3"/>
      </w:pPr>
      <w:bookmarkStart w:id="36" w:name="_Toc195435234"/>
      <w:r>
        <w:t xml:space="preserve">Terms Used Consistently with </w:t>
      </w:r>
      <w:r w:rsidR="00D96C7F">
        <w:t>Subchapter K</w:t>
      </w:r>
      <w:r w:rsidR="0027691F">
        <w:t xml:space="preserve"> and Federal Tax</w:t>
      </w:r>
      <w:bookmarkEnd w:id="36"/>
      <w:r>
        <w:t xml:space="preserve"> </w:t>
      </w:r>
    </w:p>
    <w:tbl>
      <w:tblPr>
        <w:tblStyle w:val="TableGrid"/>
        <w:tblW w:w="0" w:type="auto"/>
        <w:tblCellMar>
          <w:top w:w="36" w:type="dxa"/>
          <w:bottom w:w="36" w:type="dxa"/>
        </w:tblCellMar>
        <w:tblLook w:val="04A0" w:firstRow="1" w:lastRow="0" w:firstColumn="1" w:lastColumn="0" w:noHBand="0" w:noVBand="1"/>
      </w:tblPr>
      <w:tblGrid>
        <w:gridCol w:w="2245"/>
        <w:gridCol w:w="6529"/>
      </w:tblGrid>
      <w:tr w:rsidR="00FC1B40" w14:paraId="1E026A0D" w14:textId="77777777" w:rsidTr="008E2113">
        <w:tc>
          <w:tcPr>
            <w:tcW w:w="2245" w:type="dxa"/>
            <w:vAlign w:val="center"/>
          </w:tcPr>
          <w:p w14:paraId="42D0751C" w14:textId="15F02EFA" w:rsidR="00FC1B40" w:rsidRPr="000C421E" w:rsidRDefault="000C421E" w:rsidP="000C421E">
            <w:pPr>
              <w:jc w:val="left"/>
            </w:pPr>
            <w:r w:rsidRPr="000C421E">
              <w:t>Partnership</w:t>
            </w:r>
          </w:p>
        </w:tc>
        <w:tc>
          <w:tcPr>
            <w:tcW w:w="6529" w:type="dxa"/>
            <w:vAlign w:val="center"/>
          </w:tcPr>
          <w:p w14:paraId="522985E4" w14:textId="694DEF4C" w:rsidR="00FC1B40" w:rsidRDefault="000C421E" w:rsidP="000C421E">
            <w:pPr>
              <w:jc w:val="left"/>
            </w:pPr>
            <w:r>
              <w:t>Entities taxed as partnerships under federal law (e.g., general partnerships, limited partnerships, LLCs, etc.). See IRC §§ 761(a) and 7701 and related regulations.</w:t>
            </w:r>
          </w:p>
        </w:tc>
      </w:tr>
      <w:tr w:rsidR="00FC1B40" w14:paraId="602CB717" w14:textId="77777777" w:rsidTr="008E2113">
        <w:tc>
          <w:tcPr>
            <w:tcW w:w="2245" w:type="dxa"/>
            <w:vAlign w:val="center"/>
          </w:tcPr>
          <w:p w14:paraId="5DAB2F9D" w14:textId="185744F7" w:rsidR="00FC1B40" w:rsidRPr="000C421E" w:rsidRDefault="000C421E" w:rsidP="000C421E">
            <w:pPr>
              <w:jc w:val="left"/>
            </w:pPr>
            <w:r w:rsidRPr="000C421E">
              <w:t>Partner</w:t>
            </w:r>
          </w:p>
        </w:tc>
        <w:tc>
          <w:tcPr>
            <w:tcW w:w="6529" w:type="dxa"/>
            <w:vAlign w:val="center"/>
          </w:tcPr>
          <w:p w14:paraId="0B4E9166" w14:textId="7106D369" w:rsidR="00FC1B40" w:rsidRDefault="000C421E" w:rsidP="000C421E">
            <w:pPr>
              <w:jc w:val="left"/>
            </w:pPr>
            <w:r>
              <w:t>Persons taxed as partners under federal law. See IRC §§ 761(b) and 7701 and related regulations</w:t>
            </w:r>
            <w:r w:rsidR="00830639">
              <w:t>, including direct and indirect partners. (See below.)</w:t>
            </w:r>
          </w:p>
        </w:tc>
      </w:tr>
      <w:tr w:rsidR="000C421E" w14:paraId="15634A9A" w14:textId="77777777" w:rsidTr="008E2113">
        <w:tc>
          <w:tcPr>
            <w:tcW w:w="2245" w:type="dxa"/>
            <w:vAlign w:val="center"/>
          </w:tcPr>
          <w:p w14:paraId="1AB4EF12" w14:textId="589A2911" w:rsidR="000C421E" w:rsidRPr="000C421E" w:rsidRDefault="000C421E" w:rsidP="000C421E">
            <w:pPr>
              <w:jc w:val="left"/>
            </w:pPr>
            <w:r w:rsidRPr="000C421E">
              <w:t>Partnership agreement</w:t>
            </w:r>
          </w:p>
        </w:tc>
        <w:tc>
          <w:tcPr>
            <w:tcW w:w="6529" w:type="dxa"/>
            <w:vAlign w:val="center"/>
          </w:tcPr>
          <w:p w14:paraId="2A4432F2" w14:textId="04A0F829" w:rsidR="000C421E" w:rsidRDefault="000C421E" w:rsidP="000C421E">
            <w:pPr>
              <w:jc w:val="left"/>
            </w:pPr>
            <w:r>
              <w:t>As the term is used for tax purposes (consistent with state law) to describe the agreement of the partners generally, or on particular partnership matters. See IRC §761(c).</w:t>
            </w:r>
          </w:p>
        </w:tc>
      </w:tr>
      <w:tr w:rsidR="000C421E" w14:paraId="18530D34" w14:textId="77777777" w:rsidTr="008E2113">
        <w:tc>
          <w:tcPr>
            <w:tcW w:w="2245" w:type="dxa"/>
            <w:vAlign w:val="center"/>
          </w:tcPr>
          <w:p w14:paraId="7E935212" w14:textId="233C59B7" w:rsidR="000C421E" w:rsidRPr="000C421E" w:rsidRDefault="000C421E" w:rsidP="000C421E">
            <w:pPr>
              <w:jc w:val="left"/>
            </w:pPr>
            <w:r w:rsidRPr="000C421E">
              <w:t>Partnership ownership interest or partnership interest</w:t>
            </w:r>
          </w:p>
        </w:tc>
        <w:tc>
          <w:tcPr>
            <w:tcW w:w="6529" w:type="dxa"/>
            <w:vAlign w:val="center"/>
          </w:tcPr>
          <w:p w14:paraId="74C08248" w14:textId="4A01576B" w:rsidR="000C421E" w:rsidRDefault="000C421E" w:rsidP="000C421E">
            <w:pPr>
              <w:jc w:val="left"/>
            </w:pPr>
            <w:r>
              <w:t>A general description of a partner’s ownership in a partnership or to the value of the partner’s partnership capital. See IRC §§ 704(e) and 864(c)(8) (among others). (Contrast this with the term “partner’s interest in the partnership” below.)</w:t>
            </w:r>
          </w:p>
        </w:tc>
      </w:tr>
      <w:tr w:rsidR="000C421E" w14:paraId="11B63C82" w14:textId="77777777" w:rsidTr="008E2113">
        <w:tc>
          <w:tcPr>
            <w:tcW w:w="2245" w:type="dxa"/>
            <w:vAlign w:val="center"/>
          </w:tcPr>
          <w:p w14:paraId="067B9338" w14:textId="7E175989" w:rsidR="000C421E" w:rsidRPr="000C421E" w:rsidRDefault="000C421E" w:rsidP="000C421E">
            <w:pPr>
              <w:jc w:val="left"/>
            </w:pPr>
            <w:r w:rsidRPr="000C421E">
              <w:t>Contribution</w:t>
            </w:r>
          </w:p>
        </w:tc>
        <w:tc>
          <w:tcPr>
            <w:tcW w:w="6529" w:type="dxa"/>
            <w:vAlign w:val="center"/>
          </w:tcPr>
          <w:p w14:paraId="4DCB778D" w14:textId="78A6744A" w:rsidR="000C421E" w:rsidRDefault="000C421E" w:rsidP="000C421E">
            <w:pPr>
              <w:jc w:val="left"/>
            </w:pPr>
            <w:r>
              <w:t>Items including cash and property transferred by a partner to a partnership in exchange for a partnership interest. See IRC § 721.</w:t>
            </w:r>
          </w:p>
        </w:tc>
      </w:tr>
      <w:tr w:rsidR="000C421E" w14:paraId="33FFFB97" w14:textId="77777777" w:rsidTr="008E2113">
        <w:tc>
          <w:tcPr>
            <w:tcW w:w="2245" w:type="dxa"/>
            <w:vAlign w:val="center"/>
          </w:tcPr>
          <w:p w14:paraId="73CBBB59" w14:textId="4BE55B3E" w:rsidR="000C421E" w:rsidRPr="000C421E" w:rsidRDefault="000C421E" w:rsidP="000C421E">
            <w:pPr>
              <w:jc w:val="left"/>
            </w:pPr>
            <w:r w:rsidRPr="000C421E">
              <w:t>Distribution</w:t>
            </w:r>
          </w:p>
        </w:tc>
        <w:tc>
          <w:tcPr>
            <w:tcW w:w="6529" w:type="dxa"/>
            <w:vAlign w:val="center"/>
          </w:tcPr>
          <w:p w14:paraId="69DF3BA4" w14:textId="28D61B63" w:rsidR="000C421E" w:rsidRDefault="000C421E" w:rsidP="000C421E">
            <w:pPr>
              <w:jc w:val="left"/>
            </w:pPr>
            <w:r>
              <w:t>Items including cash and property transferred by a partnership to partners that represent a return of the partner’s capital or partnership interest. See IRC § 731.</w:t>
            </w:r>
          </w:p>
        </w:tc>
      </w:tr>
      <w:tr w:rsidR="000C421E" w14:paraId="7746BB08" w14:textId="77777777" w:rsidTr="008E2113">
        <w:tc>
          <w:tcPr>
            <w:tcW w:w="2245" w:type="dxa"/>
            <w:vAlign w:val="center"/>
          </w:tcPr>
          <w:p w14:paraId="4A93761E" w14:textId="5A3B564A" w:rsidR="000C421E" w:rsidRPr="000C421E" w:rsidRDefault="000C421E" w:rsidP="000C421E">
            <w:pPr>
              <w:jc w:val="left"/>
            </w:pPr>
            <w:r w:rsidRPr="000C421E">
              <w:t>Partnership item</w:t>
            </w:r>
          </w:p>
        </w:tc>
        <w:tc>
          <w:tcPr>
            <w:tcW w:w="6529" w:type="dxa"/>
            <w:vAlign w:val="center"/>
          </w:tcPr>
          <w:p w14:paraId="1627286E" w14:textId="692BBE4B" w:rsidR="000C421E" w:rsidRDefault="008E2113" w:rsidP="000C421E">
            <w:pPr>
              <w:jc w:val="left"/>
            </w:pPr>
            <w:r>
              <w:t>In general, any tax-significant result generated from a transaction or event</w:t>
            </w:r>
            <w:r w:rsidR="000C421E">
              <w:t xml:space="preserve"> (including income, expense, gain, loss, etc.) that </w:t>
            </w:r>
            <w:r>
              <w:t>is</w:t>
            </w:r>
            <w:r w:rsidR="000C421E">
              <w:t xml:space="preserve"> recognized and treated under the general substantive tax rules. See IRC §§ 702 &amp; 704 (and IRS Form 1065, Schedule K-1). Note that this white paper uses the term “item” broadly.</w:t>
            </w:r>
          </w:p>
        </w:tc>
      </w:tr>
      <w:tr w:rsidR="000C421E" w14:paraId="6E85C615" w14:textId="77777777" w:rsidTr="008E2113">
        <w:tc>
          <w:tcPr>
            <w:tcW w:w="2245" w:type="dxa"/>
            <w:vAlign w:val="center"/>
          </w:tcPr>
          <w:p w14:paraId="0CD32A24" w14:textId="5A1F6399" w:rsidR="000C421E" w:rsidRPr="000C421E" w:rsidRDefault="000C421E" w:rsidP="000C421E">
            <w:pPr>
              <w:jc w:val="left"/>
            </w:pPr>
            <w:r w:rsidRPr="000C421E">
              <w:t>Character</w:t>
            </w:r>
          </w:p>
        </w:tc>
        <w:tc>
          <w:tcPr>
            <w:tcW w:w="6529" w:type="dxa"/>
            <w:vAlign w:val="center"/>
          </w:tcPr>
          <w:p w14:paraId="1C045D8E" w14:textId="183612AA" w:rsidR="000C421E" w:rsidRDefault="000C421E" w:rsidP="000C421E">
            <w:pPr>
              <w:jc w:val="left"/>
            </w:pPr>
            <w:r>
              <w:t>Tax treatment of partnership items as determined by the nature of the item under general substantive tax rules. See IRC §§ 702(b) and 703(a).</w:t>
            </w:r>
          </w:p>
        </w:tc>
      </w:tr>
      <w:tr w:rsidR="000C421E" w14:paraId="4A1FDE4B" w14:textId="77777777" w:rsidTr="008E2113">
        <w:tc>
          <w:tcPr>
            <w:tcW w:w="2245" w:type="dxa"/>
            <w:vAlign w:val="center"/>
          </w:tcPr>
          <w:p w14:paraId="475B09B2" w14:textId="70661486" w:rsidR="000C421E" w:rsidRPr="000C421E" w:rsidRDefault="000C421E" w:rsidP="004971CE">
            <w:r w:rsidRPr="000C421E">
              <w:t>Attribute (noun)</w:t>
            </w:r>
          </w:p>
        </w:tc>
        <w:tc>
          <w:tcPr>
            <w:tcW w:w="6529" w:type="dxa"/>
            <w:vAlign w:val="center"/>
          </w:tcPr>
          <w:p w14:paraId="0A8FCFB4" w14:textId="1CC8EF62" w:rsidR="000C421E" w:rsidRDefault="000C421E" w:rsidP="004971CE">
            <w:r>
              <w:t>An aspect of a particular taxpayer that may affect the ultimate tax result (e.g., individual or corporation, filing separately or jointly, marginal tax rate, etc.)</w:t>
            </w:r>
          </w:p>
        </w:tc>
      </w:tr>
      <w:tr w:rsidR="000C421E" w14:paraId="4392635E" w14:textId="77777777" w:rsidTr="008E2113">
        <w:tc>
          <w:tcPr>
            <w:tcW w:w="2245" w:type="dxa"/>
            <w:vAlign w:val="center"/>
          </w:tcPr>
          <w:p w14:paraId="3F97F5B3" w14:textId="77F6D552" w:rsidR="000C421E" w:rsidRPr="004971CE" w:rsidRDefault="000C421E" w:rsidP="004971CE">
            <w:pPr>
              <w:jc w:val="left"/>
              <w:rPr>
                <w:szCs w:val="20"/>
              </w:rPr>
            </w:pPr>
            <w:r w:rsidRPr="004971CE">
              <w:rPr>
                <w:rStyle w:val="Heading4Char"/>
                <w:rFonts w:ascii="Cambria" w:hAnsi="Cambria"/>
                <w:color w:val="auto"/>
                <w:szCs w:val="20"/>
              </w:rPr>
              <w:t>Partnership income (loss)</w:t>
            </w:r>
          </w:p>
        </w:tc>
        <w:tc>
          <w:tcPr>
            <w:tcW w:w="6529" w:type="dxa"/>
            <w:vAlign w:val="center"/>
          </w:tcPr>
          <w:p w14:paraId="43B9A241" w14:textId="6DF59E8D" w:rsidR="000C421E" w:rsidRPr="004971CE" w:rsidRDefault="000C421E" w:rsidP="004971CE">
            <w:pPr>
              <w:rPr>
                <w:szCs w:val="20"/>
              </w:rPr>
            </w:pPr>
            <w:r w:rsidRPr="004971CE">
              <w:rPr>
                <w:rStyle w:val="Heading4Char"/>
                <w:rFonts w:ascii="Cambria" w:hAnsi="Cambria"/>
                <w:bCs/>
                <w:color w:val="auto"/>
                <w:szCs w:val="20"/>
              </w:rPr>
              <w:t>A general reference to income (loss) determined and reported by the partnership. See Treas. Reg. 1.6031-(a)1 and IRS Form 1065.</w:t>
            </w:r>
          </w:p>
        </w:tc>
      </w:tr>
      <w:tr w:rsidR="000C421E" w14:paraId="56CF4478" w14:textId="77777777" w:rsidTr="008E2113">
        <w:tc>
          <w:tcPr>
            <w:tcW w:w="2245" w:type="dxa"/>
            <w:vAlign w:val="center"/>
          </w:tcPr>
          <w:p w14:paraId="23E920D7" w14:textId="214DB604" w:rsidR="000C421E" w:rsidRPr="000C421E" w:rsidRDefault="000C421E" w:rsidP="000C421E">
            <w:pPr>
              <w:jc w:val="left"/>
              <w:rPr>
                <w:rStyle w:val="Heading4Char"/>
                <w:color w:val="auto"/>
              </w:rPr>
            </w:pPr>
            <w:r w:rsidRPr="000C421E">
              <w:t>Distributive share</w:t>
            </w:r>
          </w:p>
        </w:tc>
        <w:tc>
          <w:tcPr>
            <w:tcW w:w="6529" w:type="dxa"/>
            <w:vAlign w:val="center"/>
          </w:tcPr>
          <w:p w14:paraId="419D9E50" w14:textId="7F5B36B1" w:rsidR="000C421E" w:rsidRDefault="000C421E" w:rsidP="000C421E">
            <w:pPr>
              <w:jc w:val="left"/>
              <w:rPr>
                <w:rStyle w:val="Heading4Char"/>
                <w:bCs/>
                <w:color w:val="auto"/>
              </w:rPr>
            </w:pPr>
            <w:r>
              <w:t>The percentage or amount of a partnership’s income (loss) or the percentage or amount of partnership items allocated to a partner in a given tax period. See IRC § 704.</w:t>
            </w:r>
          </w:p>
        </w:tc>
      </w:tr>
    </w:tbl>
    <w:p w14:paraId="066D93ED" w14:textId="77777777" w:rsidR="00760DC5" w:rsidRDefault="00760DC5">
      <w:r>
        <w:br w:type="page"/>
      </w:r>
    </w:p>
    <w:tbl>
      <w:tblPr>
        <w:tblStyle w:val="TableGrid"/>
        <w:tblW w:w="0" w:type="auto"/>
        <w:tblCellMar>
          <w:top w:w="58" w:type="dxa"/>
          <w:bottom w:w="58" w:type="dxa"/>
        </w:tblCellMar>
        <w:tblLook w:val="04A0" w:firstRow="1" w:lastRow="0" w:firstColumn="1" w:lastColumn="0" w:noHBand="0" w:noVBand="1"/>
      </w:tblPr>
      <w:tblGrid>
        <w:gridCol w:w="2245"/>
        <w:gridCol w:w="6529"/>
      </w:tblGrid>
      <w:tr w:rsidR="000C421E" w14:paraId="084E4049" w14:textId="77777777" w:rsidTr="00760DC5">
        <w:tc>
          <w:tcPr>
            <w:tcW w:w="2245" w:type="dxa"/>
            <w:vAlign w:val="center"/>
          </w:tcPr>
          <w:p w14:paraId="434E8897" w14:textId="6CF4CD1C" w:rsidR="000C421E" w:rsidRPr="000C421E" w:rsidRDefault="00760DC5" w:rsidP="000C421E">
            <w:pPr>
              <w:jc w:val="left"/>
              <w:rPr>
                <w:rStyle w:val="Heading4Char"/>
                <w:color w:val="auto"/>
              </w:rPr>
            </w:pPr>
            <w:r>
              <w:lastRenderedPageBreak/>
              <w:t>Allocate or a</w:t>
            </w:r>
            <w:r w:rsidR="000C421E" w:rsidRPr="000C421E">
              <w:t>llocation</w:t>
            </w:r>
          </w:p>
        </w:tc>
        <w:tc>
          <w:tcPr>
            <w:tcW w:w="6529" w:type="dxa"/>
            <w:vAlign w:val="center"/>
          </w:tcPr>
          <w:p w14:paraId="36DAF0A2" w14:textId="1D19418F" w:rsidR="000C421E" w:rsidRDefault="00760DC5" w:rsidP="000C421E">
            <w:pPr>
              <w:jc w:val="left"/>
              <w:rPr>
                <w:rStyle w:val="Heading4Char"/>
                <w:bCs/>
                <w:color w:val="auto"/>
              </w:rPr>
            </w:pPr>
            <w:r>
              <w:t xml:space="preserve">Because Subchapter K uses the term allocate to refer to </w:t>
            </w:r>
            <w:r w:rsidR="000C421E">
              <w:t xml:space="preserve">the dividing up and attributing of partnership </w:t>
            </w:r>
            <w:r>
              <w:t xml:space="preserve">distributive share </w:t>
            </w:r>
            <w:r w:rsidR="000C421E">
              <w:t>income (loss) or items to the partners</w:t>
            </w:r>
            <w:r>
              <w:t>,</w:t>
            </w:r>
            <w:r w:rsidR="000C421E">
              <w:t xml:space="preserve"> </w:t>
            </w:r>
            <w:r>
              <w:t>s</w:t>
            </w:r>
            <w:r w:rsidR="000C421E">
              <w:t>ee IRC § 704(b) and related regulations</w:t>
            </w:r>
            <w:r>
              <w:t>, this white paper will use that term similarly—and not to refer to state sourcing of certain items</w:t>
            </w:r>
            <w:r w:rsidR="000C421E">
              <w:t>.</w:t>
            </w:r>
          </w:p>
        </w:tc>
      </w:tr>
      <w:tr w:rsidR="000C421E" w14:paraId="6AF4483A" w14:textId="77777777" w:rsidTr="00760DC5">
        <w:tc>
          <w:tcPr>
            <w:tcW w:w="2245" w:type="dxa"/>
            <w:vAlign w:val="center"/>
          </w:tcPr>
          <w:p w14:paraId="22760097" w14:textId="77777777" w:rsidR="000C421E" w:rsidRDefault="000C421E" w:rsidP="000C421E">
            <w:pPr>
              <w:jc w:val="left"/>
            </w:pPr>
            <w:r w:rsidRPr="000C421E">
              <w:t xml:space="preserve">Attribute (verb) or </w:t>
            </w:r>
          </w:p>
          <w:p w14:paraId="2A597AA7" w14:textId="28DC31FA" w:rsidR="000C421E" w:rsidRPr="000C421E" w:rsidRDefault="000C421E" w:rsidP="000C421E">
            <w:pPr>
              <w:jc w:val="left"/>
              <w:rPr>
                <w:rStyle w:val="Heading4Char"/>
                <w:color w:val="auto"/>
              </w:rPr>
            </w:pPr>
            <w:r w:rsidRPr="000C421E">
              <w:t>attribution</w:t>
            </w:r>
          </w:p>
        </w:tc>
        <w:tc>
          <w:tcPr>
            <w:tcW w:w="6529" w:type="dxa"/>
            <w:vAlign w:val="center"/>
          </w:tcPr>
          <w:p w14:paraId="45C32877" w14:textId="28102B67" w:rsidR="000C421E" w:rsidRDefault="00760DC5" w:rsidP="000C421E">
            <w:pPr>
              <w:jc w:val="left"/>
              <w:rPr>
                <w:rStyle w:val="Heading4Char"/>
                <w:bCs/>
                <w:color w:val="auto"/>
              </w:rPr>
            </w:pPr>
            <w:r>
              <w:t xml:space="preserve">Assignment to the partners of </w:t>
            </w:r>
            <w:r w:rsidR="000C421E">
              <w:t>important tax characteristics of partnership items</w:t>
            </w:r>
            <w:r>
              <w:t xml:space="preserve">, </w:t>
            </w:r>
            <w:r w:rsidR="000C421E">
              <w:t xml:space="preserve">including sourcing, </w:t>
            </w:r>
            <w:r>
              <w:t>that are determined at the partnership level</w:t>
            </w:r>
            <w:r w:rsidR="000C421E">
              <w:t>. See §§ 702(b), 875, 897(c)(4)(B),  and 958(a)(2).</w:t>
            </w:r>
          </w:p>
        </w:tc>
      </w:tr>
      <w:tr w:rsidR="000C421E" w14:paraId="00E65273" w14:textId="77777777" w:rsidTr="00760DC5">
        <w:tc>
          <w:tcPr>
            <w:tcW w:w="2245" w:type="dxa"/>
            <w:vAlign w:val="center"/>
          </w:tcPr>
          <w:p w14:paraId="6714FD41" w14:textId="081D2CD4" w:rsidR="000C421E" w:rsidRPr="000C421E" w:rsidRDefault="000C421E" w:rsidP="000C421E">
            <w:pPr>
              <w:jc w:val="left"/>
              <w:rPr>
                <w:rStyle w:val="Heading4Char"/>
                <w:color w:val="auto"/>
              </w:rPr>
            </w:pPr>
            <w:r w:rsidRPr="000C421E">
              <w:t>Partner’s interest in the partnership</w:t>
            </w:r>
          </w:p>
        </w:tc>
        <w:tc>
          <w:tcPr>
            <w:tcW w:w="6529" w:type="dxa"/>
            <w:vAlign w:val="center"/>
          </w:tcPr>
          <w:p w14:paraId="2B4493C9" w14:textId="2DB09344" w:rsidR="000C421E" w:rsidRDefault="000C421E" w:rsidP="000C421E">
            <w:pPr>
              <w:jc w:val="left"/>
              <w:rPr>
                <w:rStyle w:val="Heading4Char"/>
                <w:bCs/>
                <w:color w:val="auto"/>
              </w:rPr>
            </w:pPr>
            <w:r>
              <w:t>The basis for allocating partnership income (loss) or a partnership item absent any agreement by the partners or where that agreement lacks substantial economic effect. See IRC § 704(b) and related regulations.</w:t>
            </w:r>
          </w:p>
        </w:tc>
      </w:tr>
      <w:tr w:rsidR="000C421E" w14:paraId="0B9B9BEF" w14:textId="77777777" w:rsidTr="00760DC5">
        <w:tc>
          <w:tcPr>
            <w:tcW w:w="2245" w:type="dxa"/>
            <w:vAlign w:val="center"/>
          </w:tcPr>
          <w:p w14:paraId="01F0E959" w14:textId="4F534403" w:rsidR="000C421E" w:rsidRPr="000C421E" w:rsidRDefault="000C421E" w:rsidP="000C421E">
            <w:pPr>
              <w:jc w:val="left"/>
            </w:pPr>
            <w:r w:rsidRPr="000C421E">
              <w:t>Inside basis</w:t>
            </w:r>
          </w:p>
        </w:tc>
        <w:tc>
          <w:tcPr>
            <w:tcW w:w="6529" w:type="dxa"/>
            <w:vAlign w:val="center"/>
          </w:tcPr>
          <w:p w14:paraId="1234B8A0" w14:textId="1077591F" w:rsidR="000C421E" w:rsidRDefault="000C421E" w:rsidP="000C421E">
            <w:pPr>
              <w:jc w:val="left"/>
            </w:pPr>
            <w:r>
              <w:t>The tax basis in partnership assets or property which may also be attributed to particular partners. See IRC § 723.</w:t>
            </w:r>
          </w:p>
        </w:tc>
      </w:tr>
      <w:tr w:rsidR="000C421E" w14:paraId="5198B8E8" w14:textId="77777777" w:rsidTr="00760DC5">
        <w:tc>
          <w:tcPr>
            <w:tcW w:w="2245" w:type="dxa"/>
            <w:vAlign w:val="center"/>
          </w:tcPr>
          <w:p w14:paraId="7BCB809D" w14:textId="3B70B694" w:rsidR="000C421E" w:rsidRPr="000C421E" w:rsidRDefault="000C421E" w:rsidP="000C421E">
            <w:pPr>
              <w:jc w:val="left"/>
            </w:pPr>
            <w:r w:rsidRPr="000C421E">
              <w:t>Outside basis</w:t>
            </w:r>
          </w:p>
        </w:tc>
        <w:tc>
          <w:tcPr>
            <w:tcW w:w="6529" w:type="dxa"/>
            <w:vAlign w:val="center"/>
          </w:tcPr>
          <w:p w14:paraId="4911F960" w14:textId="3EF99B16" w:rsidR="000C421E" w:rsidRDefault="000C421E" w:rsidP="000C421E">
            <w:pPr>
              <w:jc w:val="left"/>
            </w:pPr>
            <w:r>
              <w:t>The tax basis in a partner’s partnership interest. See IRC § 722.</w:t>
            </w:r>
          </w:p>
        </w:tc>
      </w:tr>
      <w:tr w:rsidR="000C421E" w14:paraId="603C6054" w14:textId="77777777" w:rsidTr="00760DC5">
        <w:tc>
          <w:tcPr>
            <w:tcW w:w="2245" w:type="dxa"/>
            <w:vAlign w:val="center"/>
          </w:tcPr>
          <w:p w14:paraId="0372BFB8" w14:textId="67F6C35E" w:rsidR="000C421E" w:rsidRPr="000C421E" w:rsidRDefault="000C421E" w:rsidP="000C421E">
            <w:pPr>
              <w:jc w:val="left"/>
            </w:pPr>
            <w:r w:rsidRPr="000C421E">
              <w:t>Partner capital account</w:t>
            </w:r>
          </w:p>
        </w:tc>
        <w:tc>
          <w:tcPr>
            <w:tcW w:w="6529" w:type="dxa"/>
            <w:vAlign w:val="center"/>
          </w:tcPr>
          <w:p w14:paraId="6431A964" w14:textId="4BB7039F" w:rsidR="000C421E" w:rsidRDefault="000C421E" w:rsidP="000C421E">
            <w:pPr>
              <w:jc w:val="left"/>
            </w:pPr>
            <w:r>
              <w:t>Generally refers to the partnership’s capital attributed to a particular partner. See Treas. Reg. § 1.704-1(b)(2)(iv).</w:t>
            </w:r>
          </w:p>
        </w:tc>
      </w:tr>
      <w:tr w:rsidR="000C421E" w14:paraId="18EDFD06" w14:textId="77777777" w:rsidTr="00760DC5">
        <w:tc>
          <w:tcPr>
            <w:tcW w:w="2245" w:type="dxa"/>
            <w:vAlign w:val="center"/>
          </w:tcPr>
          <w:p w14:paraId="71E06002" w14:textId="253A4300" w:rsidR="000C421E" w:rsidRPr="000C421E" w:rsidRDefault="000C421E" w:rsidP="000C421E">
            <w:pPr>
              <w:jc w:val="left"/>
            </w:pPr>
            <w:r w:rsidRPr="000C421E">
              <w:t>Built-in gain (loss)</w:t>
            </w:r>
          </w:p>
        </w:tc>
        <w:tc>
          <w:tcPr>
            <w:tcW w:w="6529" w:type="dxa"/>
            <w:vAlign w:val="center"/>
          </w:tcPr>
          <w:p w14:paraId="47D030D3" w14:textId="1B73F966" w:rsidR="000C421E" w:rsidRDefault="000C421E" w:rsidP="000C421E">
            <w:pPr>
              <w:jc w:val="left"/>
            </w:pPr>
            <w:proofErr w:type="gramStart"/>
            <w:r>
              <w:t>The amount of the</w:t>
            </w:r>
            <w:proofErr w:type="gramEnd"/>
            <w:r>
              <w:t xml:space="preserve"> fair market value of an item as compared to that item’s tax basis at a particular point in time—often the point at which the item is contributed to or distributed from a partnership. See IRC § 704(c).</w:t>
            </w:r>
          </w:p>
        </w:tc>
      </w:tr>
      <w:tr w:rsidR="000C421E" w14:paraId="17B6CB60" w14:textId="77777777" w:rsidTr="00760DC5">
        <w:tc>
          <w:tcPr>
            <w:tcW w:w="2245" w:type="dxa"/>
            <w:vAlign w:val="center"/>
          </w:tcPr>
          <w:p w14:paraId="3FFD0DB2" w14:textId="55016573" w:rsidR="000C421E" w:rsidRPr="000C421E" w:rsidRDefault="000C421E" w:rsidP="000C421E">
            <w:pPr>
              <w:jc w:val="left"/>
            </w:pPr>
            <w:r w:rsidRPr="000C421E">
              <w:t>Guaranteed payment</w:t>
            </w:r>
          </w:p>
        </w:tc>
        <w:tc>
          <w:tcPr>
            <w:tcW w:w="6529" w:type="dxa"/>
            <w:vAlign w:val="center"/>
          </w:tcPr>
          <w:p w14:paraId="6A03328A" w14:textId="4846302A" w:rsidR="000C421E" w:rsidRDefault="000C421E" w:rsidP="000C421E">
            <w:pPr>
              <w:jc w:val="left"/>
            </w:pPr>
            <w:r>
              <w:t>Amounts of cash or assets transferred from a partnership to a partner not dependent upon the partnership’s income. (Contrast this with distributive share above.) See IRC § 707(c).</w:t>
            </w:r>
          </w:p>
        </w:tc>
      </w:tr>
      <w:tr w:rsidR="000C421E" w14:paraId="0BDA44D0" w14:textId="77777777" w:rsidTr="00760DC5">
        <w:tc>
          <w:tcPr>
            <w:tcW w:w="2245" w:type="dxa"/>
            <w:vAlign w:val="center"/>
          </w:tcPr>
          <w:p w14:paraId="42127234" w14:textId="0E48347C" w:rsidR="000C421E" w:rsidRPr="000C421E" w:rsidRDefault="000C421E" w:rsidP="000C421E">
            <w:pPr>
              <w:jc w:val="left"/>
            </w:pPr>
            <w:r w:rsidRPr="000C421E">
              <w:t>Upper-tier partnership or tiered partner</w:t>
            </w:r>
          </w:p>
        </w:tc>
        <w:tc>
          <w:tcPr>
            <w:tcW w:w="6529" w:type="dxa"/>
            <w:vAlign w:val="center"/>
          </w:tcPr>
          <w:p w14:paraId="58B3FC13" w14:textId="037E9E0E" w:rsidR="000C421E" w:rsidRDefault="000C421E" w:rsidP="000C421E">
            <w:pPr>
              <w:jc w:val="left"/>
            </w:pPr>
            <w:r>
              <w:t>A partnership that holds an interest in another partnership. See IRC § 706(d)(3) (among others).</w:t>
            </w:r>
          </w:p>
        </w:tc>
      </w:tr>
      <w:tr w:rsidR="000C421E" w14:paraId="393C7290" w14:textId="77777777" w:rsidTr="00760DC5">
        <w:tc>
          <w:tcPr>
            <w:tcW w:w="2245" w:type="dxa"/>
            <w:vAlign w:val="center"/>
          </w:tcPr>
          <w:p w14:paraId="3747EAA9" w14:textId="175FFA92" w:rsidR="000C421E" w:rsidRPr="000C421E" w:rsidRDefault="000C421E" w:rsidP="000C421E">
            <w:pPr>
              <w:jc w:val="left"/>
            </w:pPr>
            <w:r w:rsidRPr="000C421E">
              <w:t>Lower-tier partnership</w:t>
            </w:r>
          </w:p>
        </w:tc>
        <w:tc>
          <w:tcPr>
            <w:tcW w:w="6529" w:type="dxa"/>
            <w:vAlign w:val="center"/>
          </w:tcPr>
          <w:p w14:paraId="5D023873" w14:textId="16BE1E0D" w:rsidR="000C421E" w:rsidRDefault="000C421E" w:rsidP="000C421E">
            <w:pPr>
              <w:jc w:val="left"/>
            </w:pPr>
            <w:r>
              <w:t>A partnership in which another partnership holds an interest. See IRC § 706(d)(3) (among others).</w:t>
            </w:r>
          </w:p>
        </w:tc>
      </w:tr>
      <w:tr w:rsidR="000C421E" w14:paraId="048EB81B" w14:textId="77777777" w:rsidTr="00760DC5">
        <w:tc>
          <w:tcPr>
            <w:tcW w:w="2245" w:type="dxa"/>
            <w:vAlign w:val="center"/>
          </w:tcPr>
          <w:p w14:paraId="44E57D12" w14:textId="7CDA50D8" w:rsidR="000C421E" w:rsidRPr="000C421E" w:rsidRDefault="000C421E" w:rsidP="000C421E">
            <w:pPr>
              <w:jc w:val="left"/>
            </w:pPr>
            <w:r w:rsidRPr="000C421E">
              <w:t>Direct partner</w:t>
            </w:r>
          </w:p>
        </w:tc>
        <w:tc>
          <w:tcPr>
            <w:tcW w:w="6529" w:type="dxa"/>
            <w:vAlign w:val="center"/>
          </w:tcPr>
          <w:p w14:paraId="32FBE50B" w14:textId="4F5F49C7" w:rsidR="000C421E" w:rsidRDefault="000C421E" w:rsidP="000C421E">
            <w:pPr>
              <w:jc w:val="left"/>
            </w:pPr>
            <w:r>
              <w:t>A partner that owns an interest in a partnership.</w:t>
            </w:r>
          </w:p>
        </w:tc>
      </w:tr>
      <w:tr w:rsidR="000C421E" w14:paraId="321300FB" w14:textId="77777777" w:rsidTr="00760DC5">
        <w:tc>
          <w:tcPr>
            <w:tcW w:w="2245" w:type="dxa"/>
            <w:vAlign w:val="center"/>
          </w:tcPr>
          <w:p w14:paraId="6F6A4398" w14:textId="48614D80" w:rsidR="000C421E" w:rsidRPr="000C421E" w:rsidRDefault="000C421E" w:rsidP="000C421E">
            <w:pPr>
              <w:jc w:val="left"/>
            </w:pPr>
            <w:r w:rsidRPr="000C421E">
              <w:t>Indirect partner</w:t>
            </w:r>
          </w:p>
        </w:tc>
        <w:tc>
          <w:tcPr>
            <w:tcW w:w="6529" w:type="dxa"/>
            <w:vAlign w:val="center"/>
          </w:tcPr>
          <w:p w14:paraId="5AB021F1" w14:textId="621A0E99" w:rsidR="000C421E" w:rsidRDefault="000C421E" w:rsidP="000C421E">
            <w:pPr>
              <w:jc w:val="left"/>
            </w:pPr>
            <w:r>
              <w:t>A partner or owner of a partnership or passthrough entity that, itself, owns an interest in another partnership.</w:t>
            </w:r>
          </w:p>
        </w:tc>
      </w:tr>
      <w:tr w:rsidR="000C421E" w14:paraId="27758DDE" w14:textId="77777777" w:rsidTr="00760DC5">
        <w:tc>
          <w:tcPr>
            <w:tcW w:w="2245" w:type="dxa"/>
            <w:vAlign w:val="center"/>
          </w:tcPr>
          <w:p w14:paraId="67FAC39E" w14:textId="21F7AA1A" w:rsidR="000C421E" w:rsidRPr="000C421E" w:rsidRDefault="000C421E" w:rsidP="000C421E">
            <w:pPr>
              <w:jc w:val="left"/>
            </w:pPr>
            <w:r w:rsidRPr="000C421E">
              <w:t>Trade or business</w:t>
            </w:r>
          </w:p>
        </w:tc>
        <w:tc>
          <w:tcPr>
            <w:tcW w:w="6529" w:type="dxa"/>
            <w:vAlign w:val="center"/>
          </w:tcPr>
          <w:p w14:paraId="1A2F6655" w14:textId="78827C1A" w:rsidR="000C421E" w:rsidRDefault="000C421E" w:rsidP="000C421E">
            <w:pPr>
              <w:jc w:val="left"/>
            </w:pPr>
            <w:r>
              <w:t xml:space="preserve">The particular character of items, including those recognized by partnerships, that may determine their treatment for tax purposes. See IRC § 162 and related </w:t>
            </w:r>
            <w:r w:rsidRPr="007A32D0">
              <w:t>regulations (among others).</w:t>
            </w:r>
          </w:p>
        </w:tc>
      </w:tr>
      <w:tr w:rsidR="000C421E" w14:paraId="3576DD09" w14:textId="77777777" w:rsidTr="00760DC5">
        <w:tc>
          <w:tcPr>
            <w:tcW w:w="2245" w:type="dxa"/>
            <w:vAlign w:val="center"/>
          </w:tcPr>
          <w:p w14:paraId="79E5A559" w14:textId="2E156956" w:rsidR="000C421E" w:rsidRPr="000C421E" w:rsidRDefault="000C421E" w:rsidP="000C421E">
            <w:pPr>
              <w:jc w:val="left"/>
            </w:pPr>
            <w:r w:rsidRPr="000C421E">
              <w:t>Active or passive</w:t>
            </w:r>
          </w:p>
        </w:tc>
        <w:tc>
          <w:tcPr>
            <w:tcW w:w="6529" w:type="dxa"/>
            <w:vAlign w:val="center"/>
          </w:tcPr>
          <w:p w14:paraId="7A05395F" w14:textId="789BBC04" w:rsidR="000C421E" w:rsidRDefault="000C421E" w:rsidP="000C421E">
            <w:pPr>
              <w:jc w:val="left"/>
            </w:pPr>
            <w:r>
              <w:t>A characterization of a relationship between a taxpayer and an item or its source that, under the federal substantive tax provisions, may determine the treatment of items, especially losses. See IRC § 469 and related regulations.</w:t>
            </w:r>
          </w:p>
        </w:tc>
      </w:tr>
    </w:tbl>
    <w:p w14:paraId="13239737" w14:textId="77777777" w:rsidR="00760DC5" w:rsidRDefault="00760DC5" w:rsidP="00760DC5"/>
    <w:p w14:paraId="042BB356" w14:textId="77777777" w:rsidR="00760DC5" w:rsidRDefault="00760DC5" w:rsidP="00760DC5">
      <w:pPr>
        <w:rPr>
          <w:rFonts w:asciiTheme="majorHAnsi" w:eastAsiaTheme="majorEastAsia" w:hAnsiTheme="majorHAnsi" w:cstheme="majorBidi"/>
          <w:b/>
          <w:color w:val="851C00" w:themeColor="accent6" w:themeShade="BF"/>
          <w:sz w:val="26"/>
          <w:szCs w:val="24"/>
          <w:u w:val="single"/>
        </w:rPr>
      </w:pPr>
      <w:r>
        <w:br w:type="page"/>
      </w:r>
    </w:p>
    <w:p w14:paraId="77432B16" w14:textId="576CCE1B" w:rsidR="00B73FC4" w:rsidRPr="000672D1" w:rsidRDefault="00B73FC4" w:rsidP="00FC1B40">
      <w:pPr>
        <w:pStyle w:val="Heading3"/>
      </w:pPr>
      <w:bookmarkStart w:id="37" w:name="_Toc195435235"/>
      <w:r w:rsidRPr="000672D1">
        <w:lastRenderedPageBreak/>
        <w:t xml:space="preserve">Terms </w:t>
      </w:r>
      <w:r w:rsidR="00816484">
        <w:t xml:space="preserve">Used Consistently </w:t>
      </w:r>
      <w:r w:rsidR="0027691F">
        <w:t xml:space="preserve">with </w:t>
      </w:r>
      <w:r w:rsidR="00816484">
        <w:t xml:space="preserve">State </w:t>
      </w:r>
      <w:r w:rsidR="0062473E">
        <w:t xml:space="preserve">Governing </w:t>
      </w:r>
      <w:r w:rsidR="00816484">
        <w:t>Laws (ULC References)</w:t>
      </w:r>
      <w:bookmarkEnd w:id="37"/>
    </w:p>
    <w:tbl>
      <w:tblPr>
        <w:tblStyle w:val="TableGrid"/>
        <w:tblW w:w="0" w:type="auto"/>
        <w:tblCellMar>
          <w:top w:w="58" w:type="dxa"/>
          <w:bottom w:w="58" w:type="dxa"/>
        </w:tblCellMar>
        <w:tblLook w:val="04A0" w:firstRow="1" w:lastRow="0" w:firstColumn="1" w:lastColumn="0" w:noHBand="0" w:noVBand="1"/>
      </w:tblPr>
      <w:tblGrid>
        <w:gridCol w:w="3325"/>
        <w:gridCol w:w="5449"/>
      </w:tblGrid>
      <w:tr w:rsidR="00851D4E" w14:paraId="0D8FFED4" w14:textId="77777777" w:rsidTr="00760DC5">
        <w:tc>
          <w:tcPr>
            <w:tcW w:w="8774" w:type="dxa"/>
            <w:gridSpan w:val="2"/>
            <w:vAlign w:val="center"/>
          </w:tcPr>
          <w:p w14:paraId="6BB15829" w14:textId="283FEC82" w:rsidR="00851D4E" w:rsidRPr="00851D4E" w:rsidRDefault="00851D4E" w:rsidP="00851D4E">
            <w:pPr>
              <w:jc w:val="center"/>
              <w:rPr>
                <w:b/>
                <w:bCs/>
              </w:rPr>
            </w:pPr>
            <w:r w:rsidRPr="00851D4E">
              <w:rPr>
                <w:b/>
                <w:bCs/>
              </w:rPr>
              <w:t>Types of Partnerships</w:t>
            </w:r>
          </w:p>
        </w:tc>
      </w:tr>
      <w:tr w:rsidR="00851D4E" w14:paraId="2CBB5B40" w14:textId="77777777" w:rsidTr="00760DC5">
        <w:tc>
          <w:tcPr>
            <w:tcW w:w="3325" w:type="dxa"/>
            <w:vAlign w:val="center"/>
          </w:tcPr>
          <w:p w14:paraId="077B98D7" w14:textId="0B35FAC6" w:rsidR="00851D4E" w:rsidRPr="00851D4E" w:rsidRDefault="00851D4E" w:rsidP="00627DCA">
            <w:pPr>
              <w:jc w:val="left"/>
            </w:pPr>
            <w:r w:rsidRPr="00851D4E">
              <w:t>General partnership</w:t>
            </w:r>
          </w:p>
        </w:tc>
        <w:tc>
          <w:tcPr>
            <w:tcW w:w="5449" w:type="dxa"/>
            <w:vAlign w:val="center"/>
          </w:tcPr>
          <w:p w14:paraId="2BA3247B" w14:textId="5C0DD199" w:rsidR="00851D4E" w:rsidRDefault="00851D4E" w:rsidP="00627DCA">
            <w:pPr>
              <w:jc w:val="left"/>
            </w:pPr>
            <w:r>
              <w:t>See the ULC Partnership Act.</w:t>
            </w:r>
          </w:p>
        </w:tc>
      </w:tr>
      <w:tr w:rsidR="00851D4E" w14:paraId="687F66C5" w14:textId="77777777" w:rsidTr="00760DC5">
        <w:tc>
          <w:tcPr>
            <w:tcW w:w="3325" w:type="dxa"/>
            <w:vAlign w:val="center"/>
          </w:tcPr>
          <w:p w14:paraId="2AA8748D" w14:textId="65D53398" w:rsidR="00851D4E" w:rsidRPr="00851D4E" w:rsidRDefault="00851D4E" w:rsidP="00627DCA">
            <w:pPr>
              <w:jc w:val="left"/>
            </w:pPr>
            <w:r w:rsidRPr="00851D4E">
              <w:t>Limited liability partnership (LLP)</w:t>
            </w:r>
          </w:p>
        </w:tc>
        <w:tc>
          <w:tcPr>
            <w:tcW w:w="5449" w:type="dxa"/>
            <w:vAlign w:val="center"/>
          </w:tcPr>
          <w:p w14:paraId="1B8C17F2" w14:textId="30968BB1" w:rsidR="00851D4E" w:rsidRDefault="00851D4E" w:rsidP="00627DCA">
            <w:pPr>
              <w:jc w:val="left"/>
            </w:pPr>
            <w:r>
              <w:t>See the ULC Partnership Act, Art. 9.</w:t>
            </w:r>
          </w:p>
        </w:tc>
      </w:tr>
      <w:tr w:rsidR="00851D4E" w14:paraId="3B4D9124" w14:textId="77777777" w:rsidTr="00760DC5">
        <w:tc>
          <w:tcPr>
            <w:tcW w:w="3325" w:type="dxa"/>
            <w:vAlign w:val="center"/>
          </w:tcPr>
          <w:p w14:paraId="27D04633" w14:textId="1CAB7CED" w:rsidR="00851D4E" w:rsidRPr="00851D4E" w:rsidRDefault="00851D4E" w:rsidP="00627DCA">
            <w:pPr>
              <w:jc w:val="left"/>
            </w:pPr>
            <w:r w:rsidRPr="00851D4E">
              <w:t>Limited partnership (LP)</w:t>
            </w:r>
          </w:p>
        </w:tc>
        <w:tc>
          <w:tcPr>
            <w:tcW w:w="5449" w:type="dxa"/>
            <w:vAlign w:val="center"/>
          </w:tcPr>
          <w:p w14:paraId="7C21E4A5" w14:textId="3F04D3FF" w:rsidR="00851D4E" w:rsidRDefault="00851D4E" w:rsidP="00627DCA">
            <w:pPr>
              <w:jc w:val="left"/>
            </w:pPr>
            <w:r>
              <w:t>See the ULC Limited Partnership Act.</w:t>
            </w:r>
          </w:p>
        </w:tc>
      </w:tr>
      <w:tr w:rsidR="00851D4E" w14:paraId="3589508E" w14:textId="77777777" w:rsidTr="00760DC5">
        <w:tc>
          <w:tcPr>
            <w:tcW w:w="3325" w:type="dxa"/>
            <w:vAlign w:val="center"/>
          </w:tcPr>
          <w:p w14:paraId="20C814B2" w14:textId="77777777" w:rsidR="00851D4E" w:rsidRPr="00851D4E" w:rsidRDefault="00851D4E" w:rsidP="0098763F">
            <w:pPr>
              <w:jc w:val="left"/>
            </w:pPr>
            <w:r w:rsidRPr="00851D4E">
              <w:t>Limited liability company (LLC)</w:t>
            </w:r>
          </w:p>
        </w:tc>
        <w:tc>
          <w:tcPr>
            <w:tcW w:w="5449" w:type="dxa"/>
            <w:vAlign w:val="center"/>
          </w:tcPr>
          <w:p w14:paraId="36CEC5DC" w14:textId="77777777" w:rsidR="00851D4E" w:rsidRDefault="00851D4E" w:rsidP="0098763F">
            <w:pPr>
              <w:jc w:val="left"/>
            </w:pPr>
            <w:r>
              <w:t>See the ULC Limited Liability Company Act.</w:t>
            </w:r>
          </w:p>
        </w:tc>
      </w:tr>
      <w:tr w:rsidR="00851D4E" w14:paraId="408EE63B" w14:textId="77777777" w:rsidTr="00760DC5">
        <w:tc>
          <w:tcPr>
            <w:tcW w:w="8774" w:type="dxa"/>
            <w:gridSpan w:val="2"/>
            <w:vAlign w:val="center"/>
          </w:tcPr>
          <w:p w14:paraId="30EAF392" w14:textId="2B176748" w:rsidR="00851D4E" w:rsidRPr="00851D4E" w:rsidRDefault="00851D4E" w:rsidP="00851D4E">
            <w:pPr>
              <w:jc w:val="center"/>
              <w:rPr>
                <w:b/>
                <w:bCs/>
              </w:rPr>
            </w:pPr>
            <w:r w:rsidRPr="00851D4E">
              <w:rPr>
                <w:b/>
                <w:bCs/>
              </w:rPr>
              <w:t>Types of Partners</w:t>
            </w:r>
          </w:p>
        </w:tc>
      </w:tr>
      <w:tr w:rsidR="00851D4E" w14:paraId="114D04E3" w14:textId="77777777" w:rsidTr="00760DC5">
        <w:tc>
          <w:tcPr>
            <w:tcW w:w="3325" w:type="dxa"/>
            <w:vAlign w:val="center"/>
          </w:tcPr>
          <w:p w14:paraId="6C6FDC52" w14:textId="5EBCB41C" w:rsidR="00851D4E" w:rsidRPr="00851D4E" w:rsidRDefault="00851D4E" w:rsidP="00627DCA">
            <w:pPr>
              <w:jc w:val="left"/>
            </w:pPr>
            <w:r w:rsidRPr="00851D4E">
              <w:t xml:space="preserve">General partner  </w:t>
            </w:r>
          </w:p>
        </w:tc>
        <w:tc>
          <w:tcPr>
            <w:tcW w:w="5449" w:type="dxa"/>
            <w:vAlign w:val="center"/>
          </w:tcPr>
          <w:p w14:paraId="1A6434DF" w14:textId="62C84441" w:rsidR="00851D4E" w:rsidRDefault="00851D4E" w:rsidP="00627DCA">
            <w:pPr>
              <w:jc w:val="left"/>
            </w:pPr>
            <w:r>
              <w:t>See ULC Partnership Act (including any partner in a general partnership) and the ULC Limited Partnership Act, Art. 4.</w:t>
            </w:r>
          </w:p>
        </w:tc>
      </w:tr>
      <w:tr w:rsidR="00851D4E" w14:paraId="6A396BBB" w14:textId="77777777" w:rsidTr="00760DC5">
        <w:tc>
          <w:tcPr>
            <w:tcW w:w="3325" w:type="dxa"/>
            <w:vAlign w:val="center"/>
          </w:tcPr>
          <w:p w14:paraId="2930F688" w14:textId="415C506C" w:rsidR="00851D4E" w:rsidRPr="00851D4E" w:rsidRDefault="00851D4E" w:rsidP="00627DCA">
            <w:pPr>
              <w:jc w:val="left"/>
            </w:pPr>
            <w:r w:rsidRPr="00851D4E">
              <w:t xml:space="preserve">Limited partner  </w:t>
            </w:r>
          </w:p>
        </w:tc>
        <w:tc>
          <w:tcPr>
            <w:tcW w:w="5449" w:type="dxa"/>
            <w:vAlign w:val="center"/>
          </w:tcPr>
          <w:p w14:paraId="566E8D8E" w14:textId="62B00A4D" w:rsidR="00851D4E" w:rsidRDefault="00851D4E" w:rsidP="00627DCA">
            <w:pPr>
              <w:jc w:val="left"/>
            </w:pPr>
            <w:r>
              <w:t>See ULC Limited Partnership Act, Art. 3.</w:t>
            </w:r>
          </w:p>
        </w:tc>
      </w:tr>
      <w:tr w:rsidR="00851D4E" w14:paraId="4815BD4E" w14:textId="77777777" w:rsidTr="00760DC5">
        <w:tc>
          <w:tcPr>
            <w:tcW w:w="3325" w:type="dxa"/>
            <w:vAlign w:val="center"/>
          </w:tcPr>
          <w:p w14:paraId="07F62196" w14:textId="58D1F49A" w:rsidR="00851D4E" w:rsidRPr="00851D4E" w:rsidRDefault="00851D4E" w:rsidP="00627DCA">
            <w:pPr>
              <w:jc w:val="left"/>
            </w:pPr>
            <w:r w:rsidRPr="00851D4E">
              <w:t>Member</w:t>
            </w:r>
          </w:p>
        </w:tc>
        <w:tc>
          <w:tcPr>
            <w:tcW w:w="5449" w:type="dxa"/>
            <w:vAlign w:val="center"/>
          </w:tcPr>
          <w:p w14:paraId="08733DC7" w14:textId="536DA0B7" w:rsidR="00851D4E" w:rsidRDefault="00851D4E" w:rsidP="00627DCA">
            <w:pPr>
              <w:jc w:val="left"/>
            </w:pPr>
            <w:r>
              <w:t>See ULC Limited Liability Company Act, Art. 1, Sec. 102(11) and Arts</w:t>
            </w:r>
            <w:r w:rsidR="0031303D">
              <w:t>.</w:t>
            </w:r>
            <w:r>
              <w:t xml:space="preserve"> 3 and 4.</w:t>
            </w:r>
          </w:p>
        </w:tc>
      </w:tr>
    </w:tbl>
    <w:p w14:paraId="6CEDAA00" w14:textId="72786320" w:rsidR="00B73FC4" w:rsidRDefault="00B47E12" w:rsidP="00851D4E">
      <w:pPr>
        <w:pStyle w:val="Heading3"/>
      </w:pPr>
      <w:bookmarkStart w:id="38" w:name="_Toc195435236"/>
      <w:r>
        <w:t xml:space="preserve">State </w:t>
      </w:r>
      <w:r w:rsidR="008C55D5">
        <w:t xml:space="preserve">Tax </w:t>
      </w:r>
      <w:r>
        <w:t>Sourcing Terms</w:t>
      </w:r>
      <w:r w:rsidR="00C202F4">
        <w:t xml:space="preserve"> </w:t>
      </w:r>
      <w:r w:rsidR="0027691F">
        <w:t>as Used in this White Paper</w:t>
      </w:r>
      <w:bookmarkEnd w:id="38"/>
    </w:p>
    <w:tbl>
      <w:tblPr>
        <w:tblStyle w:val="TableGrid"/>
        <w:tblW w:w="0" w:type="auto"/>
        <w:tblCellMar>
          <w:top w:w="58" w:type="dxa"/>
          <w:bottom w:w="58" w:type="dxa"/>
        </w:tblCellMar>
        <w:tblLook w:val="04A0" w:firstRow="1" w:lastRow="0" w:firstColumn="1" w:lastColumn="0" w:noHBand="0" w:noVBand="1"/>
      </w:tblPr>
      <w:tblGrid>
        <w:gridCol w:w="2245"/>
        <w:gridCol w:w="6529"/>
      </w:tblGrid>
      <w:tr w:rsidR="00851D4E" w14:paraId="78ABFB75" w14:textId="77777777" w:rsidTr="00760DC5">
        <w:tc>
          <w:tcPr>
            <w:tcW w:w="2245" w:type="dxa"/>
            <w:vAlign w:val="center"/>
          </w:tcPr>
          <w:p w14:paraId="02747679" w14:textId="1CD0BFA4" w:rsidR="00851D4E" w:rsidRPr="00851D4E" w:rsidRDefault="00851D4E" w:rsidP="00627DCA">
            <w:pPr>
              <w:jc w:val="left"/>
            </w:pPr>
            <w:r w:rsidRPr="00851D4E">
              <w:t>Jurisdiction</w:t>
            </w:r>
          </w:p>
        </w:tc>
        <w:tc>
          <w:tcPr>
            <w:tcW w:w="6529" w:type="dxa"/>
            <w:vAlign w:val="center"/>
          </w:tcPr>
          <w:p w14:paraId="48F1A0A0" w14:textId="3C3E6B6C" w:rsidR="00851D4E" w:rsidRDefault="00851D4E" w:rsidP="00627DCA">
            <w:pPr>
              <w:jc w:val="left"/>
            </w:pPr>
            <w:r>
              <w:t>The general authority of a state to impose requirements on a person.</w:t>
            </w:r>
          </w:p>
        </w:tc>
      </w:tr>
      <w:tr w:rsidR="00851D4E" w14:paraId="38FA2815" w14:textId="77777777" w:rsidTr="00760DC5">
        <w:tc>
          <w:tcPr>
            <w:tcW w:w="2245" w:type="dxa"/>
            <w:vAlign w:val="center"/>
          </w:tcPr>
          <w:p w14:paraId="78DAA678" w14:textId="2CCE88E1" w:rsidR="00851D4E" w:rsidRPr="00851D4E" w:rsidRDefault="00851D4E" w:rsidP="00627DCA">
            <w:pPr>
              <w:jc w:val="left"/>
            </w:pPr>
            <w:r w:rsidRPr="00851D4E">
              <w:t>Nexus</w:t>
            </w:r>
          </w:p>
        </w:tc>
        <w:tc>
          <w:tcPr>
            <w:tcW w:w="6529" w:type="dxa"/>
            <w:vAlign w:val="center"/>
          </w:tcPr>
          <w:p w14:paraId="77314A3E" w14:textId="17BC15D2" w:rsidR="00851D4E" w:rsidRDefault="00851D4E" w:rsidP="00627DCA">
            <w:pPr>
              <w:jc w:val="left"/>
            </w:pPr>
            <w:r>
              <w:t>The general standard for state authority to impose tax on a person.</w:t>
            </w:r>
          </w:p>
        </w:tc>
      </w:tr>
      <w:tr w:rsidR="00851D4E" w14:paraId="28530FF7" w14:textId="77777777" w:rsidTr="00760DC5">
        <w:tc>
          <w:tcPr>
            <w:tcW w:w="2245" w:type="dxa"/>
            <w:vAlign w:val="center"/>
          </w:tcPr>
          <w:p w14:paraId="3C2668CF" w14:textId="7170C3D2" w:rsidR="00851D4E" w:rsidRPr="00851D4E" w:rsidRDefault="00851D4E" w:rsidP="00627DCA">
            <w:pPr>
              <w:jc w:val="left"/>
            </w:pPr>
            <w:r w:rsidRPr="00851D4E">
              <w:t>Doing business</w:t>
            </w:r>
          </w:p>
        </w:tc>
        <w:tc>
          <w:tcPr>
            <w:tcW w:w="6529" w:type="dxa"/>
            <w:vAlign w:val="center"/>
          </w:tcPr>
          <w:p w14:paraId="288F9BA7" w14:textId="793E61D3" w:rsidR="00851D4E" w:rsidRDefault="00851D4E" w:rsidP="00627DCA">
            <w:pPr>
              <w:jc w:val="left"/>
            </w:pPr>
            <w:r>
              <w:t>Used in state tax imposition statutes to refer to a person’s activities directed at the state that will subject that person to tax.</w:t>
            </w:r>
          </w:p>
        </w:tc>
      </w:tr>
      <w:tr w:rsidR="00851D4E" w14:paraId="057260E6" w14:textId="77777777" w:rsidTr="00760DC5">
        <w:tc>
          <w:tcPr>
            <w:tcW w:w="2245" w:type="dxa"/>
            <w:vAlign w:val="center"/>
          </w:tcPr>
          <w:p w14:paraId="7090D3C6" w14:textId="17C37ECA" w:rsidR="00851D4E" w:rsidRPr="00851D4E" w:rsidRDefault="00851D4E" w:rsidP="00627DCA">
            <w:pPr>
              <w:jc w:val="left"/>
            </w:pPr>
            <w:r w:rsidRPr="00851D4E">
              <w:t>Source (noun and verb)</w:t>
            </w:r>
          </w:p>
        </w:tc>
        <w:tc>
          <w:tcPr>
            <w:tcW w:w="6529" w:type="dxa"/>
            <w:vAlign w:val="center"/>
          </w:tcPr>
          <w:p w14:paraId="7F19377B" w14:textId="7C8D5F7B" w:rsidR="00851D4E" w:rsidRDefault="00851D4E" w:rsidP="00627DCA">
            <w:pPr>
              <w:jc w:val="left"/>
            </w:pPr>
            <w:r>
              <w:t>Refers generally to the state or states to which items of income or a share of net income from multistate activities will be attributed or to the attribution of those items under different approaches.</w:t>
            </w:r>
          </w:p>
        </w:tc>
      </w:tr>
      <w:tr w:rsidR="00851D4E" w14:paraId="20062AC1" w14:textId="77777777" w:rsidTr="00760DC5">
        <w:tc>
          <w:tcPr>
            <w:tcW w:w="2245" w:type="dxa"/>
            <w:vAlign w:val="center"/>
          </w:tcPr>
          <w:p w14:paraId="7A239B3E" w14:textId="77777777" w:rsidR="00851D4E" w:rsidRPr="00851D4E" w:rsidRDefault="00851D4E" w:rsidP="00627DCA">
            <w:pPr>
              <w:jc w:val="left"/>
            </w:pPr>
            <w:r w:rsidRPr="00851D4E">
              <w:t xml:space="preserve">Apportion and </w:t>
            </w:r>
          </w:p>
          <w:p w14:paraId="20BC7698" w14:textId="5A3D3B95" w:rsidR="00851D4E" w:rsidRPr="00851D4E" w:rsidRDefault="00851D4E" w:rsidP="00627DCA">
            <w:pPr>
              <w:jc w:val="left"/>
            </w:pPr>
            <w:r w:rsidRPr="00851D4E">
              <w:t>apportionment</w:t>
            </w:r>
          </w:p>
        </w:tc>
        <w:tc>
          <w:tcPr>
            <w:tcW w:w="6529" w:type="dxa"/>
            <w:vAlign w:val="center"/>
          </w:tcPr>
          <w:p w14:paraId="791E71F1" w14:textId="32F6D4D3" w:rsidR="00851D4E" w:rsidRDefault="00851D4E" w:rsidP="00627DCA">
            <w:pPr>
              <w:jc w:val="left"/>
            </w:pPr>
            <w:r>
              <w:t>A method used to source multistate income that applies a single formula or ratio based on certain instate activities of the taxpayer to determine the percentage of that taxpayer’s net income (and of all the items making up that income) that will be taxed in that state</w:t>
            </w:r>
          </w:p>
        </w:tc>
      </w:tr>
      <w:tr w:rsidR="00851D4E" w14:paraId="0CA6D435" w14:textId="77777777" w:rsidTr="00760DC5">
        <w:tc>
          <w:tcPr>
            <w:tcW w:w="2245" w:type="dxa"/>
            <w:vAlign w:val="center"/>
          </w:tcPr>
          <w:p w14:paraId="49F35FCC" w14:textId="7D0A864B" w:rsidR="00851D4E" w:rsidRPr="00851D4E" w:rsidRDefault="00851D4E" w:rsidP="00627DCA">
            <w:pPr>
              <w:jc w:val="left"/>
            </w:pPr>
            <w:r w:rsidRPr="00851D4E">
              <w:t>Apportionment factors</w:t>
            </w:r>
          </w:p>
        </w:tc>
        <w:tc>
          <w:tcPr>
            <w:tcW w:w="6529" w:type="dxa"/>
            <w:vAlign w:val="center"/>
          </w:tcPr>
          <w:p w14:paraId="18AF002F" w14:textId="0FE0C3BB" w:rsidR="00851D4E" w:rsidRDefault="00851D4E" w:rsidP="00627DCA">
            <w:pPr>
              <w:jc w:val="left"/>
            </w:pPr>
            <w:r>
              <w:t>The types of activities counted as part of the apportionment formula used to apportion income, including, primarily, the percentage of sales or receipts in the state, but sometimes also the percentage of property and payroll in the state.</w:t>
            </w:r>
          </w:p>
        </w:tc>
      </w:tr>
      <w:tr w:rsidR="00D26105" w14:paraId="35F71110" w14:textId="77777777" w:rsidTr="00760DC5">
        <w:tc>
          <w:tcPr>
            <w:tcW w:w="2245" w:type="dxa"/>
            <w:vAlign w:val="center"/>
          </w:tcPr>
          <w:p w14:paraId="4E459FC3" w14:textId="0A4FF172" w:rsidR="00D26105" w:rsidRPr="00851D4E" w:rsidRDefault="00D26105" w:rsidP="00627DCA">
            <w:pPr>
              <w:jc w:val="left"/>
            </w:pPr>
            <w:r>
              <w:t>Receipts factor</w:t>
            </w:r>
          </w:p>
        </w:tc>
        <w:tc>
          <w:tcPr>
            <w:tcW w:w="6529" w:type="dxa"/>
            <w:vAlign w:val="center"/>
          </w:tcPr>
          <w:p w14:paraId="600EE1BE" w14:textId="115656C4" w:rsidR="00D26105" w:rsidRDefault="00D26105" w:rsidP="00627DCA">
            <w:pPr>
              <w:jc w:val="left"/>
            </w:pPr>
            <w:r>
              <w:t xml:space="preserve">The apportionment factor that represents the ratio of sales or receipts in a state. </w:t>
            </w:r>
          </w:p>
        </w:tc>
      </w:tr>
      <w:tr w:rsidR="00851D4E" w14:paraId="707E4548" w14:textId="77777777" w:rsidTr="00760DC5">
        <w:tc>
          <w:tcPr>
            <w:tcW w:w="2245" w:type="dxa"/>
            <w:vAlign w:val="center"/>
          </w:tcPr>
          <w:p w14:paraId="3DAAA71B" w14:textId="1B7FAE14" w:rsidR="00851D4E" w:rsidRPr="00851D4E" w:rsidRDefault="00851D4E" w:rsidP="00627DCA">
            <w:pPr>
              <w:jc w:val="left"/>
            </w:pPr>
            <w:r w:rsidRPr="00851D4E">
              <w:t>Assign</w:t>
            </w:r>
          </w:p>
        </w:tc>
        <w:tc>
          <w:tcPr>
            <w:tcW w:w="6529" w:type="dxa"/>
            <w:vAlign w:val="center"/>
          </w:tcPr>
          <w:p w14:paraId="56D97C31" w14:textId="39B4F714" w:rsidR="00851D4E" w:rsidRDefault="00851D4E" w:rsidP="00627DCA">
            <w:pPr>
              <w:jc w:val="left"/>
            </w:pPr>
            <w:r>
              <w:t>Determining the items or the amounts of those items located in a state for tax purposes—which may be applied to items making up the apportionment factors or to items of non-apportionable income.</w:t>
            </w:r>
          </w:p>
        </w:tc>
      </w:tr>
      <w:tr w:rsidR="00851D4E" w14:paraId="19BBDE1C" w14:textId="77777777" w:rsidTr="00760DC5">
        <w:tc>
          <w:tcPr>
            <w:tcW w:w="2245" w:type="dxa"/>
            <w:vAlign w:val="center"/>
          </w:tcPr>
          <w:p w14:paraId="7760847B" w14:textId="56703751" w:rsidR="00851D4E" w:rsidRPr="00851D4E" w:rsidRDefault="00851D4E" w:rsidP="00627DCA">
            <w:pPr>
              <w:jc w:val="left"/>
            </w:pPr>
            <w:r w:rsidRPr="00851D4E">
              <w:t>Specifically assign and rules of assignment</w:t>
            </w:r>
          </w:p>
        </w:tc>
        <w:tc>
          <w:tcPr>
            <w:tcW w:w="6529" w:type="dxa"/>
            <w:vAlign w:val="center"/>
          </w:tcPr>
          <w:p w14:paraId="4CC76D60" w14:textId="62BF60AE" w:rsidR="00851D4E" w:rsidRDefault="00851D4E" w:rsidP="00627DCA">
            <w:pPr>
              <w:jc w:val="left"/>
            </w:pPr>
            <w:r>
              <w:t xml:space="preserve">A sourcing method and the specific rules which source particular items of income or expense to a state.  </w:t>
            </w:r>
          </w:p>
        </w:tc>
      </w:tr>
      <w:tr w:rsidR="00851D4E" w14:paraId="4E72E38E" w14:textId="77777777" w:rsidTr="00865C2C">
        <w:tc>
          <w:tcPr>
            <w:tcW w:w="2245" w:type="dxa"/>
            <w:shd w:val="clear" w:color="auto" w:fill="auto"/>
            <w:vAlign w:val="center"/>
          </w:tcPr>
          <w:p w14:paraId="0631C93F" w14:textId="4FEFD0CD" w:rsidR="00851D4E" w:rsidRPr="00865C2C" w:rsidRDefault="00851D4E" w:rsidP="00627DCA">
            <w:pPr>
              <w:jc w:val="left"/>
            </w:pPr>
            <w:r w:rsidRPr="00865C2C">
              <w:t>Apportionable income</w:t>
            </w:r>
          </w:p>
        </w:tc>
        <w:tc>
          <w:tcPr>
            <w:tcW w:w="6529" w:type="dxa"/>
            <w:vAlign w:val="center"/>
          </w:tcPr>
          <w:p w14:paraId="3F021881" w14:textId="4E136190" w:rsidR="00851D4E" w:rsidRDefault="00851D4E" w:rsidP="00627DCA">
            <w:pPr>
              <w:jc w:val="left"/>
            </w:pPr>
            <w:r>
              <w:t>Income or items that may be constitutionally included in net taxable income sourced using an apportionment formula</w:t>
            </w:r>
            <w:r w:rsidR="00865C2C">
              <w:t>—sometimes referred to as “business income.”</w:t>
            </w:r>
          </w:p>
        </w:tc>
      </w:tr>
      <w:tr w:rsidR="00851D4E" w14:paraId="00B8BF94" w14:textId="77777777" w:rsidTr="00760DC5">
        <w:tc>
          <w:tcPr>
            <w:tcW w:w="2245" w:type="dxa"/>
            <w:vAlign w:val="center"/>
          </w:tcPr>
          <w:p w14:paraId="1362602F" w14:textId="77777777" w:rsidR="00851D4E" w:rsidRPr="00865C2C" w:rsidRDefault="00851D4E" w:rsidP="00627DCA">
            <w:pPr>
              <w:jc w:val="left"/>
            </w:pPr>
            <w:r w:rsidRPr="00865C2C">
              <w:t xml:space="preserve">Non-apportionable </w:t>
            </w:r>
          </w:p>
          <w:p w14:paraId="2E7F349A" w14:textId="43078ABD" w:rsidR="00851D4E" w:rsidRPr="00865C2C" w:rsidRDefault="00851D4E" w:rsidP="00627DCA">
            <w:pPr>
              <w:jc w:val="left"/>
            </w:pPr>
            <w:r w:rsidRPr="00865C2C">
              <w:t>income</w:t>
            </w:r>
          </w:p>
        </w:tc>
        <w:tc>
          <w:tcPr>
            <w:tcW w:w="6529" w:type="dxa"/>
            <w:vAlign w:val="center"/>
          </w:tcPr>
          <w:p w14:paraId="6111BE27" w14:textId="67362CD4" w:rsidR="00851D4E" w:rsidRDefault="00851D4E" w:rsidP="00627DCA">
            <w:pPr>
              <w:jc w:val="left"/>
            </w:pPr>
            <w:r>
              <w:t>Income or items that may not be constitutionally included in net income sourced using an apportionment formula</w:t>
            </w:r>
            <w:r w:rsidR="00865C2C">
              <w:t>—sometimes referred to as “non-business income.”</w:t>
            </w:r>
          </w:p>
        </w:tc>
      </w:tr>
    </w:tbl>
    <w:p w14:paraId="16459551" w14:textId="78166F94" w:rsidR="005E573B" w:rsidRPr="00851D4E" w:rsidRDefault="00CF3B69" w:rsidP="00851D4E">
      <w:pPr>
        <w:spacing w:after="80" w:line="276" w:lineRule="auto"/>
        <w:rPr>
          <w:b/>
          <w:bCs/>
        </w:rPr>
      </w:pPr>
      <w:r w:rsidRPr="00851D4E">
        <w:rPr>
          <w:b/>
          <w:bCs/>
        </w:rPr>
        <w:t xml:space="preserve">Note: Other terms or concepts may be defined throughout this white paper as necessary. </w:t>
      </w:r>
      <w:r w:rsidR="005E573B" w:rsidRPr="00851D4E">
        <w:rPr>
          <w:b/>
          <w:bCs/>
        </w:rPr>
        <w:br w:type="page"/>
      </w:r>
    </w:p>
    <w:p w14:paraId="1BBDD416" w14:textId="0A380657" w:rsidR="00125B20" w:rsidRDefault="00F54CF3" w:rsidP="00753372">
      <w:pPr>
        <w:pStyle w:val="Heading2"/>
      </w:pPr>
      <w:bookmarkStart w:id="39" w:name="_Toc153291130"/>
      <w:bookmarkStart w:id="40" w:name="_Toc195435237"/>
      <w:r>
        <w:lastRenderedPageBreak/>
        <w:t>I.</w:t>
      </w:r>
      <w:r w:rsidR="00F65298">
        <w:t>D</w:t>
      </w:r>
      <w:r w:rsidR="00B5459F">
        <w:t xml:space="preserve">. </w:t>
      </w:r>
      <w:bookmarkEnd w:id="39"/>
      <w:r w:rsidR="00125B20">
        <w:t xml:space="preserve">Conformity to the </w:t>
      </w:r>
      <w:r w:rsidR="004971CE">
        <w:t xml:space="preserve">Federal </w:t>
      </w:r>
      <w:r w:rsidR="00125B20">
        <w:t>Pass-Through Tax System</w:t>
      </w:r>
      <w:bookmarkEnd w:id="40"/>
    </w:p>
    <w:p w14:paraId="7EB7B980" w14:textId="395101C7" w:rsidR="003430DC" w:rsidRDefault="004B4296" w:rsidP="003430DC">
      <w:r>
        <w:t>C</w:t>
      </w:r>
      <w:r w:rsidR="00032477">
        <w:t xml:space="preserve">onforming to the </w:t>
      </w:r>
      <w:r w:rsidR="003430DC" w:rsidRPr="003430DC">
        <w:t>federal pass-through tax system</w:t>
      </w:r>
      <w:r>
        <w:t xml:space="preserve"> has</w:t>
      </w:r>
      <w:r w:rsidR="000C2CCD">
        <w:t xml:space="preserve"> a number of</w:t>
      </w:r>
      <w:r>
        <w:t xml:space="preserve"> important implications</w:t>
      </w:r>
      <w:r w:rsidR="0027691F">
        <w:t xml:space="preserve"> for states</w:t>
      </w:r>
      <w:r w:rsidR="00032477">
        <w:t xml:space="preserve">—especially for </w:t>
      </w:r>
      <w:r w:rsidR="0027691F">
        <w:t xml:space="preserve">tax </w:t>
      </w:r>
      <w:r w:rsidR="00032477">
        <w:t xml:space="preserve">sourcing </w:t>
      </w:r>
      <w:r w:rsidR="003430DC" w:rsidRPr="003430DC">
        <w:t>rules</w:t>
      </w:r>
      <w:r w:rsidR="00032477">
        <w:t xml:space="preserve"> which, it is fair to say, were not developed with partnerships in mind. </w:t>
      </w:r>
      <w:r w:rsidR="00851D4E">
        <w:t>This section focus</w:t>
      </w:r>
      <w:r w:rsidR="00751C65">
        <w:t>es</w:t>
      </w:r>
      <w:r w:rsidR="00851D4E">
        <w:t xml:space="preserve"> on </w:t>
      </w:r>
      <w:r w:rsidR="00032477">
        <w:t>th</w:t>
      </w:r>
      <w:r w:rsidR="00A37618">
        <w:t xml:space="preserve">e most critical of these </w:t>
      </w:r>
      <w:r w:rsidR="00032477">
        <w:t>implications</w:t>
      </w:r>
      <w:r w:rsidR="00A37618">
        <w:t>. It</w:t>
      </w:r>
      <w:r w:rsidR="00032477">
        <w:t xml:space="preserve"> </w:t>
      </w:r>
      <w:r w:rsidR="00A37618">
        <w:t>starts</w:t>
      </w:r>
      <w:r w:rsidR="00032477">
        <w:t xml:space="preserve"> </w:t>
      </w:r>
      <w:r w:rsidR="00A9372D">
        <w:t xml:space="preserve">with </w:t>
      </w:r>
      <w:r w:rsidR="00205BAD">
        <w:t xml:space="preserve">three important </w:t>
      </w:r>
      <w:r w:rsidR="00331735">
        <w:t xml:space="preserve">assumptions as to the </w:t>
      </w:r>
      <w:r w:rsidR="00D03B06">
        <w:t xml:space="preserve">general </w:t>
      </w:r>
      <w:r w:rsidR="00331735">
        <w:t xml:space="preserve">effects of </w:t>
      </w:r>
      <w:r w:rsidR="009E1A8D">
        <w:t xml:space="preserve">federal </w:t>
      </w:r>
      <w:r w:rsidR="00331735">
        <w:t>conformity</w:t>
      </w:r>
      <w:r w:rsidR="0027691F">
        <w:t xml:space="preserve">. It then provides a list of the key </w:t>
      </w:r>
      <w:r w:rsidR="00D85753">
        <w:t>elements</w:t>
      </w:r>
      <w:r w:rsidR="0027691F">
        <w:t xml:space="preserve"> of </w:t>
      </w:r>
      <w:r w:rsidR="00032477">
        <w:t>Subchapter K</w:t>
      </w:r>
      <w:r w:rsidR="00A66114">
        <w:t>’s pass-through sys</w:t>
      </w:r>
      <w:r w:rsidR="00205BAD">
        <w:t>t</w:t>
      </w:r>
      <w:r w:rsidR="00A66114">
        <w:t>em</w:t>
      </w:r>
      <w:r w:rsidR="0027691F">
        <w:t xml:space="preserve"> </w:t>
      </w:r>
      <w:r w:rsidR="00205BAD">
        <w:t>that have the greatest state tax sourcing</w:t>
      </w:r>
      <w:r w:rsidR="0027691F">
        <w:t xml:space="preserve"> </w:t>
      </w:r>
      <w:r w:rsidR="00331735">
        <w:t>implications</w:t>
      </w:r>
      <w:r w:rsidR="0027691F">
        <w:t>.</w:t>
      </w:r>
      <w:r w:rsidR="00032477">
        <w:t xml:space="preserve"> </w:t>
      </w:r>
      <w:r w:rsidR="0027691F">
        <w:t>F</w:t>
      </w:r>
      <w:r w:rsidR="00A9372D">
        <w:t>inally</w:t>
      </w:r>
      <w:r w:rsidR="0027691F">
        <w:t>, it looks at how</w:t>
      </w:r>
      <w:r w:rsidR="00032477">
        <w:t xml:space="preserve"> </w:t>
      </w:r>
      <w:r w:rsidR="00943DA0">
        <w:t xml:space="preserve">transfers or </w:t>
      </w:r>
      <w:r w:rsidR="00C62A50">
        <w:t>transactions among related partners/partnerships</w:t>
      </w:r>
      <w:r w:rsidR="0027691F">
        <w:t xml:space="preserve"> </w:t>
      </w:r>
      <w:r w:rsidR="00205BAD">
        <w:t xml:space="preserve">are treated and how they </w:t>
      </w:r>
      <w:r w:rsidR="0027691F">
        <w:t>may affect state sourcing</w:t>
      </w:r>
      <w:r w:rsidR="00C62A50">
        <w:t xml:space="preserve">. </w:t>
      </w:r>
    </w:p>
    <w:p w14:paraId="2C191970" w14:textId="1437677F" w:rsidR="00853A76" w:rsidRDefault="00331735" w:rsidP="00853A76">
      <w:pPr>
        <w:pStyle w:val="Heading3"/>
      </w:pPr>
      <w:bookmarkStart w:id="41" w:name="_Toc195435238"/>
      <w:r>
        <w:t xml:space="preserve">Effects of </w:t>
      </w:r>
      <w:r w:rsidR="006576F6">
        <w:t xml:space="preserve">State </w:t>
      </w:r>
      <w:r w:rsidR="0027691F">
        <w:t xml:space="preserve">Conformity to </w:t>
      </w:r>
      <w:r w:rsidR="00D03B06">
        <w:t xml:space="preserve">Federal Tax Law </w:t>
      </w:r>
      <w:r w:rsidR="0027691F">
        <w:t>- Assumptions</w:t>
      </w:r>
      <w:bookmarkEnd w:id="41"/>
    </w:p>
    <w:p w14:paraId="26776FD9" w14:textId="395F62B7" w:rsidR="0027691F" w:rsidRDefault="000C2CCD" w:rsidP="00B50843">
      <w:pPr>
        <w:spacing w:after="80"/>
      </w:pPr>
      <w:r>
        <w:t>S</w:t>
      </w:r>
      <w:r w:rsidR="00853A76">
        <w:t>tates generally conform to the IRC</w:t>
      </w:r>
      <w:r>
        <w:t xml:space="preserve"> when taxing income</w:t>
      </w:r>
      <w:r w:rsidR="00853A76">
        <w:t xml:space="preserve">. </w:t>
      </w:r>
      <w:r w:rsidR="00865F98">
        <w:t xml:space="preserve">This “conformity” may be </w:t>
      </w:r>
      <w:r>
        <w:t>accomplished</w:t>
      </w:r>
      <w:r w:rsidR="00865F98">
        <w:t xml:space="preserve"> in </w:t>
      </w:r>
      <w:r>
        <w:t xml:space="preserve">many </w:t>
      </w:r>
      <w:r w:rsidR="00865F98">
        <w:t>different ways</w:t>
      </w:r>
      <w:r w:rsidR="008B4918">
        <w:t>. For example, state statutes may:</w:t>
      </w:r>
      <w:r w:rsidR="00865F98">
        <w:t xml:space="preserve"> </w:t>
      </w:r>
    </w:p>
    <w:p w14:paraId="314C5E19" w14:textId="49080813" w:rsidR="0027691F" w:rsidRDefault="006243DB" w:rsidP="00E10036">
      <w:pPr>
        <w:pStyle w:val="ListParagraph"/>
        <w:numPr>
          <w:ilvl w:val="0"/>
          <w:numId w:val="18"/>
        </w:numPr>
        <w:spacing w:after="80"/>
        <w:contextualSpacing w:val="0"/>
      </w:pPr>
      <w:r>
        <w:t>Calculate</w:t>
      </w:r>
      <w:r w:rsidR="0027691F">
        <w:t xml:space="preserve"> state </w:t>
      </w:r>
      <w:r w:rsidR="000C2CCD">
        <w:t>tax</w:t>
      </w:r>
      <w:r w:rsidR="004B4296">
        <w:t xml:space="preserve"> </w:t>
      </w:r>
      <w:r>
        <w:t xml:space="preserve">starting </w:t>
      </w:r>
      <w:r w:rsidR="004B4296">
        <w:t>with a</w:t>
      </w:r>
      <w:r>
        <w:t xml:space="preserve"> federal </w:t>
      </w:r>
      <w:r w:rsidR="00C4195F">
        <w:t>amount (</w:t>
      </w:r>
      <w:r w:rsidR="004B4296">
        <w:t xml:space="preserve">e.g., </w:t>
      </w:r>
      <w:r w:rsidR="00C4195F">
        <w:t>taxable or adjusted gross income)</w:t>
      </w:r>
      <w:r w:rsidR="00B50843">
        <w:t>;</w:t>
      </w:r>
      <w:r w:rsidR="004B4296">
        <w:t xml:space="preserve"> </w:t>
      </w:r>
    </w:p>
    <w:p w14:paraId="10A85DD1" w14:textId="63230EC5" w:rsidR="008B4918" w:rsidRDefault="008B4918" w:rsidP="00E10036">
      <w:pPr>
        <w:pStyle w:val="ListParagraph"/>
        <w:numPr>
          <w:ilvl w:val="0"/>
          <w:numId w:val="18"/>
        </w:numPr>
        <w:spacing w:after="80"/>
        <w:contextualSpacing w:val="0"/>
      </w:pPr>
      <w:r>
        <w:t>I</w:t>
      </w:r>
      <w:r w:rsidR="004B4296">
        <w:t xml:space="preserve">ncorporate </w:t>
      </w:r>
      <w:r w:rsidR="006243DB">
        <w:t xml:space="preserve">IRC </w:t>
      </w:r>
      <w:r w:rsidR="00865F98">
        <w:t xml:space="preserve">provisions </w:t>
      </w:r>
      <w:r w:rsidR="00943DA0">
        <w:t>by reference</w:t>
      </w:r>
      <w:r w:rsidR="0076370D">
        <w:t xml:space="preserve">, </w:t>
      </w:r>
      <w:r w:rsidR="004B4296">
        <w:t xml:space="preserve">whether </w:t>
      </w:r>
      <w:r w:rsidR="00865F98">
        <w:t xml:space="preserve">generally </w:t>
      </w:r>
      <w:r w:rsidR="00331735">
        <w:t xml:space="preserve">(with exceptions) </w:t>
      </w:r>
      <w:r w:rsidR="00865F98">
        <w:t>or specifically</w:t>
      </w:r>
      <w:r w:rsidR="00B50843">
        <w:t>; or</w:t>
      </w:r>
      <w:r w:rsidR="00865F98">
        <w:t xml:space="preserve"> </w:t>
      </w:r>
    </w:p>
    <w:p w14:paraId="5BFE7B06" w14:textId="3E2CE871" w:rsidR="008B4918" w:rsidRDefault="00943DA0" w:rsidP="00E10036">
      <w:pPr>
        <w:pStyle w:val="ListParagraph"/>
        <w:numPr>
          <w:ilvl w:val="0"/>
          <w:numId w:val="18"/>
        </w:numPr>
      </w:pPr>
      <w:r>
        <w:t>Enact</w:t>
      </w:r>
      <w:r w:rsidR="008B4918">
        <w:t xml:space="preserve"> </w:t>
      </w:r>
      <w:r w:rsidR="00865F98">
        <w:t xml:space="preserve">the </w:t>
      </w:r>
      <w:r w:rsidR="009E1A8D">
        <w:t xml:space="preserve">actual </w:t>
      </w:r>
      <w:r w:rsidR="00865F98">
        <w:t xml:space="preserve">language of </w:t>
      </w:r>
      <w:r w:rsidR="000C2CCD">
        <w:t>particular</w:t>
      </w:r>
      <w:r w:rsidR="00865F98">
        <w:t xml:space="preserve"> </w:t>
      </w:r>
      <w:r w:rsidR="00331735">
        <w:t xml:space="preserve">IRC </w:t>
      </w:r>
      <w:r w:rsidR="00865F98">
        <w:t>provisions</w:t>
      </w:r>
      <w:r w:rsidR="004B4296">
        <w:t>—with or without modifications</w:t>
      </w:r>
      <w:r w:rsidR="00865F98">
        <w:t xml:space="preserve">. </w:t>
      </w:r>
    </w:p>
    <w:p w14:paraId="25EF1EB2" w14:textId="48B46ABB" w:rsidR="00853A76" w:rsidRDefault="008B4918" w:rsidP="008B4918">
      <w:r>
        <w:t>S</w:t>
      </w:r>
      <w:r w:rsidR="000C2CCD">
        <w:t xml:space="preserve">tates may </w:t>
      </w:r>
      <w:r>
        <w:t xml:space="preserve">also </w:t>
      </w:r>
      <w:r w:rsidR="000C2CCD">
        <w:t xml:space="preserve">conform to </w:t>
      </w:r>
      <w:r w:rsidR="00E66582">
        <w:t>the IRC</w:t>
      </w:r>
      <w:r w:rsidR="000C2CCD">
        <w:t xml:space="preserve"> at a particular point in time (“static conformity”) or to the current </w:t>
      </w:r>
      <w:r w:rsidR="00E66582">
        <w:t>version</w:t>
      </w:r>
      <w:r w:rsidR="000C2CCD">
        <w:t xml:space="preserve"> as amended (“rolling conformity”).</w:t>
      </w:r>
      <w:r w:rsidR="0009601A">
        <w:rPr>
          <w:rStyle w:val="FootnoteReference"/>
        </w:rPr>
        <w:footnoteReference w:id="9"/>
      </w:r>
      <w:r w:rsidR="00853A76">
        <w:t xml:space="preserve"> </w:t>
      </w:r>
    </w:p>
    <w:p w14:paraId="7873D9DC" w14:textId="0C8A5582" w:rsidR="008B4918" w:rsidRDefault="008B4918" w:rsidP="00853A76">
      <w:r>
        <w:t>In addition to conforming in various ways, s</w:t>
      </w:r>
      <w:r w:rsidR="00853A76">
        <w:t>tate</w:t>
      </w:r>
      <w:r w:rsidR="00C62A50">
        <w:t>s can</w:t>
      </w:r>
      <w:r w:rsidR="004B4296">
        <w:t>, but often do not,</w:t>
      </w:r>
      <w:r w:rsidR="00C62A50">
        <w:t xml:space="preserve"> </w:t>
      </w:r>
      <w:r w:rsidR="00853A76">
        <w:t xml:space="preserve">explicitly </w:t>
      </w:r>
      <w:r w:rsidR="00391FBF">
        <w:t xml:space="preserve">provide </w:t>
      </w:r>
      <w:r w:rsidR="00853A76">
        <w:t xml:space="preserve">for how </w:t>
      </w:r>
      <w:r w:rsidR="00B50843">
        <w:t>any</w:t>
      </w:r>
      <w:r w:rsidR="00391FBF">
        <w:t xml:space="preserve"> </w:t>
      </w:r>
      <w:r w:rsidR="000C2CCD">
        <w:t xml:space="preserve">federal law “embedded” in their state </w:t>
      </w:r>
      <w:r w:rsidR="00391FBF">
        <w:t xml:space="preserve">tax </w:t>
      </w:r>
      <w:r w:rsidR="000C2CCD">
        <w:t>law</w:t>
      </w:r>
      <w:r w:rsidR="00391FBF">
        <w:t xml:space="preserve"> will be interpreted and applied when computing state taxes</w:t>
      </w:r>
      <w:r>
        <w:t xml:space="preserve">. </w:t>
      </w:r>
      <w:r w:rsidR="00B50843">
        <w:t xml:space="preserve">For example, states may provide for </w:t>
      </w:r>
      <w:r w:rsidR="00853A76">
        <w:t xml:space="preserve">whether federal regulations are controlling, how much state </w:t>
      </w:r>
      <w:r w:rsidR="00B50843">
        <w:t>application may</w:t>
      </w:r>
      <w:r w:rsidR="00853A76">
        <w:t xml:space="preserve"> deviate from </w:t>
      </w:r>
      <w:r w:rsidR="00391FBF">
        <w:t xml:space="preserve">certain </w:t>
      </w:r>
      <w:r w:rsidR="00853A76">
        <w:t xml:space="preserve">federal treatment, </w:t>
      </w:r>
      <w:r w:rsidR="00B50843">
        <w:t xml:space="preserve">or </w:t>
      </w:r>
      <w:r w:rsidR="00391FBF">
        <w:t xml:space="preserve">how potential conflicts will be resolved, </w:t>
      </w:r>
      <w:r w:rsidR="00853A76">
        <w:t xml:space="preserve">etc. </w:t>
      </w:r>
    </w:p>
    <w:p w14:paraId="2B0E24C2" w14:textId="6AC7C2B4" w:rsidR="00331735" w:rsidRDefault="00331735" w:rsidP="00853A76">
      <w:r>
        <w:t xml:space="preserve">Also, since 2024 when the U.S. Supreme Court overturned </w:t>
      </w:r>
      <w:r w:rsidR="00943DA0">
        <w:t xml:space="preserve">the </w:t>
      </w:r>
      <w:r>
        <w:t xml:space="preserve">so-called </w:t>
      </w:r>
      <w:r w:rsidRPr="00BE61B6">
        <w:rPr>
          <w:i/>
          <w:iCs/>
        </w:rPr>
        <w:t xml:space="preserve">Chevron </w:t>
      </w:r>
      <w:r>
        <w:t xml:space="preserve">deference </w:t>
      </w:r>
      <w:r w:rsidR="00391FBF">
        <w:t xml:space="preserve">approach to </w:t>
      </w:r>
      <w:r w:rsidR="00B50843">
        <w:t>applying</w:t>
      </w:r>
      <w:r w:rsidR="00391FBF">
        <w:t xml:space="preserve"> </w:t>
      </w:r>
      <w:r w:rsidR="004B4296">
        <w:t>federal regulations</w:t>
      </w:r>
      <w:r>
        <w:t>,</w:t>
      </w:r>
      <w:r>
        <w:rPr>
          <w:rStyle w:val="FootnoteReference"/>
        </w:rPr>
        <w:footnoteReference w:id="10"/>
      </w:r>
      <w:r>
        <w:t xml:space="preserve"> there have been questions about the extent to which federal courts will follow federal tax regulations. </w:t>
      </w:r>
      <w:r w:rsidR="008B4918">
        <w:t xml:space="preserve">While state courts are not bound by this ruling, nevertheless, they may follow the federal court treatment of federal tax laws—even when </w:t>
      </w:r>
      <w:r w:rsidR="00943DA0">
        <w:t>it</w:t>
      </w:r>
      <w:r w:rsidR="008B4918">
        <w:t xml:space="preserve"> conflicts with federal regulations.</w:t>
      </w:r>
    </w:p>
    <w:p w14:paraId="6D8A80D0" w14:textId="55D1A86D" w:rsidR="00853A76" w:rsidRDefault="00391FBF" w:rsidP="00853A76">
      <w:r>
        <w:t>For simplicity sake, t</w:t>
      </w:r>
      <w:r w:rsidR="00853A76">
        <w:t xml:space="preserve">his white paper adopts the following general </w:t>
      </w:r>
      <w:r w:rsidR="00331735">
        <w:t xml:space="preserve">assumptions as to the effects of </w:t>
      </w:r>
      <w:r w:rsidR="00853A76">
        <w:t xml:space="preserve">state conformity </w:t>
      </w:r>
      <w:r w:rsidR="009E1A8D">
        <w:t xml:space="preserve">to </w:t>
      </w:r>
      <w:r w:rsidR="00331735">
        <w:t>Subchapter K</w:t>
      </w:r>
      <w:r w:rsidR="00853A76">
        <w:t>.</w:t>
      </w:r>
    </w:p>
    <w:p w14:paraId="10B58FC5" w14:textId="39DB386E" w:rsidR="007F6999" w:rsidRDefault="008B4918" w:rsidP="007F6999">
      <w:pPr>
        <w:pStyle w:val="Heading4"/>
        <w:ind w:left="720"/>
      </w:pPr>
      <w:r>
        <w:t xml:space="preserve">Assumption </w:t>
      </w:r>
      <w:r w:rsidR="00943DA0">
        <w:t xml:space="preserve">No. 1 </w:t>
      </w:r>
      <w:r>
        <w:t xml:space="preserve">- </w:t>
      </w:r>
      <w:r w:rsidR="007F6999">
        <w:t xml:space="preserve">Federal </w:t>
      </w:r>
      <w:r w:rsidR="00132C16">
        <w:t xml:space="preserve">rules control </w:t>
      </w:r>
      <w:r w:rsidR="00943DA0">
        <w:t xml:space="preserve">the </w:t>
      </w:r>
      <w:r w:rsidR="00132C16">
        <w:t>meaning of common tax terms.</w:t>
      </w:r>
    </w:p>
    <w:p w14:paraId="20593F9A" w14:textId="42E1D3F8" w:rsidR="007F6999" w:rsidRDefault="007F6999" w:rsidP="007F6999">
      <w:pPr>
        <w:ind w:left="720"/>
      </w:pPr>
      <w:r>
        <w:t xml:space="preserve">As noted in subsection I.C. above, Subchapter K may define or use terms in a certain way and this white paper </w:t>
      </w:r>
      <w:r w:rsidR="00ED1F2A">
        <w:t xml:space="preserve">will </w:t>
      </w:r>
      <w:r>
        <w:t>defer first to th</w:t>
      </w:r>
      <w:r w:rsidR="008B4918">
        <w:t>e</w:t>
      </w:r>
      <w:r>
        <w:t xml:space="preserve"> federal tax definition or usage. </w:t>
      </w:r>
      <w:r w:rsidR="00943DA0">
        <w:t>But t</w:t>
      </w:r>
      <w:r w:rsidR="00ED1F2A">
        <w:t xml:space="preserve">his assumption </w:t>
      </w:r>
      <w:r w:rsidR="00132C16">
        <w:t xml:space="preserve">also </w:t>
      </w:r>
      <w:r w:rsidR="00ED1F2A">
        <w:t xml:space="preserve">has a bigger implication for states. To </w:t>
      </w:r>
      <w:r>
        <w:t xml:space="preserve">the extent states </w:t>
      </w:r>
      <w:r w:rsidR="00132C16">
        <w:t xml:space="preserve">conform to the federal tax law but </w:t>
      </w:r>
      <w:r>
        <w:t xml:space="preserve">wish to use </w:t>
      </w:r>
      <w:r w:rsidR="00ED1F2A">
        <w:t>common</w:t>
      </w:r>
      <w:r w:rsidR="008B4918">
        <w:t xml:space="preserve"> </w:t>
      </w:r>
      <w:r>
        <w:t xml:space="preserve">terms in a different way, they </w:t>
      </w:r>
      <w:r w:rsidR="008B4918">
        <w:t>may need to</w:t>
      </w:r>
      <w:r>
        <w:t xml:space="preserve"> specifically define them or indicate that they are being used </w:t>
      </w:r>
      <w:r w:rsidR="008B4918">
        <w:t xml:space="preserve">in </w:t>
      </w:r>
      <w:r>
        <w:t>a particular way to help avoid confusion or unintended effects.</w:t>
      </w:r>
    </w:p>
    <w:p w14:paraId="118EE2C4" w14:textId="72564B24" w:rsidR="00BE61B6" w:rsidRDefault="008B4918" w:rsidP="00DF6ED0">
      <w:pPr>
        <w:pStyle w:val="Heading4"/>
        <w:spacing w:before="240"/>
        <w:ind w:left="720"/>
      </w:pPr>
      <w:r>
        <w:t xml:space="preserve">Assumption </w:t>
      </w:r>
      <w:r w:rsidR="00943DA0">
        <w:t xml:space="preserve">No. 2 </w:t>
      </w:r>
      <w:r>
        <w:t xml:space="preserve">- </w:t>
      </w:r>
      <w:r w:rsidR="00132C16">
        <w:t xml:space="preserve">Federal regulations control statutory interpretation.  </w:t>
      </w:r>
    </w:p>
    <w:p w14:paraId="0F386FC9" w14:textId="6F70758C" w:rsidR="00853A76" w:rsidRDefault="00331735" w:rsidP="00BE61B6">
      <w:pPr>
        <w:ind w:left="720"/>
      </w:pPr>
      <w:r>
        <w:t>E</w:t>
      </w:r>
      <w:r w:rsidR="00BE61B6">
        <w:t xml:space="preserve">ven more than other sections of the tax law, Subchapter K </w:t>
      </w:r>
      <w:r w:rsidR="00391FBF">
        <w:t xml:space="preserve">lacks detail and </w:t>
      </w:r>
      <w:r w:rsidR="00BE61B6">
        <w:t>is</w:t>
      </w:r>
      <w:r w:rsidR="009E1A8D">
        <w:t xml:space="preserve"> written</w:t>
      </w:r>
      <w:r w:rsidR="00BE61B6">
        <w:t xml:space="preserve"> in very general, sometimes vague terms.</w:t>
      </w:r>
      <w:r w:rsidR="00BE61B6">
        <w:rPr>
          <w:rStyle w:val="FootnoteReference"/>
        </w:rPr>
        <w:footnoteReference w:id="11"/>
      </w:r>
      <w:r w:rsidR="00BE61B6">
        <w:t xml:space="preserve"> </w:t>
      </w:r>
      <w:r w:rsidR="00391FBF">
        <w:t xml:space="preserve">As a result, consistent interpretation and application of the statutory provisions is </w:t>
      </w:r>
      <w:r w:rsidR="00BE61B6">
        <w:t>highly dependent upon federal regulations and other IRS guidance</w:t>
      </w:r>
      <w:r w:rsidR="00A916A7">
        <w:t>.</w:t>
      </w:r>
      <w:r>
        <w:t xml:space="preserve"> Therefore, this white paper assumes </w:t>
      </w:r>
      <w:r w:rsidR="00391FBF">
        <w:t xml:space="preserve">the </w:t>
      </w:r>
      <w:r>
        <w:t xml:space="preserve">federal regulations are </w:t>
      </w:r>
      <w:r w:rsidR="007F6999">
        <w:t xml:space="preserve">generally </w:t>
      </w:r>
      <w:r>
        <w:t>controlling</w:t>
      </w:r>
      <w:r w:rsidR="004968B5">
        <w:t xml:space="preserve"> for state tax purposes as well</w:t>
      </w:r>
      <w:r>
        <w:t xml:space="preserve">. (However, see the </w:t>
      </w:r>
      <w:r w:rsidR="00391FBF">
        <w:t xml:space="preserve">following </w:t>
      </w:r>
      <w:r w:rsidR="006D2BB2">
        <w:t>subsection on</w:t>
      </w:r>
      <w:r>
        <w:t xml:space="preserve"> anti-abuse </w:t>
      </w:r>
      <w:r w:rsidR="007F6999">
        <w:t>provisions</w:t>
      </w:r>
      <w:r>
        <w:t>.)</w:t>
      </w:r>
    </w:p>
    <w:p w14:paraId="601E774C" w14:textId="7086B006" w:rsidR="00032477" w:rsidRDefault="003272AC" w:rsidP="002E72B5">
      <w:pPr>
        <w:pStyle w:val="Heading3"/>
      </w:pPr>
      <w:bookmarkStart w:id="42" w:name="_Toc195435239"/>
      <w:r>
        <w:lastRenderedPageBreak/>
        <w:t>Elements of the</w:t>
      </w:r>
      <w:r w:rsidR="00A66114">
        <w:t xml:space="preserve"> </w:t>
      </w:r>
      <w:r w:rsidR="002E72B5">
        <w:t xml:space="preserve">Pass-Through </w:t>
      </w:r>
      <w:r w:rsidR="00A66114">
        <w:t xml:space="preserve">System </w:t>
      </w:r>
      <w:r w:rsidR="002E72B5">
        <w:t xml:space="preserve">and </w:t>
      </w:r>
      <w:r>
        <w:t>Their</w:t>
      </w:r>
      <w:r w:rsidR="00A66114">
        <w:t xml:space="preserve"> </w:t>
      </w:r>
      <w:r w:rsidR="002E72B5">
        <w:t>State Tax Implications</w:t>
      </w:r>
      <w:bookmarkEnd w:id="42"/>
    </w:p>
    <w:p w14:paraId="426556F5" w14:textId="25B5AC75" w:rsidR="00853A76" w:rsidRDefault="00853A76" w:rsidP="001C3756">
      <w:pPr>
        <w:spacing w:after="120"/>
      </w:pPr>
      <w:r>
        <w:rPr>
          <w:b/>
          <w:bCs/>
        </w:rPr>
        <w:t xml:space="preserve">IMPORTANT </w:t>
      </w:r>
      <w:r w:rsidRPr="00A1670B">
        <w:rPr>
          <w:b/>
          <w:bCs/>
        </w:rPr>
        <w:t>NOTE:</w:t>
      </w:r>
      <w:r>
        <w:rPr>
          <w:b/>
          <w:bCs/>
        </w:rPr>
        <w:t xml:space="preserve"> </w:t>
      </w:r>
      <w:r>
        <w:t>As discussed in subsection I.</w:t>
      </w:r>
      <w:r w:rsidR="005E0A55">
        <w:t>B</w:t>
      </w:r>
      <w:r>
        <w:t>.</w:t>
      </w:r>
      <w:r w:rsidR="00CF0E52">
        <w:t xml:space="preserve"> above</w:t>
      </w:r>
      <w:r>
        <w:t xml:space="preserve">, state </w:t>
      </w:r>
      <w:r w:rsidR="001C3756">
        <w:t xml:space="preserve">governing </w:t>
      </w:r>
      <w:r>
        <w:t>law</w:t>
      </w:r>
      <w:r w:rsidR="005E0A55">
        <w:t>s</w:t>
      </w:r>
      <w:r>
        <w:t xml:space="preserve"> </w:t>
      </w:r>
      <w:r w:rsidR="00471E04">
        <w:t>allow</w:t>
      </w:r>
      <w:r w:rsidR="005E0A55">
        <w:t xml:space="preserve"> </w:t>
      </w:r>
      <w:r w:rsidR="001C3756">
        <w:t xml:space="preserve">partnerships </w:t>
      </w:r>
      <w:r>
        <w:t xml:space="preserve">much more structural and operational flexibility </w:t>
      </w:r>
      <w:r w:rsidR="001C3756">
        <w:t xml:space="preserve">than </w:t>
      </w:r>
      <w:r>
        <w:t xml:space="preserve">corporations. </w:t>
      </w:r>
      <w:r w:rsidR="001C3756">
        <w:t xml:space="preserve">While the </w:t>
      </w:r>
      <w:r>
        <w:t xml:space="preserve">federal pass-through tax system imposes few </w:t>
      </w:r>
      <w:r w:rsidR="005F3EE6">
        <w:t xml:space="preserve">strict </w:t>
      </w:r>
      <w:r>
        <w:t>limits on this flexibility</w:t>
      </w:r>
      <w:r w:rsidR="001C3756">
        <w:t xml:space="preserve">, it has </w:t>
      </w:r>
      <w:r>
        <w:t xml:space="preserve">evolved to include numerous requirements aimed at ensuring </w:t>
      </w:r>
      <w:r w:rsidR="005F3EE6">
        <w:t>it</w:t>
      </w:r>
      <w:r>
        <w:t xml:space="preserve"> is not </w:t>
      </w:r>
      <w:r w:rsidR="00471E04">
        <w:t>abused</w:t>
      </w:r>
      <w:r>
        <w:t>.</w:t>
      </w:r>
      <w:r>
        <w:rPr>
          <w:rStyle w:val="FootnoteReference"/>
        </w:rPr>
        <w:footnoteReference w:id="12"/>
      </w:r>
      <w:r>
        <w:t xml:space="preserve"> </w:t>
      </w:r>
      <w:r w:rsidR="005F3EE6">
        <w:t>Specific application of these requirements, even in the federal tax context,</w:t>
      </w:r>
      <w:r>
        <w:t xml:space="preserve"> is sometimes unclear.</w:t>
      </w:r>
      <w:r>
        <w:rPr>
          <w:rStyle w:val="FootnoteReference"/>
        </w:rPr>
        <w:footnoteReference w:id="13"/>
      </w:r>
      <w:r w:rsidR="001C3756">
        <w:t xml:space="preserve"> </w:t>
      </w:r>
      <w:r>
        <w:t xml:space="preserve">This white paper does not attempt </w:t>
      </w:r>
      <w:r w:rsidR="00AA0F8A">
        <w:t xml:space="preserve">to </w:t>
      </w:r>
      <w:r>
        <w:t xml:space="preserve">address </w:t>
      </w:r>
      <w:r w:rsidR="005F3EE6">
        <w:t xml:space="preserve">these requirements in detail. </w:t>
      </w:r>
      <w:r>
        <w:t xml:space="preserve">Rather, it focuses </w:t>
      </w:r>
      <w:r w:rsidR="005F3EE6">
        <w:t xml:space="preserve">generally </w:t>
      </w:r>
      <w:r>
        <w:t>on</w:t>
      </w:r>
      <w:r w:rsidR="001C3756">
        <w:t xml:space="preserve"> a</w:t>
      </w:r>
      <w:r>
        <w:t xml:space="preserve">spects of the pass-through system that have direct implications for </w:t>
      </w:r>
      <w:r w:rsidR="00501947">
        <w:t xml:space="preserve">state sourcing of </w:t>
      </w:r>
      <w:r>
        <w:t xml:space="preserve">partnership income. </w:t>
      </w:r>
    </w:p>
    <w:p w14:paraId="7669F67C" w14:textId="53CF485E" w:rsidR="00F23F9D" w:rsidRDefault="00F23F9D" w:rsidP="00955008">
      <w:pPr>
        <w:pStyle w:val="Heading4"/>
        <w:numPr>
          <w:ilvl w:val="0"/>
          <w:numId w:val="11"/>
        </w:numPr>
      </w:pPr>
      <w:r>
        <w:t xml:space="preserve">Partnerships are not subject to Subchapter S-type </w:t>
      </w:r>
      <w:r w:rsidR="003272AC">
        <w:t>ownership limitations</w:t>
      </w:r>
      <w:r>
        <w:t>.</w:t>
      </w:r>
    </w:p>
    <w:p w14:paraId="44B19F7D" w14:textId="57D41738" w:rsidR="00F23F9D" w:rsidRDefault="007F7FA1" w:rsidP="00F23F9D">
      <w:pPr>
        <w:ind w:left="720"/>
      </w:pPr>
      <w:r>
        <w:t>U</w:t>
      </w:r>
      <w:r w:rsidR="00F23F9D">
        <w:t xml:space="preserve">nlike the limitations imposed </w:t>
      </w:r>
      <w:r w:rsidR="002E72B5">
        <w:t>on</w:t>
      </w:r>
      <w:r w:rsidR="00F23F9D">
        <w:t xml:space="preserve"> Subchapter S</w:t>
      </w:r>
      <w:r w:rsidR="002E72B5">
        <w:t xml:space="preserve"> corporations</w:t>
      </w:r>
      <w:r w:rsidR="00F23F9D">
        <w:t>,</w:t>
      </w:r>
      <w:r w:rsidR="00935410">
        <w:rPr>
          <w:rStyle w:val="FootnoteReference"/>
        </w:rPr>
        <w:footnoteReference w:id="14"/>
      </w:r>
      <w:r w:rsidR="00F23F9D">
        <w:t xml:space="preserve"> Subchapter K imposes no limits on the size or structure of partnerships that may be taxed on a pass-through basis. Partners</w:t>
      </w:r>
      <w:r w:rsidR="002E72B5">
        <w:t xml:space="preserve">hips may have partners that are </w:t>
      </w:r>
      <w:r w:rsidR="00F23F9D">
        <w:t>individuals, corporations, trusts, charitable or governmental organizations, foreign persons, and other pass-through entities including other partnerships</w:t>
      </w:r>
      <w:r w:rsidR="005F3EE6">
        <w:t>, trusts,</w:t>
      </w:r>
      <w:r w:rsidR="00F23F9D">
        <w:t xml:space="preserve"> and S corporations. Nor is there any limit on the number of partners or</w:t>
      </w:r>
      <w:r w:rsidR="002E72B5">
        <w:t xml:space="preserve"> on</w:t>
      </w:r>
      <w:r w:rsidR="00F23F9D">
        <w:t xml:space="preserve"> the number of tiers in a partnership structure. </w:t>
      </w:r>
      <w:r w:rsidR="005E0A55">
        <w:t>This means shares of partnership income and items may pass through multiple entities before reaching the ultimate</w:t>
      </w:r>
      <w:r w:rsidR="002E72B5">
        <w:t xml:space="preserve"> taxpaying partners. </w:t>
      </w:r>
    </w:p>
    <w:p w14:paraId="4D4DE2C5" w14:textId="13BEB82E" w:rsidR="007F7FA1" w:rsidRPr="00935410" w:rsidRDefault="007F7FA1" w:rsidP="005F3EE6">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935410">
        <w:rPr>
          <w:b/>
          <w:bCs/>
        </w:rPr>
        <w:t xml:space="preserve">STATE TAX IMPLICATIONS: </w:t>
      </w:r>
      <w:r w:rsidR="00AA0F8A">
        <w:rPr>
          <w:b/>
          <w:bCs/>
        </w:rPr>
        <w:t>State</w:t>
      </w:r>
      <w:r w:rsidR="007C3124" w:rsidRPr="00935410">
        <w:rPr>
          <w:b/>
          <w:bCs/>
        </w:rPr>
        <w:t xml:space="preserve"> rules that explicitly address the sourcing of partnership income often </w:t>
      </w:r>
      <w:r w:rsidR="00AA0F8A">
        <w:rPr>
          <w:b/>
          <w:bCs/>
        </w:rPr>
        <w:t xml:space="preserve">appear to </w:t>
      </w:r>
      <w:r w:rsidR="007C3124" w:rsidRPr="00935410">
        <w:rPr>
          <w:b/>
          <w:bCs/>
        </w:rPr>
        <w:t xml:space="preserve">assume that partnerships are </w:t>
      </w:r>
      <w:r w:rsidRPr="00935410">
        <w:rPr>
          <w:b/>
          <w:bCs/>
        </w:rPr>
        <w:t>small</w:t>
      </w:r>
      <w:r w:rsidR="007C3124" w:rsidRPr="00935410">
        <w:rPr>
          <w:b/>
          <w:bCs/>
        </w:rPr>
        <w:t>,</w:t>
      </w:r>
      <w:r w:rsidRPr="00935410">
        <w:rPr>
          <w:b/>
          <w:bCs/>
        </w:rPr>
        <w:t xml:space="preserve"> simple structures with </w:t>
      </w:r>
      <w:proofErr w:type="gramStart"/>
      <w:r w:rsidR="007C3124" w:rsidRPr="00935410">
        <w:rPr>
          <w:b/>
          <w:bCs/>
        </w:rPr>
        <w:t>a few</w:t>
      </w:r>
      <w:proofErr w:type="gramEnd"/>
      <w:r w:rsidR="007C3124" w:rsidRPr="00935410">
        <w:rPr>
          <w:b/>
          <w:bCs/>
        </w:rPr>
        <w:t xml:space="preserve"> </w:t>
      </w:r>
      <w:r w:rsidRPr="00935410">
        <w:rPr>
          <w:b/>
          <w:bCs/>
        </w:rPr>
        <w:t xml:space="preserve">individual partners </w:t>
      </w:r>
      <w:r w:rsidR="007C3124" w:rsidRPr="00935410">
        <w:rPr>
          <w:b/>
          <w:bCs/>
        </w:rPr>
        <w:t>and no tiers</w:t>
      </w:r>
      <w:r w:rsidR="005E0A55" w:rsidRPr="00935410">
        <w:rPr>
          <w:b/>
          <w:bCs/>
        </w:rPr>
        <w:t xml:space="preserve">. As a result, </w:t>
      </w:r>
      <w:r w:rsidR="007C3124" w:rsidRPr="00935410">
        <w:rPr>
          <w:b/>
          <w:bCs/>
        </w:rPr>
        <w:t>the application of the sourcing rules to more complex structures is left unaddressed</w:t>
      </w:r>
      <w:r w:rsidR="00935410" w:rsidRPr="00935410">
        <w:rPr>
          <w:b/>
          <w:bCs/>
        </w:rPr>
        <w:t xml:space="preserve"> and this may create uncertainty or non-compliance. </w:t>
      </w:r>
    </w:p>
    <w:p w14:paraId="43D43E04" w14:textId="3821F31B" w:rsidR="00D95485" w:rsidRDefault="00D95485" w:rsidP="00955008">
      <w:pPr>
        <w:pStyle w:val="Heading4"/>
        <w:numPr>
          <w:ilvl w:val="0"/>
          <w:numId w:val="11"/>
        </w:numPr>
      </w:pPr>
      <w:r>
        <w:t xml:space="preserve">Partners pay tax on partnership items </w:t>
      </w:r>
      <w:r w:rsidR="00CF0E52">
        <w:t>in the year</w:t>
      </w:r>
      <w:r>
        <w:t xml:space="preserve"> recognized by the partnership. </w:t>
      </w:r>
    </w:p>
    <w:p w14:paraId="405C050E" w14:textId="03152166" w:rsidR="00D95485" w:rsidRDefault="00D95485" w:rsidP="00D95485">
      <w:pPr>
        <w:ind w:left="720"/>
      </w:pPr>
      <w:r>
        <w:t xml:space="preserve">Tax on partnership income </w:t>
      </w:r>
      <w:r w:rsidR="007C3124">
        <w:t>is paid by</w:t>
      </w:r>
      <w:r>
        <w:t xml:space="preserve"> the partners</w:t>
      </w:r>
      <w:r w:rsidR="00A96C72">
        <w:t xml:space="preserve"> </w:t>
      </w:r>
      <w:r w:rsidR="007C3124">
        <w:t>in the year the income is recognized by the partnership,</w:t>
      </w:r>
      <w:r>
        <w:t xml:space="preserve"> </w:t>
      </w:r>
      <w:r w:rsidR="007C3124">
        <w:t>s</w:t>
      </w:r>
      <w:r>
        <w:t>ee IRC §</w:t>
      </w:r>
      <w:r w:rsidR="00A96C72">
        <w:t>§</w:t>
      </w:r>
      <w:r>
        <w:t xml:space="preserve"> 701</w:t>
      </w:r>
      <w:r w:rsidR="00A96C72">
        <w:t>-704</w:t>
      </w:r>
      <w:r w:rsidR="007C3124">
        <w:t xml:space="preserve">, and not </w:t>
      </w:r>
      <w:r w:rsidR="00A96C72">
        <w:t>when partners receive distributions from the partnership</w:t>
      </w:r>
      <w:r w:rsidR="00A9372D">
        <w:t>.</w:t>
      </w:r>
      <w:r w:rsidR="00BF7593">
        <w:t xml:space="preserve"> (</w:t>
      </w:r>
      <w:r w:rsidR="00A9372D">
        <w:t>S</w:t>
      </w:r>
      <w:r w:rsidR="007C3124">
        <w:t>ee the treatment of distributions below</w:t>
      </w:r>
      <w:r w:rsidR="00A9372D">
        <w:t>.</w:t>
      </w:r>
      <w:r w:rsidR="00BF7593">
        <w:t>)</w:t>
      </w:r>
      <w:r>
        <w:t xml:space="preserve"> </w:t>
      </w:r>
      <w:r w:rsidR="00A9372D">
        <w:t xml:space="preserve">This is </w:t>
      </w:r>
      <w:r w:rsidR="005E0A55">
        <w:t>the foundation</w:t>
      </w:r>
      <w:r w:rsidR="00A9372D">
        <w:t xml:space="preserve"> of the pass-through system on which everything else is based.</w:t>
      </w:r>
    </w:p>
    <w:p w14:paraId="3CE4DDD3" w14:textId="3DF7FA0A" w:rsidR="00A96C72" w:rsidRPr="00935410" w:rsidRDefault="00A96C72" w:rsidP="005F3EE6">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935410">
        <w:rPr>
          <w:b/>
          <w:bCs/>
        </w:rPr>
        <w:t>STATE TAX IMPLICATION</w:t>
      </w:r>
      <w:r w:rsidR="006653B9" w:rsidRPr="00935410">
        <w:rPr>
          <w:b/>
          <w:bCs/>
        </w:rPr>
        <w:t>S</w:t>
      </w:r>
      <w:r w:rsidRPr="00935410">
        <w:rPr>
          <w:b/>
          <w:bCs/>
        </w:rPr>
        <w:t xml:space="preserve">: States </w:t>
      </w:r>
      <w:r w:rsidR="00A9372D" w:rsidRPr="00935410">
        <w:rPr>
          <w:b/>
          <w:bCs/>
        </w:rPr>
        <w:t xml:space="preserve">should </w:t>
      </w:r>
      <w:r w:rsidR="005E0A55" w:rsidRPr="00935410">
        <w:rPr>
          <w:b/>
          <w:bCs/>
        </w:rPr>
        <w:t xml:space="preserve">be careful in the use of </w:t>
      </w:r>
      <w:r w:rsidR="00A9372D" w:rsidRPr="00935410">
        <w:rPr>
          <w:b/>
          <w:bCs/>
        </w:rPr>
        <w:t>the term</w:t>
      </w:r>
      <w:r w:rsidR="005E0A55" w:rsidRPr="00935410">
        <w:rPr>
          <w:b/>
          <w:bCs/>
        </w:rPr>
        <w:t xml:space="preserve">s </w:t>
      </w:r>
      <w:r w:rsidR="00935410" w:rsidRPr="00935410">
        <w:rPr>
          <w:b/>
          <w:bCs/>
        </w:rPr>
        <w:t>“</w:t>
      </w:r>
      <w:r w:rsidR="005E0A55" w:rsidRPr="00935410">
        <w:rPr>
          <w:b/>
          <w:bCs/>
        </w:rPr>
        <w:t>distribution</w:t>
      </w:r>
      <w:r w:rsidR="00935410" w:rsidRPr="00935410">
        <w:rPr>
          <w:b/>
          <w:bCs/>
        </w:rPr>
        <w:t>”</w:t>
      </w:r>
      <w:r w:rsidR="005E0A55" w:rsidRPr="00935410">
        <w:rPr>
          <w:b/>
          <w:bCs/>
        </w:rPr>
        <w:t xml:space="preserve"> versus</w:t>
      </w:r>
      <w:r w:rsidRPr="00935410">
        <w:rPr>
          <w:b/>
          <w:bCs/>
        </w:rPr>
        <w:t xml:space="preserve"> </w:t>
      </w:r>
      <w:r w:rsidR="00935410" w:rsidRPr="00935410">
        <w:rPr>
          <w:b/>
          <w:bCs/>
        </w:rPr>
        <w:t>“</w:t>
      </w:r>
      <w:r w:rsidRPr="00935410">
        <w:rPr>
          <w:b/>
          <w:bCs/>
        </w:rPr>
        <w:t>distributive share</w:t>
      </w:r>
      <w:r w:rsidR="00935410" w:rsidRPr="00935410">
        <w:rPr>
          <w:b/>
          <w:bCs/>
        </w:rPr>
        <w:t>”</w:t>
      </w:r>
      <w:r w:rsidRPr="00935410">
        <w:rPr>
          <w:b/>
          <w:bCs/>
        </w:rPr>
        <w:t xml:space="preserve"> </w:t>
      </w:r>
      <w:r w:rsidR="005E0A55" w:rsidRPr="00935410">
        <w:rPr>
          <w:b/>
          <w:bCs/>
        </w:rPr>
        <w:t>and should not</w:t>
      </w:r>
      <w:r w:rsidR="006653B9" w:rsidRPr="00935410">
        <w:rPr>
          <w:b/>
          <w:bCs/>
        </w:rPr>
        <w:t xml:space="preserve"> assume that just because partners receive an allocation of distributive share income they will necessarily receive similar distributions</w:t>
      </w:r>
      <w:r w:rsidR="005E0A55" w:rsidRPr="00935410">
        <w:rPr>
          <w:b/>
          <w:bCs/>
        </w:rPr>
        <w:t xml:space="preserve"> in the tax year</w:t>
      </w:r>
      <w:r w:rsidRPr="00935410">
        <w:rPr>
          <w:b/>
          <w:bCs/>
        </w:rPr>
        <w:t xml:space="preserve">. </w:t>
      </w:r>
    </w:p>
    <w:p w14:paraId="70211E07" w14:textId="74050FA6" w:rsidR="00602A83" w:rsidRDefault="00EF0BDD" w:rsidP="00955008">
      <w:pPr>
        <w:pStyle w:val="Heading4"/>
        <w:numPr>
          <w:ilvl w:val="0"/>
          <w:numId w:val="11"/>
        </w:numPr>
        <w:rPr>
          <w:b/>
        </w:rPr>
      </w:pPr>
      <w:r>
        <w:t xml:space="preserve">Partnerships </w:t>
      </w:r>
      <w:r w:rsidR="0014317D">
        <w:t>d</w:t>
      </w:r>
      <w:r>
        <w:t xml:space="preserve">etermine </w:t>
      </w:r>
      <w:r w:rsidR="0014317D">
        <w:t>the t</w:t>
      </w:r>
      <w:r w:rsidR="00A17D85">
        <w:t xml:space="preserve">ax </w:t>
      </w:r>
      <w:r w:rsidR="0014317D">
        <w:t>t</w:t>
      </w:r>
      <w:r w:rsidR="00A17D85">
        <w:t>reatment</w:t>
      </w:r>
      <w:r w:rsidR="002129DA">
        <w:t xml:space="preserve"> (“</w:t>
      </w:r>
      <w:r w:rsidR="0014317D">
        <w:t>c</w:t>
      </w:r>
      <w:r w:rsidR="002129DA">
        <w:t>haracter”)</w:t>
      </w:r>
      <w:r w:rsidR="00A17D85">
        <w:t xml:space="preserve"> of </w:t>
      </w:r>
      <w:r w:rsidR="0014317D">
        <w:t>i</w:t>
      </w:r>
      <w:r w:rsidR="00A17D85">
        <w:t xml:space="preserve">tems </w:t>
      </w:r>
      <w:r w:rsidR="0014317D">
        <w:t>recognized.</w:t>
      </w:r>
    </w:p>
    <w:p w14:paraId="4189E496" w14:textId="3673D53A" w:rsidR="00602A83" w:rsidRDefault="00935410" w:rsidP="00602A83">
      <w:pPr>
        <w:spacing w:after="80"/>
        <w:ind w:left="720"/>
        <w:rPr>
          <w:rFonts w:asciiTheme="majorHAnsi" w:hAnsiTheme="majorHAnsi" w:cstheme="majorBidi"/>
          <w:bCs/>
          <w:iCs/>
        </w:rPr>
      </w:pPr>
      <w:r>
        <w:rPr>
          <w:rFonts w:asciiTheme="majorHAnsi" w:hAnsiTheme="majorHAnsi" w:cstheme="majorBidi"/>
          <w:bCs/>
          <w:iCs/>
        </w:rPr>
        <w:t xml:space="preserve">When a </w:t>
      </w:r>
      <w:r w:rsidR="00AD6434">
        <w:rPr>
          <w:rFonts w:asciiTheme="majorHAnsi" w:hAnsiTheme="majorHAnsi" w:cstheme="majorBidi"/>
          <w:bCs/>
          <w:iCs/>
        </w:rPr>
        <w:t>partnership recogniz</w:t>
      </w:r>
      <w:r>
        <w:rPr>
          <w:rFonts w:asciiTheme="majorHAnsi" w:hAnsiTheme="majorHAnsi" w:cstheme="majorBidi"/>
          <w:bCs/>
          <w:iCs/>
        </w:rPr>
        <w:t>es</w:t>
      </w:r>
      <w:r w:rsidR="00AD6434">
        <w:rPr>
          <w:rFonts w:asciiTheme="majorHAnsi" w:hAnsiTheme="majorHAnsi" w:cstheme="majorBidi"/>
          <w:bCs/>
          <w:iCs/>
        </w:rPr>
        <w:t xml:space="preserve"> any item </w:t>
      </w:r>
      <w:r w:rsidR="00AD6434" w:rsidRPr="008F0B56">
        <w:rPr>
          <w:rFonts w:asciiTheme="majorHAnsi" w:hAnsiTheme="majorHAnsi" w:cstheme="majorBidi"/>
          <w:bCs/>
          <w:iCs/>
        </w:rPr>
        <w:t>of income, expense, gain, or loss</w:t>
      </w:r>
      <w:r w:rsidR="00AD6434">
        <w:rPr>
          <w:rFonts w:asciiTheme="majorHAnsi" w:hAnsiTheme="majorHAnsi" w:cstheme="majorBidi"/>
          <w:bCs/>
          <w:iCs/>
        </w:rPr>
        <w:t xml:space="preserve"> </w:t>
      </w:r>
      <w:r>
        <w:rPr>
          <w:rFonts w:asciiTheme="majorHAnsi" w:hAnsiTheme="majorHAnsi" w:cstheme="majorBidi"/>
          <w:bCs/>
          <w:iCs/>
        </w:rPr>
        <w:t xml:space="preserve">that has a specific treatment under the federal tax rules, the partnership will determine </w:t>
      </w:r>
      <w:r w:rsidR="00602A83">
        <w:rPr>
          <w:rFonts w:asciiTheme="majorHAnsi" w:hAnsiTheme="majorHAnsi" w:cstheme="majorBidi"/>
          <w:bCs/>
          <w:iCs/>
        </w:rPr>
        <w:t>th</w:t>
      </w:r>
      <w:r>
        <w:rPr>
          <w:rFonts w:asciiTheme="majorHAnsi" w:hAnsiTheme="majorHAnsi" w:cstheme="majorBidi"/>
          <w:bCs/>
          <w:iCs/>
        </w:rPr>
        <w:t>at</w:t>
      </w:r>
      <w:r w:rsidR="00602A83">
        <w:rPr>
          <w:rFonts w:asciiTheme="majorHAnsi" w:hAnsiTheme="majorHAnsi" w:cstheme="majorBidi"/>
          <w:bCs/>
          <w:iCs/>
        </w:rPr>
        <w:t xml:space="preserve"> tax treatment</w:t>
      </w:r>
      <w:r w:rsidR="002258E6">
        <w:rPr>
          <w:rFonts w:asciiTheme="majorHAnsi" w:hAnsiTheme="majorHAnsi" w:cstheme="majorBidi"/>
          <w:bCs/>
          <w:iCs/>
        </w:rPr>
        <w:t xml:space="preserve"> or “character”</w:t>
      </w:r>
      <w:r w:rsidR="00602A83">
        <w:rPr>
          <w:rFonts w:asciiTheme="majorHAnsi" w:hAnsiTheme="majorHAnsi" w:cstheme="majorBidi"/>
          <w:bCs/>
          <w:iCs/>
        </w:rPr>
        <w:t xml:space="preserve"> of </w:t>
      </w:r>
      <w:r w:rsidR="00723E3C">
        <w:rPr>
          <w:rFonts w:asciiTheme="majorHAnsi" w:hAnsiTheme="majorHAnsi" w:cstheme="majorBidi"/>
          <w:bCs/>
          <w:iCs/>
        </w:rPr>
        <w:t xml:space="preserve">the </w:t>
      </w:r>
      <w:r w:rsidR="00602A83" w:rsidRPr="008F0B56">
        <w:rPr>
          <w:rFonts w:asciiTheme="majorHAnsi" w:hAnsiTheme="majorHAnsi" w:cstheme="majorBidi"/>
          <w:bCs/>
          <w:iCs/>
        </w:rPr>
        <w:t xml:space="preserve">item </w:t>
      </w:r>
      <w:r w:rsidR="00602A83">
        <w:rPr>
          <w:rFonts w:asciiTheme="majorHAnsi" w:hAnsiTheme="majorHAnsi" w:cstheme="majorBidi"/>
          <w:bCs/>
          <w:iCs/>
        </w:rPr>
        <w:t xml:space="preserve">by applying </w:t>
      </w:r>
      <w:r w:rsidR="00602A83" w:rsidRPr="008F0B56">
        <w:rPr>
          <w:rFonts w:asciiTheme="majorHAnsi" w:hAnsiTheme="majorHAnsi" w:cstheme="majorBidi"/>
          <w:bCs/>
          <w:iCs/>
        </w:rPr>
        <w:t>the</w:t>
      </w:r>
      <w:r w:rsidR="00602A83">
        <w:rPr>
          <w:rFonts w:asciiTheme="majorHAnsi" w:hAnsiTheme="majorHAnsi" w:cstheme="majorBidi"/>
          <w:bCs/>
          <w:iCs/>
        </w:rPr>
        <w:t xml:space="preserve"> </w:t>
      </w:r>
      <w:r w:rsidR="00F425BA">
        <w:rPr>
          <w:rFonts w:asciiTheme="majorHAnsi" w:hAnsiTheme="majorHAnsi" w:cstheme="majorBidi"/>
          <w:bCs/>
          <w:iCs/>
        </w:rPr>
        <w:t xml:space="preserve">same </w:t>
      </w:r>
      <w:r w:rsidR="00602A83">
        <w:rPr>
          <w:rFonts w:asciiTheme="majorHAnsi" w:hAnsiTheme="majorHAnsi" w:cstheme="majorBidi"/>
          <w:bCs/>
          <w:iCs/>
        </w:rPr>
        <w:t>substantive tax rules</w:t>
      </w:r>
      <w:r w:rsidR="00F425BA">
        <w:rPr>
          <w:rFonts w:asciiTheme="majorHAnsi" w:hAnsiTheme="majorHAnsi" w:cstheme="majorBidi"/>
          <w:bCs/>
          <w:iCs/>
        </w:rPr>
        <w:t xml:space="preserve"> applicable to individual taxpayers</w:t>
      </w:r>
      <w:r>
        <w:rPr>
          <w:rFonts w:asciiTheme="majorHAnsi" w:hAnsiTheme="majorHAnsi" w:cstheme="majorBidi"/>
          <w:bCs/>
          <w:iCs/>
        </w:rPr>
        <w:t>. This characterization of items is done based on the</w:t>
      </w:r>
      <w:r w:rsidR="00C83527">
        <w:rPr>
          <w:rFonts w:asciiTheme="majorHAnsi" w:hAnsiTheme="majorHAnsi" w:cstheme="majorBidi"/>
          <w:bCs/>
          <w:iCs/>
        </w:rPr>
        <w:t xml:space="preserve"> nature of the</w:t>
      </w:r>
      <w:r>
        <w:rPr>
          <w:rFonts w:asciiTheme="majorHAnsi" w:hAnsiTheme="majorHAnsi" w:cstheme="majorBidi"/>
          <w:bCs/>
          <w:iCs/>
        </w:rPr>
        <w:t xml:space="preserve"> partnership</w:t>
      </w:r>
      <w:r w:rsidR="00C83527">
        <w:rPr>
          <w:rFonts w:asciiTheme="majorHAnsi" w:hAnsiTheme="majorHAnsi" w:cstheme="majorBidi"/>
          <w:bCs/>
          <w:iCs/>
        </w:rPr>
        <w:t>’</w:t>
      </w:r>
      <w:r>
        <w:rPr>
          <w:rFonts w:asciiTheme="majorHAnsi" w:hAnsiTheme="majorHAnsi" w:cstheme="majorBidi"/>
          <w:bCs/>
          <w:iCs/>
        </w:rPr>
        <w:t xml:space="preserve">s activities </w:t>
      </w:r>
      <w:r w:rsidR="00C83527">
        <w:rPr>
          <w:rFonts w:asciiTheme="majorHAnsi" w:hAnsiTheme="majorHAnsi" w:cstheme="majorBidi"/>
          <w:bCs/>
          <w:iCs/>
        </w:rPr>
        <w:t xml:space="preserve">giving rise to the items, just as is done for individual taxpayers. </w:t>
      </w:r>
      <w:r w:rsidR="00F425BA">
        <w:rPr>
          <w:rFonts w:asciiTheme="majorHAnsi" w:hAnsiTheme="majorHAnsi" w:cstheme="majorBidi"/>
          <w:bCs/>
          <w:iCs/>
        </w:rPr>
        <w:t>See IRC § 703(a)</w:t>
      </w:r>
      <w:r w:rsidR="00D95485">
        <w:rPr>
          <w:rFonts w:asciiTheme="majorHAnsi" w:hAnsiTheme="majorHAnsi" w:cstheme="majorBidi"/>
          <w:bCs/>
          <w:iCs/>
        </w:rPr>
        <w:t xml:space="preserve"> and IRS Form 1065</w:t>
      </w:r>
      <w:r w:rsidR="00F425BA">
        <w:rPr>
          <w:rFonts w:asciiTheme="majorHAnsi" w:hAnsiTheme="majorHAnsi" w:cstheme="majorBidi"/>
          <w:bCs/>
          <w:iCs/>
        </w:rPr>
        <w:t xml:space="preserve">. </w:t>
      </w:r>
    </w:p>
    <w:p w14:paraId="1CF7037A" w14:textId="0EE7D43B" w:rsidR="00A96C72" w:rsidRPr="00935410" w:rsidRDefault="00A96C72" w:rsidP="005F3EE6">
      <w:pPr>
        <w:pBdr>
          <w:top w:val="single" w:sz="4" w:space="1" w:color="auto" w:shadow="1"/>
          <w:left w:val="single" w:sz="4" w:space="4" w:color="auto" w:shadow="1"/>
          <w:bottom w:val="single" w:sz="4" w:space="1" w:color="auto" w:shadow="1"/>
          <w:right w:val="single" w:sz="4" w:space="4" w:color="auto" w:shadow="1"/>
        </w:pBdr>
        <w:spacing w:after="80"/>
        <w:ind w:left="1080" w:right="720"/>
        <w:rPr>
          <w:rFonts w:asciiTheme="majorHAnsi" w:hAnsiTheme="majorHAnsi" w:cstheme="majorBidi"/>
          <w:b/>
          <w:iCs/>
        </w:rPr>
      </w:pPr>
      <w:r w:rsidRPr="00935410">
        <w:rPr>
          <w:rFonts w:asciiTheme="majorHAnsi" w:hAnsiTheme="majorHAnsi" w:cstheme="majorBidi"/>
          <w:b/>
          <w:iCs/>
        </w:rPr>
        <w:t>STATE TAX IMPLICATION</w:t>
      </w:r>
      <w:r w:rsidR="006653B9" w:rsidRPr="00935410">
        <w:rPr>
          <w:rFonts w:asciiTheme="majorHAnsi" w:hAnsiTheme="majorHAnsi" w:cstheme="majorBidi"/>
          <w:b/>
          <w:iCs/>
        </w:rPr>
        <w:t>S</w:t>
      </w:r>
      <w:r w:rsidR="00EA7E2F" w:rsidRPr="00935410">
        <w:rPr>
          <w:rFonts w:asciiTheme="majorHAnsi" w:hAnsiTheme="majorHAnsi" w:cstheme="majorBidi"/>
          <w:b/>
          <w:iCs/>
        </w:rPr>
        <w:t xml:space="preserve">: </w:t>
      </w:r>
      <w:r w:rsidR="00E05ECE" w:rsidRPr="00935410">
        <w:rPr>
          <w:rFonts w:asciiTheme="majorHAnsi" w:hAnsiTheme="majorHAnsi" w:cstheme="majorBidi"/>
          <w:b/>
          <w:iCs/>
        </w:rPr>
        <w:t xml:space="preserve">To the extent the federally determined character of </w:t>
      </w:r>
      <w:r w:rsidR="00492603" w:rsidRPr="00935410">
        <w:rPr>
          <w:rFonts w:asciiTheme="majorHAnsi" w:hAnsiTheme="majorHAnsi" w:cstheme="majorBidi"/>
          <w:b/>
          <w:iCs/>
        </w:rPr>
        <w:t xml:space="preserve">any </w:t>
      </w:r>
      <w:r w:rsidR="00E05ECE" w:rsidRPr="00935410">
        <w:rPr>
          <w:rFonts w:asciiTheme="majorHAnsi" w:hAnsiTheme="majorHAnsi" w:cstheme="majorBidi"/>
          <w:b/>
          <w:iCs/>
        </w:rPr>
        <w:t xml:space="preserve">items </w:t>
      </w:r>
      <w:r w:rsidR="00492603" w:rsidRPr="00935410">
        <w:rPr>
          <w:rFonts w:asciiTheme="majorHAnsi" w:hAnsiTheme="majorHAnsi" w:cstheme="majorBidi"/>
          <w:b/>
          <w:iCs/>
        </w:rPr>
        <w:t xml:space="preserve">also </w:t>
      </w:r>
      <w:r w:rsidR="00E05ECE" w:rsidRPr="00935410">
        <w:rPr>
          <w:rFonts w:asciiTheme="majorHAnsi" w:hAnsiTheme="majorHAnsi" w:cstheme="majorBidi"/>
          <w:b/>
          <w:iCs/>
        </w:rPr>
        <w:t xml:space="preserve">affects their state tax treatment, that character </w:t>
      </w:r>
      <w:r w:rsidR="00C83527">
        <w:rPr>
          <w:rFonts w:asciiTheme="majorHAnsi" w:hAnsiTheme="majorHAnsi" w:cstheme="majorBidi"/>
          <w:b/>
          <w:iCs/>
        </w:rPr>
        <w:t>is</w:t>
      </w:r>
      <w:r w:rsidR="00E05ECE" w:rsidRPr="00935410">
        <w:rPr>
          <w:rFonts w:asciiTheme="majorHAnsi" w:hAnsiTheme="majorHAnsi" w:cstheme="majorBidi"/>
          <w:b/>
          <w:iCs/>
        </w:rPr>
        <w:t xml:space="preserve"> determined at the partnership level</w:t>
      </w:r>
      <w:r w:rsidR="00492603" w:rsidRPr="00935410">
        <w:rPr>
          <w:rFonts w:asciiTheme="majorHAnsi" w:hAnsiTheme="majorHAnsi" w:cstheme="majorBidi"/>
          <w:b/>
          <w:iCs/>
        </w:rPr>
        <w:t xml:space="preserve"> </w:t>
      </w:r>
      <w:r w:rsidR="00C83527">
        <w:rPr>
          <w:rFonts w:asciiTheme="majorHAnsi" w:hAnsiTheme="majorHAnsi" w:cstheme="majorBidi"/>
          <w:b/>
          <w:iCs/>
        </w:rPr>
        <w:t>based on its activities</w:t>
      </w:r>
      <w:r w:rsidR="00492603" w:rsidRPr="00935410">
        <w:rPr>
          <w:rFonts w:asciiTheme="majorHAnsi" w:hAnsiTheme="majorHAnsi" w:cstheme="majorBidi"/>
          <w:b/>
          <w:iCs/>
        </w:rPr>
        <w:t xml:space="preserve">. </w:t>
      </w:r>
      <w:r w:rsidR="00C83527">
        <w:rPr>
          <w:rFonts w:asciiTheme="majorHAnsi" w:hAnsiTheme="majorHAnsi" w:cstheme="majorBidi"/>
          <w:b/>
          <w:iCs/>
        </w:rPr>
        <w:t>Similarly, state tax character</w:t>
      </w:r>
      <w:r w:rsidR="00E966E1">
        <w:rPr>
          <w:rFonts w:asciiTheme="majorHAnsi" w:hAnsiTheme="majorHAnsi" w:cstheme="majorBidi"/>
          <w:b/>
          <w:iCs/>
        </w:rPr>
        <w:t>ization</w:t>
      </w:r>
      <w:r w:rsidR="00C83527">
        <w:rPr>
          <w:rFonts w:asciiTheme="majorHAnsi" w:hAnsiTheme="majorHAnsi" w:cstheme="majorBidi"/>
          <w:b/>
          <w:iCs/>
        </w:rPr>
        <w:t xml:space="preserve"> of items is presumed to be done at the partnership level.</w:t>
      </w:r>
    </w:p>
    <w:p w14:paraId="178ABE0E" w14:textId="7FA51697" w:rsidR="00723E3C" w:rsidRDefault="00AD6434" w:rsidP="00955008">
      <w:pPr>
        <w:pStyle w:val="Heading4"/>
        <w:numPr>
          <w:ilvl w:val="0"/>
          <w:numId w:val="11"/>
        </w:numPr>
      </w:pPr>
      <w:r>
        <w:lastRenderedPageBreak/>
        <w:t>F</w:t>
      </w:r>
      <w:r w:rsidR="00723E3C">
        <w:t xml:space="preserve">ederal sourcing </w:t>
      </w:r>
      <w:r>
        <w:t xml:space="preserve">is part of the character </w:t>
      </w:r>
      <w:r w:rsidR="00723E3C">
        <w:t>of items</w:t>
      </w:r>
      <w:r w:rsidR="003272AC">
        <w:t xml:space="preserve"> </w:t>
      </w:r>
      <w:r>
        <w:t>determined at the partnership level</w:t>
      </w:r>
      <w:r w:rsidR="00723E3C">
        <w:t>.</w:t>
      </w:r>
    </w:p>
    <w:p w14:paraId="0E54FCDB" w14:textId="7AFE722F" w:rsidR="00723E3C" w:rsidRPr="00723E3C" w:rsidRDefault="00492603" w:rsidP="00723E3C">
      <w:pPr>
        <w:spacing w:after="80"/>
        <w:ind w:left="720"/>
        <w:rPr>
          <w:rFonts w:asciiTheme="majorHAnsi" w:hAnsiTheme="majorHAnsi" w:cstheme="majorBidi"/>
          <w:bCs/>
          <w:iCs/>
        </w:rPr>
      </w:pPr>
      <w:r>
        <w:rPr>
          <w:rFonts w:asciiTheme="majorHAnsi" w:hAnsiTheme="majorHAnsi" w:cstheme="majorBidi"/>
          <w:bCs/>
          <w:iCs/>
        </w:rPr>
        <w:t xml:space="preserve">Whether partnership income or items are treated as domestic or foreign under federal sourcing rules is generally part of </w:t>
      </w:r>
      <w:r w:rsidR="00E05ECE">
        <w:rPr>
          <w:rFonts w:asciiTheme="majorHAnsi" w:hAnsiTheme="majorHAnsi" w:cstheme="majorBidi"/>
          <w:bCs/>
          <w:iCs/>
        </w:rPr>
        <w:t>the c</w:t>
      </w:r>
      <w:r w:rsidR="00723E3C" w:rsidRPr="00723E3C">
        <w:rPr>
          <w:rFonts w:asciiTheme="majorHAnsi" w:hAnsiTheme="majorHAnsi" w:cstheme="majorBidi"/>
          <w:bCs/>
          <w:iCs/>
        </w:rPr>
        <w:t xml:space="preserve">haracter of </w:t>
      </w:r>
      <w:r>
        <w:rPr>
          <w:rFonts w:asciiTheme="majorHAnsi" w:hAnsiTheme="majorHAnsi" w:cstheme="majorBidi"/>
          <w:bCs/>
          <w:iCs/>
        </w:rPr>
        <w:t xml:space="preserve">those </w:t>
      </w:r>
      <w:r w:rsidR="00723E3C" w:rsidRPr="00723E3C">
        <w:rPr>
          <w:rFonts w:asciiTheme="majorHAnsi" w:hAnsiTheme="majorHAnsi" w:cstheme="majorBidi"/>
          <w:bCs/>
          <w:iCs/>
        </w:rPr>
        <w:t xml:space="preserve">items </w:t>
      </w:r>
      <w:r w:rsidR="00E05ECE">
        <w:rPr>
          <w:rFonts w:asciiTheme="majorHAnsi" w:hAnsiTheme="majorHAnsi" w:cstheme="majorBidi"/>
          <w:bCs/>
          <w:iCs/>
        </w:rPr>
        <w:t>which is</w:t>
      </w:r>
      <w:r w:rsidR="00D218F1">
        <w:rPr>
          <w:rFonts w:asciiTheme="majorHAnsi" w:hAnsiTheme="majorHAnsi" w:cstheme="majorBidi"/>
          <w:bCs/>
          <w:iCs/>
        </w:rPr>
        <w:t>, to a large extent,</w:t>
      </w:r>
      <w:r w:rsidR="00E05ECE">
        <w:rPr>
          <w:rFonts w:asciiTheme="majorHAnsi" w:hAnsiTheme="majorHAnsi" w:cstheme="majorBidi"/>
          <w:bCs/>
          <w:iCs/>
        </w:rPr>
        <w:t xml:space="preserve"> determined at the partnership level</w:t>
      </w:r>
      <w:r w:rsidR="00723E3C" w:rsidRPr="00723E3C">
        <w:rPr>
          <w:rFonts w:asciiTheme="majorHAnsi" w:hAnsiTheme="majorHAnsi" w:cstheme="majorBidi"/>
          <w:bCs/>
          <w:iCs/>
        </w:rPr>
        <w:t>. See IRC § 875</w:t>
      </w:r>
      <w:r w:rsidR="005953F8">
        <w:rPr>
          <w:rFonts w:asciiTheme="majorHAnsi" w:hAnsiTheme="majorHAnsi" w:cstheme="majorBidi"/>
          <w:bCs/>
          <w:iCs/>
        </w:rPr>
        <w:t xml:space="preserve"> and IRS Reg. § </w:t>
      </w:r>
      <w:r w:rsidR="005953F8" w:rsidRPr="005953F8">
        <w:rPr>
          <w:rFonts w:asciiTheme="majorHAnsi" w:hAnsiTheme="majorHAnsi" w:cstheme="majorBidi"/>
          <w:bCs/>
          <w:iCs/>
        </w:rPr>
        <w:t>1.702-1(a)(8)(ii)</w:t>
      </w:r>
      <w:r w:rsidR="005953F8">
        <w:rPr>
          <w:rFonts w:asciiTheme="majorHAnsi" w:hAnsiTheme="majorHAnsi" w:cstheme="majorBidi"/>
          <w:bCs/>
          <w:iCs/>
        </w:rPr>
        <w:t>.</w:t>
      </w:r>
      <w:r>
        <w:rPr>
          <w:rFonts w:asciiTheme="majorHAnsi" w:hAnsiTheme="majorHAnsi" w:cstheme="majorBidi"/>
          <w:bCs/>
          <w:iCs/>
        </w:rPr>
        <w:t xml:space="preserve"> Note that there are also instances in which the partner’s attributes may affect how the income is sourced</w:t>
      </w:r>
      <w:r w:rsidR="003272AC">
        <w:rPr>
          <w:rFonts w:asciiTheme="majorHAnsi" w:hAnsiTheme="majorHAnsi" w:cstheme="majorBidi"/>
          <w:bCs/>
          <w:iCs/>
        </w:rPr>
        <w:t xml:space="preserve"> federally</w:t>
      </w:r>
      <w:r>
        <w:rPr>
          <w:rFonts w:asciiTheme="majorHAnsi" w:hAnsiTheme="majorHAnsi" w:cstheme="majorBidi"/>
          <w:bCs/>
          <w:iCs/>
        </w:rPr>
        <w:t>.</w:t>
      </w:r>
    </w:p>
    <w:p w14:paraId="52EDF821" w14:textId="18AB0923" w:rsidR="00723E3C" w:rsidRPr="00C83527" w:rsidRDefault="00723E3C" w:rsidP="00894CC2">
      <w:pPr>
        <w:pBdr>
          <w:top w:val="single" w:sz="4" w:space="1" w:color="auto" w:shadow="1"/>
          <w:left w:val="single" w:sz="4" w:space="4" w:color="auto" w:shadow="1"/>
          <w:bottom w:val="single" w:sz="4" w:space="1" w:color="auto" w:shadow="1"/>
          <w:right w:val="single" w:sz="4" w:space="4" w:color="auto" w:shadow="1"/>
        </w:pBdr>
        <w:ind w:left="1080" w:right="720"/>
        <w:rPr>
          <w:b/>
        </w:rPr>
      </w:pPr>
      <w:r w:rsidRPr="00C83527">
        <w:rPr>
          <w:rFonts w:asciiTheme="majorHAnsi" w:hAnsiTheme="majorHAnsi" w:cstheme="majorBidi"/>
          <w:b/>
          <w:iCs/>
        </w:rPr>
        <w:t>STATE TAX IMPLICATIONS:</w:t>
      </w:r>
      <w:r w:rsidR="00E05ECE" w:rsidRPr="00C83527">
        <w:rPr>
          <w:rFonts w:asciiTheme="majorHAnsi" w:hAnsiTheme="majorHAnsi" w:cstheme="majorBidi"/>
          <w:b/>
          <w:iCs/>
        </w:rPr>
        <w:t xml:space="preserve"> States generally conform to the federal sourcing rules when determining whether income is domestic or foreign and will</w:t>
      </w:r>
      <w:r w:rsidR="00492603" w:rsidRPr="00C83527">
        <w:rPr>
          <w:rFonts w:asciiTheme="majorHAnsi" w:hAnsiTheme="majorHAnsi" w:cstheme="majorBidi"/>
          <w:b/>
          <w:iCs/>
        </w:rPr>
        <w:t>, therefore,</w:t>
      </w:r>
      <w:r w:rsidR="00E05ECE" w:rsidRPr="00C83527">
        <w:rPr>
          <w:rFonts w:asciiTheme="majorHAnsi" w:hAnsiTheme="majorHAnsi" w:cstheme="majorBidi"/>
          <w:b/>
          <w:iCs/>
        </w:rPr>
        <w:t xml:space="preserve"> generally conform to this </w:t>
      </w:r>
      <w:r w:rsidR="00492603" w:rsidRPr="00C83527">
        <w:rPr>
          <w:rFonts w:asciiTheme="majorHAnsi" w:hAnsiTheme="majorHAnsi" w:cstheme="majorBidi"/>
          <w:b/>
          <w:iCs/>
        </w:rPr>
        <w:t xml:space="preserve">partnership </w:t>
      </w:r>
      <w:r w:rsidR="00E05ECE" w:rsidRPr="00C83527">
        <w:rPr>
          <w:rFonts w:asciiTheme="majorHAnsi" w:hAnsiTheme="majorHAnsi" w:cstheme="majorBidi"/>
          <w:b/>
          <w:iCs/>
        </w:rPr>
        <w:t xml:space="preserve">treatment as well. </w:t>
      </w:r>
      <w:r w:rsidR="00C83527">
        <w:rPr>
          <w:rFonts w:asciiTheme="majorHAnsi" w:hAnsiTheme="majorHAnsi" w:cstheme="majorBidi"/>
          <w:b/>
          <w:iCs/>
        </w:rPr>
        <w:t>But t</w:t>
      </w:r>
      <w:r w:rsidR="00492603" w:rsidRPr="00C83527">
        <w:rPr>
          <w:rFonts w:asciiTheme="majorHAnsi" w:hAnsiTheme="majorHAnsi" w:cstheme="majorBidi"/>
          <w:b/>
          <w:iCs/>
        </w:rPr>
        <w:t xml:space="preserve">his raises the question of whether state sourcing of multistate partnership income should be determined at the partnership level, at least in some cases. </w:t>
      </w:r>
    </w:p>
    <w:p w14:paraId="550B0FAF" w14:textId="29E0DCD0" w:rsidR="002129DA" w:rsidRDefault="00D95485" w:rsidP="00955008">
      <w:pPr>
        <w:pStyle w:val="Heading4"/>
        <w:numPr>
          <w:ilvl w:val="0"/>
          <w:numId w:val="11"/>
        </w:numPr>
      </w:pPr>
      <w:r>
        <w:t xml:space="preserve">The tax character of partnership items is attributed to </w:t>
      </w:r>
      <w:r w:rsidR="00DF073E">
        <w:t xml:space="preserve">direct and indirect </w:t>
      </w:r>
      <w:r>
        <w:t>partners</w:t>
      </w:r>
      <w:r w:rsidR="00A96C72">
        <w:t xml:space="preserve">. </w:t>
      </w:r>
    </w:p>
    <w:p w14:paraId="75678D83" w14:textId="01067CA5" w:rsidR="00EA7E2F" w:rsidRDefault="00C83527" w:rsidP="002129DA">
      <w:pPr>
        <w:ind w:left="720"/>
        <w:rPr>
          <w:rFonts w:asciiTheme="majorHAnsi" w:hAnsiTheme="majorHAnsi" w:cstheme="majorBidi"/>
          <w:bCs/>
          <w:iCs/>
        </w:rPr>
      </w:pPr>
      <w:r>
        <w:t>C</w:t>
      </w:r>
      <w:r w:rsidR="002129DA">
        <w:t>haracter of partnership items of income, expense, gain, or loss</w:t>
      </w:r>
      <w:r w:rsidR="009E50ED">
        <w:t xml:space="preserve"> as </w:t>
      </w:r>
      <w:r w:rsidR="002129DA">
        <w:t xml:space="preserve">determined by the partnership </w:t>
      </w:r>
      <w:r w:rsidR="00EF0BDD">
        <w:t xml:space="preserve">is attributed to the </w:t>
      </w:r>
      <w:r w:rsidR="002129DA">
        <w:t>ultimate taxpaying partners</w:t>
      </w:r>
      <w:r w:rsidR="00EF0BDD">
        <w:t xml:space="preserve"> along with their distributive share of those items</w:t>
      </w:r>
      <w:r w:rsidR="002129DA">
        <w:t xml:space="preserve">. See IRC § 702 and </w:t>
      </w:r>
      <w:r w:rsidR="002129DA">
        <w:rPr>
          <w:rFonts w:asciiTheme="majorHAnsi" w:hAnsiTheme="majorHAnsi" w:cstheme="majorBidi"/>
          <w:bCs/>
          <w:iCs/>
        </w:rPr>
        <w:t xml:space="preserve">IRS Form 1065 – Schedule K-1. </w:t>
      </w:r>
      <w:r w:rsidR="009E50ED">
        <w:rPr>
          <w:rFonts w:asciiTheme="majorHAnsi" w:hAnsiTheme="majorHAnsi" w:cstheme="majorBidi"/>
          <w:bCs/>
          <w:iCs/>
        </w:rPr>
        <w:t xml:space="preserve">It does not matter how many tiered entities the items may pass through—their character does not change. </w:t>
      </w:r>
      <w:r w:rsidR="002129DA">
        <w:rPr>
          <w:rFonts w:asciiTheme="majorHAnsi" w:hAnsiTheme="majorHAnsi" w:cstheme="majorBidi"/>
          <w:bCs/>
          <w:iCs/>
        </w:rPr>
        <w:t xml:space="preserve">This general attribution (or </w:t>
      </w:r>
      <w:r w:rsidR="00E80F3E">
        <w:rPr>
          <w:rFonts w:asciiTheme="majorHAnsi" w:hAnsiTheme="majorHAnsi" w:cstheme="majorBidi"/>
          <w:bCs/>
          <w:iCs/>
        </w:rPr>
        <w:t xml:space="preserve">“conduit”) </w:t>
      </w:r>
      <w:r w:rsidR="002129DA">
        <w:rPr>
          <w:rFonts w:asciiTheme="majorHAnsi" w:hAnsiTheme="majorHAnsi" w:cstheme="majorBidi"/>
          <w:bCs/>
          <w:iCs/>
        </w:rPr>
        <w:t xml:space="preserve">principle, discussed further in the next section, prevents </w:t>
      </w:r>
      <w:r w:rsidR="00EF0BDD">
        <w:rPr>
          <w:rFonts w:asciiTheme="majorHAnsi" w:hAnsiTheme="majorHAnsi" w:cstheme="majorBidi"/>
          <w:bCs/>
          <w:iCs/>
        </w:rPr>
        <w:t>the use of</w:t>
      </w:r>
      <w:r w:rsidR="002129DA">
        <w:rPr>
          <w:rFonts w:asciiTheme="majorHAnsi" w:hAnsiTheme="majorHAnsi" w:cstheme="majorBidi"/>
          <w:bCs/>
          <w:iCs/>
        </w:rPr>
        <w:t xml:space="preserve"> partnerships to effectively strip the tax character from items or change their tax treatment. </w:t>
      </w:r>
    </w:p>
    <w:p w14:paraId="27CE09CE" w14:textId="03E5D8D5" w:rsidR="002129DA" w:rsidRPr="00C83527" w:rsidRDefault="00EA7E2F" w:rsidP="00894CC2">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C83527">
        <w:rPr>
          <w:b/>
          <w:bCs/>
        </w:rPr>
        <w:t xml:space="preserve">STATE TAX IMPLICATION: </w:t>
      </w:r>
      <w:r w:rsidR="00DF073E" w:rsidRPr="00C83527">
        <w:rPr>
          <w:b/>
          <w:bCs/>
        </w:rPr>
        <w:t>At least t</w:t>
      </w:r>
      <w:r w:rsidRPr="00C83527">
        <w:rPr>
          <w:b/>
          <w:bCs/>
        </w:rPr>
        <w:t xml:space="preserve">o the extent state tax treatment of items is based on or related to their federal treatment, this determination </w:t>
      </w:r>
      <w:r w:rsidR="00DF073E" w:rsidRPr="00C83527">
        <w:rPr>
          <w:b/>
          <w:bCs/>
        </w:rPr>
        <w:t xml:space="preserve">of their state tax character </w:t>
      </w:r>
      <w:r w:rsidRPr="00C83527">
        <w:rPr>
          <w:b/>
          <w:bCs/>
        </w:rPr>
        <w:t xml:space="preserve">would </w:t>
      </w:r>
      <w:r w:rsidR="009E50ED" w:rsidRPr="00C83527">
        <w:rPr>
          <w:b/>
          <w:bCs/>
        </w:rPr>
        <w:t xml:space="preserve">also </w:t>
      </w:r>
      <w:r w:rsidRPr="00C83527">
        <w:rPr>
          <w:b/>
          <w:bCs/>
        </w:rPr>
        <w:t>presumably be made at the partnership level</w:t>
      </w:r>
      <w:r w:rsidR="009E50ED" w:rsidRPr="00C83527">
        <w:rPr>
          <w:b/>
          <w:bCs/>
        </w:rPr>
        <w:t xml:space="preserve"> and attributed to the partners. </w:t>
      </w:r>
    </w:p>
    <w:p w14:paraId="29DE0C8D" w14:textId="41C43BB7" w:rsidR="00A1670B" w:rsidRDefault="00CF0E52" w:rsidP="00955008">
      <w:pPr>
        <w:pStyle w:val="Heading4"/>
        <w:numPr>
          <w:ilvl w:val="0"/>
          <w:numId w:val="11"/>
        </w:numPr>
      </w:pPr>
      <w:r>
        <w:t xml:space="preserve"> A p</w:t>
      </w:r>
      <w:r w:rsidR="00A1670B">
        <w:t>artner’</w:t>
      </w:r>
      <w:r>
        <w:t>s</w:t>
      </w:r>
      <w:r w:rsidR="00A1670B">
        <w:t xml:space="preserve"> </w:t>
      </w:r>
      <w:r w:rsidR="00A96C72">
        <w:t xml:space="preserve">tax attributes also </w:t>
      </w:r>
      <w:r w:rsidR="00AA0F8A">
        <w:t>a</w:t>
      </w:r>
      <w:r w:rsidR="00A96C72">
        <w:t>ffect the amount of tax paid on partnership income.</w:t>
      </w:r>
    </w:p>
    <w:p w14:paraId="4694477A" w14:textId="28D3B1A6" w:rsidR="00A1670B" w:rsidRDefault="00A1670B" w:rsidP="00A1670B">
      <w:pPr>
        <w:ind w:left="720"/>
      </w:pPr>
      <w:r>
        <w:t>Because each partner reports their share of partnership items as part of their own tax return, the partner</w:t>
      </w:r>
      <w:r w:rsidR="00A50563">
        <w:t>s’</w:t>
      </w:r>
      <w:r w:rsidR="00DF073E">
        <w:t xml:space="preserve"> attributes</w:t>
      </w:r>
      <w:r>
        <w:t xml:space="preserve"> are </w:t>
      </w:r>
      <w:r w:rsidR="00DF073E">
        <w:t xml:space="preserve">also </w:t>
      </w:r>
      <w:r>
        <w:t xml:space="preserve">taken into account in computing that tax—including the partners’ effective or marginal </w:t>
      </w:r>
      <w:r w:rsidR="00D95485">
        <w:t xml:space="preserve">federal </w:t>
      </w:r>
      <w:r>
        <w:t xml:space="preserve">tax rates, which may vary considerably.  </w:t>
      </w:r>
    </w:p>
    <w:p w14:paraId="5A1D78BF" w14:textId="61026EE0" w:rsidR="00EA7E2F" w:rsidRPr="00C83527" w:rsidRDefault="00EA7E2F" w:rsidP="00894CC2">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C83527">
        <w:rPr>
          <w:b/>
          <w:bCs/>
        </w:rPr>
        <w:t xml:space="preserve">STATE TAX IMPLICATIONS: </w:t>
      </w:r>
      <w:r w:rsidR="00C83527">
        <w:rPr>
          <w:b/>
          <w:bCs/>
        </w:rPr>
        <w:t>T</w:t>
      </w:r>
      <w:r w:rsidRPr="00C83527">
        <w:rPr>
          <w:b/>
          <w:bCs/>
        </w:rPr>
        <w:t xml:space="preserve">he effect of partner attributes on state taxation of partnership income may be </w:t>
      </w:r>
      <w:r w:rsidR="00DF073E" w:rsidRPr="00C83527">
        <w:rPr>
          <w:b/>
          <w:bCs/>
        </w:rPr>
        <w:t xml:space="preserve">somewhat </w:t>
      </w:r>
      <w:r w:rsidRPr="00C83527">
        <w:rPr>
          <w:b/>
          <w:bCs/>
        </w:rPr>
        <w:t>less pronounced tha</w:t>
      </w:r>
      <w:r w:rsidR="00DF073E" w:rsidRPr="00C83527">
        <w:rPr>
          <w:b/>
          <w:bCs/>
        </w:rPr>
        <w:t>n</w:t>
      </w:r>
      <w:r w:rsidRPr="00C83527">
        <w:rPr>
          <w:b/>
          <w:bCs/>
        </w:rPr>
        <w:t xml:space="preserve"> it is at the federal level—in part because state</w:t>
      </w:r>
      <w:r w:rsidR="00C83527">
        <w:rPr>
          <w:b/>
          <w:bCs/>
        </w:rPr>
        <w:t xml:space="preserve"> tax</w:t>
      </w:r>
      <w:r w:rsidRPr="00C83527">
        <w:rPr>
          <w:b/>
          <w:bCs/>
        </w:rPr>
        <w:t xml:space="preserve"> rates vary much less.</w:t>
      </w:r>
      <w:r w:rsidR="00DF073E" w:rsidRPr="00C83527">
        <w:rPr>
          <w:b/>
          <w:bCs/>
        </w:rPr>
        <w:t xml:space="preserve"> But other partner attributes, such as income or loss from other sources, may still have a substantial effect on the ultimate state tax paid on partnership income. </w:t>
      </w:r>
    </w:p>
    <w:p w14:paraId="597CC1ED" w14:textId="5A65FB02" w:rsidR="00B00249" w:rsidRDefault="00CF0E52" w:rsidP="00955008">
      <w:pPr>
        <w:pStyle w:val="Heading4"/>
        <w:numPr>
          <w:ilvl w:val="0"/>
          <w:numId w:val="11"/>
        </w:numPr>
      </w:pPr>
      <w:r>
        <w:t>Partners can share partnership</w:t>
      </w:r>
      <w:r w:rsidR="00A96C72">
        <w:t xml:space="preserve"> items </w:t>
      </w:r>
      <w:r>
        <w:t>in various ways</w:t>
      </w:r>
      <w:r w:rsidR="009E50ED">
        <w:t xml:space="preserve">, </w:t>
      </w:r>
      <w:r w:rsidR="00A96C72">
        <w:t>with few limitations.</w:t>
      </w:r>
    </w:p>
    <w:p w14:paraId="222894A4" w14:textId="167A7214" w:rsidR="00B00249" w:rsidRDefault="00B00249" w:rsidP="00A96C72">
      <w:pPr>
        <w:ind w:left="720"/>
      </w:pPr>
      <w:r>
        <w:t xml:space="preserve">Subchapter K does not require partnership income or items </w:t>
      </w:r>
      <w:r w:rsidR="009E50ED">
        <w:t xml:space="preserve">to </w:t>
      </w:r>
      <w:r>
        <w:t xml:space="preserve">be shared </w:t>
      </w:r>
      <w:r w:rsidR="00CF0E52">
        <w:t xml:space="preserve">or allocated </w:t>
      </w:r>
      <w:r w:rsidR="00D95485">
        <w:t xml:space="preserve">pro rata </w:t>
      </w:r>
      <w:r w:rsidRPr="00300C00">
        <w:t xml:space="preserve">according to </w:t>
      </w:r>
      <w:r w:rsidR="00CF0E52">
        <w:t xml:space="preserve">the </w:t>
      </w:r>
      <w:r w:rsidRPr="00300C00">
        <w:t>capital or ownership interests</w:t>
      </w:r>
      <w:r w:rsidR="00CF0E52">
        <w:t xml:space="preserve"> of the partners</w:t>
      </w:r>
      <w:r w:rsidRPr="00300C00">
        <w:t xml:space="preserve">. </w:t>
      </w:r>
      <w:r w:rsidR="00D95485">
        <w:t xml:space="preserve">Nor </w:t>
      </w:r>
      <w:r w:rsidR="00CF0E52">
        <w:t>are</w:t>
      </w:r>
      <w:r w:rsidR="00D95485">
        <w:t xml:space="preserve"> </w:t>
      </w:r>
      <w:r w:rsidR="005F3EE6">
        <w:t xml:space="preserve">different </w:t>
      </w:r>
      <w:r w:rsidR="00D95485">
        <w:t xml:space="preserve">items </w:t>
      </w:r>
      <w:r w:rsidR="00CF0E52">
        <w:t xml:space="preserve">required to </w:t>
      </w:r>
      <w:r w:rsidR="00D95485">
        <w:t>be shared in the same proportion</w:t>
      </w:r>
      <w:r w:rsidR="00CF0E52">
        <w:t>s</w:t>
      </w:r>
      <w:r w:rsidR="00D95485">
        <w:t xml:space="preserve">. Rather, partners’ shares of partnership items are generally determined by </w:t>
      </w:r>
      <w:r w:rsidR="00CF0E52">
        <w:t xml:space="preserve">their </w:t>
      </w:r>
      <w:r w:rsidR="00D95485">
        <w:t xml:space="preserve">agreement. See IRC § 704(a). </w:t>
      </w:r>
      <w:r w:rsidR="00A96C72">
        <w:t xml:space="preserve">These </w:t>
      </w:r>
      <w:r w:rsidRPr="00300C00">
        <w:t xml:space="preserve">sharing </w:t>
      </w:r>
      <w:r>
        <w:t>arrangements</w:t>
      </w:r>
      <w:r w:rsidRPr="00300C00">
        <w:t xml:space="preserve"> may </w:t>
      </w:r>
      <w:r w:rsidR="00A96C72">
        <w:t xml:space="preserve">also </w:t>
      </w:r>
      <w:r w:rsidRPr="00300C00">
        <w:t>change over time.</w:t>
      </w:r>
      <w:r>
        <w:t xml:space="preserve"> The primary limitation </w:t>
      </w:r>
      <w:r w:rsidR="009E50ED">
        <w:t xml:space="preserve">on this flexibility </w:t>
      </w:r>
      <w:r>
        <w:t xml:space="preserve">is the requirement that </w:t>
      </w:r>
      <w:r w:rsidR="00CF0E52">
        <w:t>these</w:t>
      </w:r>
      <w:r w:rsidR="009E50ED">
        <w:t xml:space="preserve"> </w:t>
      </w:r>
      <w:r>
        <w:t xml:space="preserve">so-called “special allocations” </w:t>
      </w:r>
      <w:r w:rsidR="009E50ED">
        <w:t xml:space="preserve">must </w:t>
      </w:r>
      <w:r>
        <w:t>have</w:t>
      </w:r>
      <w:r w:rsidRPr="00300C00">
        <w:t xml:space="preserve"> substantial economic effect under IRC § 704(b) and related regulations. But </w:t>
      </w:r>
      <w:r w:rsidR="009E50ED">
        <w:t xml:space="preserve">as noted above, </w:t>
      </w:r>
      <w:r w:rsidRPr="00300C00">
        <w:t xml:space="preserve">the test for substantial economic effect </w:t>
      </w:r>
      <w:r>
        <w:t>focuses on</w:t>
      </w:r>
      <w:r w:rsidRPr="00300C00">
        <w:t xml:space="preserve"> whether the </w:t>
      </w:r>
      <w:r>
        <w:rPr>
          <w:i/>
          <w:iCs/>
        </w:rPr>
        <w:t xml:space="preserve">federal </w:t>
      </w:r>
      <w:r w:rsidRPr="00300C00">
        <w:t xml:space="preserve">tax </w:t>
      </w:r>
      <w:r>
        <w:t>result reflects the economic substance of the allocations</w:t>
      </w:r>
      <w:r w:rsidRPr="00300C00">
        <w:t xml:space="preserve">—not on whether </w:t>
      </w:r>
      <w:r>
        <w:t xml:space="preserve">this </w:t>
      </w:r>
      <w:r w:rsidRPr="00300C00">
        <w:t xml:space="preserve">is true for </w:t>
      </w:r>
      <w:r w:rsidRPr="00115EA7">
        <w:rPr>
          <w:i/>
          <w:iCs/>
        </w:rPr>
        <w:t>state</w:t>
      </w:r>
      <w:r w:rsidRPr="00300C00">
        <w:t xml:space="preserve"> tax </w:t>
      </w:r>
      <w:r>
        <w:t>results.</w:t>
      </w:r>
    </w:p>
    <w:p w14:paraId="33C823CF" w14:textId="44ECB21A" w:rsidR="00B00249" w:rsidRPr="00C83527" w:rsidRDefault="00C92161"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STATE TAX IMPLICATIONS:</w:t>
      </w:r>
      <w:r w:rsidR="00B00249" w:rsidRPr="00C83527">
        <w:rPr>
          <w:b/>
          <w:bCs/>
        </w:rPr>
        <w:t xml:space="preserve"> </w:t>
      </w:r>
      <w:r w:rsidR="00C83527">
        <w:rPr>
          <w:b/>
          <w:bCs/>
        </w:rPr>
        <w:t>Some s</w:t>
      </w:r>
      <w:r w:rsidR="0069335C" w:rsidRPr="00C83527">
        <w:rPr>
          <w:b/>
          <w:bCs/>
        </w:rPr>
        <w:t xml:space="preserve">tate rules appear to assume a partner’s ownership interest determines distributive share—or that all partnership items will be allocated to partners using the same ratio or share. This may limit the application of these rules or leave situations involving special allocations unaddressed. </w:t>
      </w:r>
      <w:r w:rsidR="00C83527">
        <w:rPr>
          <w:b/>
          <w:bCs/>
        </w:rPr>
        <w:t>S</w:t>
      </w:r>
      <w:r w:rsidR="0069335C" w:rsidRPr="00C83527">
        <w:rPr>
          <w:b/>
          <w:bCs/>
        </w:rPr>
        <w:t xml:space="preserve">ome states have adopted a </w:t>
      </w:r>
      <w:r w:rsidR="00CF0E52" w:rsidRPr="00C83527">
        <w:rPr>
          <w:b/>
          <w:bCs/>
        </w:rPr>
        <w:t xml:space="preserve">form of the </w:t>
      </w:r>
      <w:r w:rsidR="0069335C" w:rsidRPr="00C83527">
        <w:rPr>
          <w:b/>
          <w:bCs/>
        </w:rPr>
        <w:t xml:space="preserve">substantial economic effect rule making clear that the same standard applicable for federal tax purposes </w:t>
      </w:r>
      <w:r w:rsidR="00C83527">
        <w:rPr>
          <w:b/>
          <w:bCs/>
        </w:rPr>
        <w:t xml:space="preserve">also </w:t>
      </w:r>
      <w:r w:rsidR="0069335C" w:rsidRPr="00C83527">
        <w:rPr>
          <w:b/>
          <w:bCs/>
        </w:rPr>
        <w:t xml:space="preserve">applies for state tax purposes. </w:t>
      </w:r>
      <w:r w:rsidR="00B00249" w:rsidRPr="00C83527">
        <w:rPr>
          <w:b/>
          <w:bCs/>
        </w:rPr>
        <w:t xml:space="preserve"> </w:t>
      </w:r>
    </w:p>
    <w:p w14:paraId="6B604E60" w14:textId="12A6EF4D" w:rsidR="00B00249" w:rsidRDefault="00B00249" w:rsidP="00955008">
      <w:pPr>
        <w:pStyle w:val="Heading4"/>
        <w:numPr>
          <w:ilvl w:val="0"/>
          <w:numId w:val="11"/>
        </w:numPr>
      </w:pPr>
      <w:r>
        <w:lastRenderedPageBreak/>
        <w:t xml:space="preserve">Partnerships </w:t>
      </w:r>
      <w:r w:rsidR="00CF0E52">
        <w:t>must follow complex tracking and information reporting rules.</w:t>
      </w:r>
    </w:p>
    <w:p w14:paraId="50D2EFA0" w14:textId="77777777" w:rsidR="005E69FD" w:rsidRDefault="00B00249" w:rsidP="00B00249">
      <w:pPr>
        <w:ind w:left="720"/>
      </w:pPr>
      <w:r>
        <w:t xml:space="preserve">Partners cannot properly compute their tax without essential information tracked and reported by the partnership. Therefore, in addition to requiring partnerships to properly follow </w:t>
      </w:r>
      <w:r w:rsidR="00CF0E52">
        <w:t xml:space="preserve">the </w:t>
      </w:r>
      <w:r>
        <w:t>substantive tax rules</w:t>
      </w:r>
      <w:r w:rsidR="00CF0E52">
        <w:t xml:space="preserve"> in characterizing items</w:t>
      </w:r>
      <w:r>
        <w:t xml:space="preserve">, Subchapter K also </w:t>
      </w:r>
      <w:r w:rsidR="00CF0E52">
        <w:t>imposes</w:t>
      </w:r>
      <w:r>
        <w:t xml:space="preserve"> detailed requirements for tracking and reporting the effects of various events on the partners’ own partnership capital and inside basis. See for example: IRC §§ 721-737 and 752-754. </w:t>
      </w:r>
    </w:p>
    <w:p w14:paraId="1BD97112" w14:textId="77777777" w:rsidR="00894CC2" w:rsidRDefault="005E69FD" w:rsidP="00B00249">
      <w:pPr>
        <w:ind w:left="720"/>
      </w:pPr>
      <w:r>
        <w:t xml:space="preserve">In addition, </w:t>
      </w:r>
      <w:r w:rsidR="00894CC2">
        <w:t xml:space="preserve">as discussed above, </w:t>
      </w:r>
      <w:r>
        <w:t>the rules of Subchapter K attempt to match the tax effects with the actual economic effects</w:t>
      </w:r>
      <w:r w:rsidR="00894CC2">
        <w:t>. But these rules</w:t>
      </w:r>
      <w:r>
        <w:t xml:space="preserve"> face a critical challenge—taxes are reported annually while the actual economic effects may not be known for years. This is because partners are not required to take distributions from the partnership each year—equivalent to their distributive share income</w:t>
      </w:r>
      <w:r w:rsidR="00894CC2">
        <w:t>—and partnership agreements may change over the course of time.</w:t>
      </w:r>
      <w:r>
        <w:t xml:space="preserve"> </w:t>
      </w:r>
    </w:p>
    <w:p w14:paraId="6FF24387" w14:textId="18EA1905" w:rsidR="005E69FD" w:rsidRDefault="006652C6" w:rsidP="00B00249">
      <w:pPr>
        <w:ind w:left="720"/>
      </w:pPr>
      <w:r>
        <w:t>To address this fundamental problem, Subchapter K requires the partnership to engage in</w:t>
      </w:r>
      <w:r w:rsidR="00894CC2">
        <w:t xml:space="preserve"> complex</w:t>
      </w:r>
      <w:r>
        <w:t xml:space="preserve"> tracking, record-keeping, and reporting of information over time and that the partners agree that they will </w:t>
      </w:r>
      <w:r w:rsidR="00894CC2">
        <w:t xml:space="preserve">(ultimately) </w:t>
      </w:r>
      <w:r>
        <w:t xml:space="preserve">share in the economic results of the partnership according to these partnerships accounts. </w:t>
      </w:r>
    </w:p>
    <w:p w14:paraId="68ABAC6A" w14:textId="72258824" w:rsidR="00B00249" w:rsidRDefault="00894CC2" w:rsidP="00B00249">
      <w:pPr>
        <w:ind w:left="720"/>
      </w:pPr>
      <w:r>
        <w:t>This, in turn, creates a related challenge. When i</w:t>
      </w:r>
      <w:r w:rsidR="00B00249">
        <w:t xml:space="preserve">tems of partnership income flow through complex multi-tiered structures, these </w:t>
      </w:r>
      <w:r w:rsidR="00CF0E52">
        <w:t xml:space="preserve">same </w:t>
      </w:r>
      <w:r w:rsidR="00B00249">
        <w:t>requirements must be followed by each entity through which the income or items flow. So it is impossible to know if the proper tax has been reported without knowing if each partnership has complied</w:t>
      </w:r>
      <w:r>
        <w:t xml:space="preserve"> with the tracking and reporting requirements</w:t>
      </w:r>
      <w:r w:rsidR="00B00249">
        <w:t>. And this has made it exceedingly difficult for the IRS to perform audits of large, complex partnerships.</w:t>
      </w:r>
      <w:r w:rsidR="00B00249">
        <w:rPr>
          <w:rStyle w:val="FootnoteReference"/>
        </w:rPr>
        <w:footnoteReference w:id="15"/>
      </w:r>
      <w:r w:rsidR="00B00249">
        <w:t xml:space="preserve"> </w:t>
      </w:r>
    </w:p>
    <w:p w14:paraId="2DB668AB" w14:textId="46AD47B2" w:rsidR="0027376A" w:rsidRPr="00C83527" w:rsidRDefault="0027376A"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 xml:space="preserve">STATE TAX IMPLICATIONS: States may need to consider whether to make allowances for the inherent complexity of the pass-through system and create rules that take this complexity into account—rather than assuming that rules which can be applied in simple structures can necessarily be applied in more complex structures.  </w:t>
      </w:r>
    </w:p>
    <w:p w14:paraId="2BC25D89" w14:textId="7BD3FFF8" w:rsidR="00226217" w:rsidRDefault="00970DF2" w:rsidP="00955008">
      <w:pPr>
        <w:pStyle w:val="Heading4"/>
        <w:numPr>
          <w:ilvl w:val="0"/>
          <w:numId w:val="11"/>
        </w:numPr>
      </w:pPr>
      <w:r>
        <w:t xml:space="preserve">Each </w:t>
      </w:r>
      <w:r w:rsidR="00CF0E52">
        <w:t xml:space="preserve">partnership is unique and the partnership agreement is critical. </w:t>
      </w:r>
    </w:p>
    <w:p w14:paraId="6E23D720" w14:textId="1B339144" w:rsidR="00226217" w:rsidRDefault="00226217" w:rsidP="00567102">
      <w:pPr>
        <w:ind w:left="720"/>
      </w:pPr>
      <w:r>
        <w:t xml:space="preserve">Because partnerships can vary in size, structure, and </w:t>
      </w:r>
      <w:r w:rsidR="00CF0E52">
        <w:t xml:space="preserve">the </w:t>
      </w:r>
      <w:r>
        <w:t xml:space="preserve">sharing of income and control, as well as the other roles partners </w:t>
      </w:r>
      <w:r w:rsidR="00CF0E52">
        <w:t xml:space="preserve">may have </w:t>
      </w:r>
      <w:r>
        <w:t xml:space="preserve">in the partnership, the main source of </w:t>
      </w:r>
      <w:r w:rsidR="00EA1D83">
        <w:t xml:space="preserve">critical </w:t>
      </w:r>
      <w:r>
        <w:t xml:space="preserve">information about the partnership will be the partnership agreement. </w:t>
      </w:r>
      <w:r w:rsidR="00AA0F8A">
        <w:t>G</w:t>
      </w:r>
      <w:r>
        <w:t xml:space="preserve">eneral partnerships </w:t>
      </w:r>
      <w:r w:rsidR="00906996">
        <w:t xml:space="preserve">are not </w:t>
      </w:r>
      <w:r w:rsidR="002A2D7B">
        <w:t>required to have a</w:t>
      </w:r>
      <w:r>
        <w:t xml:space="preserve"> written agreement</w:t>
      </w:r>
      <w:r w:rsidR="00894CC2">
        <w:t>, b</w:t>
      </w:r>
      <w:r>
        <w:t xml:space="preserve">ut other forms of partnership </w:t>
      </w:r>
      <w:r w:rsidR="00894CC2">
        <w:t xml:space="preserve">must have a </w:t>
      </w:r>
      <w:r w:rsidR="00EA1D83">
        <w:t>written</w:t>
      </w:r>
      <w:r>
        <w:t xml:space="preserve"> agreement</w:t>
      </w:r>
      <w:r w:rsidR="00F52919">
        <w:t>, in some form,</w:t>
      </w:r>
      <w:r>
        <w:t xml:space="preserve"> in order to comply with general state partnership statutes.</w:t>
      </w:r>
      <w:r w:rsidR="00F52919">
        <w:t xml:space="preserve"> In addition, governing statutes may provide default rules or presumptions that apply if the agreement is silent.</w:t>
      </w:r>
      <w:r w:rsidR="00EA1D83">
        <w:rPr>
          <w:rStyle w:val="FootnoteReference"/>
        </w:rPr>
        <w:footnoteReference w:id="16"/>
      </w:r>
      <w:r>
        <w:t xml:space="preserve"> </w:t>
      </w:r>
    </w:p>
    <w:p w14:paraId="1EEAD244" w14:textId="427E35E5" w:rsidR="0027376A" w:rsidRDefault="0027376A"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 xml:space="preserve">STATE TAX IMPLICATIONS: State rules should be careful not to assume that all partnerships have similar or common attributes. In drafting rules, states should consider how they will apply not only in more simple scenarios but also where there are complex structures or partner-partnership or other related party transactions. </w:t>
      </w:r>
      <w:r w:rsidR="00F102A8">
        <w:rPr>
          <w:b/>
          <w:bCs/>
        </w:rPr>
        <w:t>In addition, states may consider creating requirements or safe-harbors based on certain provisions included in partnership agreements.</w:t>
      </w:r>
    </w:p>
    <w:p w14:paraId="4B024C01" w14:textId="0AB0E093" w:rsidR="00C73591" w:rsidRDefault="00F102A8" w:rsidP="00CC7FF2">
      <w:pPr>
        <w:pStyle w:val="Heading3"/>
      </w:pPr>
      <w:bookmarkStart w:id="43" w:name="_Toc195435240"/>
      <w:r>
        <w:lastRenderedPageBreak/>
        <w:t xml:space="preserve">Transactions Between </w:t>
      </w:r>
      <w:r w:rsidR="00512665">
        <w:t>Partner</w:t>
      </w:r>
      <w:r>
        <w:t xml:space="preserve">s &amp; </w:t>
      </w:r>
      <w:r w:rsidR="0021708F">
        <w:t>P</w:t>
      </w:r>
      <w:r w:rsidR="00F52919">
        <w:t xml:space="preserve">artnership </w:t>
      </w:r>
      <w:r>
        <w:t>or</w:t>
      </w:r>
      <w:r w:rsidR="00F52919">
        <w:t xml:space="preserve"> </w:t>
      </w:r>
      <w:r>
        <w:t xml:space="preserve">Other </w:t>
      </w:r>
      <w:r w:rsidR="0021708F">
        <w:t>R</w:t>
      </w:r>
      <w:r w:rsidR="00F52919">
        <w:t>elated</w:t>
      </w:r>
      <w:r>
        <w:t xml:space="preserve"> Entities</w:t>
      </w:r>
      <w:bookmarkEnd w:id="43"/>
      <w:r w:rsidR="00F52919">
        <w:t xml:space="preserve"> </w:t>
      </w:r>
    </w:p>
    <w:p w14:paraId="40AF3ACF" w14:textId="708435D9" w:rsidR="00896414" w:rsidRDefault="00897907" w:rsidP="0027376A">
      <w:r>
        <w:t xml:space="preserve">Transfers of property or </w:t>
      </w:r>
      <w:r w:rsidR="00F102A8">
        <w:t xml:space="preserve">other </w:t>
      </w:r>
      <w:r>
        <w:t xml:space="preserve">transactions between partners and partnerships can affect both federal and state taxes, including </w:t>
      </w:r>
      <w:r w:rsidR="00BE5713">
        <w:t xml:space="preserve">the </w:t>
      </w:r>
      <w:r>
        <w:t xml:space="preserve">application of state sourcing rules. </w:t>
      </w:r>
      <w:r w:rsidR="00C83527">
        <w:t xml:space="preserve">As discussed further in subsection </w:t>
      </w:r>
      <w:r w:rsidR="00896414">
        <w:t xml:space="preserve">I.F. below, state tax sourcing rules </w:t>
      </w:r>
      <w:r w:rsidR="000850C4">
        <w:t xml:space="preserve">for business income </w:t>
      </w:r>
      <w:r w:rsidR="00896414">
        <w:t>were developed in the context of taxable corporations. Most states have come to apply these rules to combined corporate groups that are engaged in one or more unitary businesses. By doing this, states avoid having to prescribe and ensure compliance with standards for pricing transactions between related entities</w:t>
      </w:r>
      <w:r>
        <w:t xml:space="preserve">, which can </w:t>
      </w:r>
      <w:r w:rsidR="00595C2F">
        <w:t>a</w:t>
      </w:r>
      <w:r>
        <w:t>ffect the income ultimately sourced to particular states.</w:t>
      </w:r>
    </w:p>
    <w:p w14:paraId="55C13D56" w14:textId="6AAD6266" w:rsidR="0027376A" w:rsidRDefault="00F102A8" w:rsidP="0027376A">
      <w:r>
        <w:t>But b</w:t>
      </w:r>
      <w:r w:rsidR="00897907">
        <w:t xml:space="preserve">ecause the pass-through system imposes tax on the partners and because of the flexibility of partnership structures, it is not possible to simply require related partnerships to file combined returns. Therefore, the rules for </w:t>
      </w:r>
      <w:r w:rsidR="004446A9">
        <w:t xml:space="preserve">these related-party transactions are given some </w:t>
      </w:r>
      <w:r w:rsidR="0021708F">
        <w:t xml:space="preserve">additional attention here. </w:t>
      </w:r>
    </w:p>
    <w:p w14:paraId="4C87A39C" w14:textId="344E1179" w:rsidR="007E03DD" w:rsidRDefault="00376C53" w:rsidP="00955008">
      <w:pPr>
        <w:pStyle w:val="Heading4"/>
        <w:numPr>
          <w:ilvl w:val="0"/>
          <w:numId w:val="4"/>
        </w:numPr>
      </w:pPr>
      <w:r>
        <w:t>Recognition of built-in gain (loss) on c</w:t>
      </w:r>
      <w:r w:rsidR="004446A9">
        <w:t xml:space="preserve">ontributed property </w:t>
      </w:r>
      <w:r>
        <w:t>is deferred</w:t>
      </w:r>
      <w:r w:rsidR="007F4B88">
        <w:t xml:space="preserve">. </w:t>
      </w:r>
    </w:p>
    <w:p w14:paraId="010953E6" w14:textId="70F23278" w:rsidR="004446A9" w:rsidRDefault="007E03DD" w:rsidP="00044D5A">
      <w:pPr>
        <w:ind w:left="720"/>
      </w:pPr>
      <w:r>
        <w:t xml:space="preserve">Contributions to a partnership </w:t>
      </w:r>
      <w:r w:rsidR="00512665">
        <w:t>are generally non-recognition events—that is</w:t>
      </w:r>
      <w:r w:rsidR="004446A9">
        <w:t>,</w:t>
      </w:r>
      <w:r w:rsidR="00512665">
        <w:t xml:space="preserve"> they do not result in </w:t>
      </w:r>
      <w:r w:rsidR="00534324">
        <w:t xml:space="preserve">taxable </w:t>
      </w:r>
      <w:r w:rsidR="00512665">
        <w:t>income or loss</w:t>
      </w:r>
      <w:r w:rsidR="00A224B0">
        <w:t xml:space="preserve"> at the time of contribution</w:t>
      </w:r>
      <w:r>
        <w:t xml:space="preserve">. </w:t>
      </w:r>
      <w:r w:rsidR="00596C81">
        <w:t xml:space="preserve">This means that partners can </w:t>
      </w:r>
      <w:r w:rsidR="00534324">
        <w:t xml:space="preserve">generally </w:t>
      </w:r>
      <w:r w:rsidR="00596C81">
        <w:t>contribute property with a “built-in” gain or loss</w:t>
      </w:r>
      <w:r w:rsidR="00534324">
        <w:t xml:space="preserve">—the difference between the </w:t>
      </w:r>
      <w:r w:rsidR="004446A9">
        <w:t xml:space="preserve">property’s </w:t>
      </w:r>
      <w:r w:rsidR="00534324">
        <w:t xml:space="preserve">tax basis and </w:t>
      </w:r>
      <w:r w:rsidR="004446A9">
        <w:t xml:space="preserve">its </w:t>
      </w:r>
      <w:r w:rsidR="00534324">
        <w:t>fair market value</w:t>
      </w:r>
      <w:r w:rsidR="004446A9">
        <w:t xml:space="preserve"> at the time of contribution</w:t>
      </w:r>
      <w:r w:rsidR="00534324">
        <w:t>—</w:t>
      </w:r>
      <w:r w:rsidR="00596C81">
        <w:t xml:space="preserve">without </w:t>
      </w:r>
      <w:r w:rsidR="00534324">
        <w:t>recognizing and being taxed on that gain or loss</w:t>
      </w:r>
      <w:r w:rsidR="00376C53">
        <w:t xml:space="preserve"> until the partnership transfers t</w:t>
      </w:r>
      <w:r w:rsidR="00F102A8">
        <w:t>he</w:t>
      </w:r>
      <w:r w:rsidR="00376C53">
        <w:t xml:space="preserve"> property.</w:t>
      </w:r>
      <w:r w:rsidR="00596C81">
        <w:t xml:space="preserve"> </w:t>
      </w:r>
    </w:p>
    <w:p w14:paraId="18CB9409" w14:textId="4D4F8D81" w:rsidR="00A224B0" w:rsidRDefault="00534324" w:rsidP="00044D5A">
      <w:pPr>
        <w:ind w:left="720"/>
      </w:pPr>
      <w:r>
        <w:t>T</w:t>
      </w:r>
      <w:r w:rsidR="00162609">
        <w:t xml:space="preserve">o prevent </w:t>
      </w:r>
      <w:r w:rsidR="004446A9">
        <w:t xml:space="preserve">partnerships from being used to </w:t>
      </w:r>
      <w:r w:rsidR="00376C53">
        <w:t xml:space="preserve">effectively </w:t>
      </w:r>
      <w:r w:rsidR="004446A9">
        <w:t>sell or transfer property without recognizing gain or loss or the shifting of that gain or loss to other taxpayers</w:t>
      </w:r>
      <w:r w:rsidR="007F4B88">
        <w:t>, Subchapter K</w:t>
      </w:r>
      <w:r w:rsidR="00376C53">
        <w:t>’s rules</w:t>
      </w:r>
      <w:r w:rsidR="007F4B88">
        <w:t xml:space="preserve"> require built-in gain</w:t>
      </w:r>
      <w:r>
        <w:t>s</w:t>
      </w:r>
      <w:r w:rsidR="007F4B88">
        <w:t xml:space="preserve"> or loss</w:t>
      </w:r>
      <w:r>
        <w:t>es</w:t>
      </w:r>
      <w:r w:rsidR="007F4B88">
        <w:t xml:space="preserve"> to be recognized</w:t>
      </w:r>
      <w:r>
        <w:t xml:space="preserve"> and/or</w:t>
      </w:r>
      <w:r w:rsidR="007F4B88">
        <w:t xml:space="preserve"> allocated back to the contributing partner </w:t>
      </w:r>
      <w:r>
        <w:t>in certain circumstances</w:t>
      </w:r>
      <w:r w:rsidR="007F4B88">
        <w:t xml:space="preserve">. See IRC § 704(c) and IRS Reg. § 1.707-3(b)(1). </w:t>
      </w:r>
    </w:p>
    <w:p w14:paraId="2D6181A1" w14:textId="232CFAD6" w:rsidR="00044D5A" w:rsidRDefault="00F459D2" w:rsidP="00F102A8">
      <w:pPr>
        <w:spacing w:after="120"/>
        <w:ind w:left="720"/>
      </w:pPr>
      <w:r>
        <w:t>Th</w:t>
      </w:r>
      <w:r w:rsidR="00534324">
        <w:t xml:space="preserve">e </w:t>
      </w:r>
      <w:r w:rsidR="004446A9">
        <w:t xml:space="preserve">general </w:t>
      </w:r>
      <w:r w:rsidR="00534324">
        <w:t xml:space="preserve">deferral of </w:t>
      </w:r>
      <w:r w:rsidR="00376C53">
        <w:t>the</w:t>
      </w:r>
      <w:r w:rsidR="004446A9">
        <w:t xml:space="preserve"> built-in gain (loss) </w:t>
      </w:r>
      <w:r>
        <w:t xml:space="preserve">may have implications for state tax sourcing. </w:t>
      </w:r>
      <w:r w:rsidR="00044D5A">
        <w:t>For example, assume</w:t>
      </w:r>
      <w:r w:rsidR="00E3031D">
        <w:t xml:space="preserve"> State A has an income tax and State B does not. </w:t>
      </w:r>
    </w:p>
    <w:p w14:paraId="693AF7DC" w14:textId="77777777" w:rsidR="00E3031D" w:rsidRDefault="00A224B0" w:rsidP="00E10036">
      <w:pPr>
        <w:pStyle w:val="ListParagraph"/>
        <w:numPr>
          <w:ilvl w:val="0"/>
          <w:numId w:val="19"/>
        </w:numPr>
        <w:spacing w:after="60"/>
        <w:ind w:right="720"/>
        <w:contextualSpacing w:val="0"/>
      </w:pPr>
      <w:r>
        <w:t>Smith</w:t>
      </w:r>
      <w:r w:rsidR="00E3031D">
        <w:t xml:space="preserve"> is a resident of State B</w:t>
      </w:r>
    </w:p>
    <w:p w14:paraId="4A6ECB78" w14:textId="22F3C5CD" w:rsidR="00534324" w:rsidRDefault="00E3031D" w:rsidP="00E10036">
      <w:pPr>
        <w:pStyle w:val="ListParagraph"/>
        <w:numPr>
          <w:ilvl w:val="0"/>
          <w:numId w:val="19"/>
        </w:numPr>
        <w:spacing w:after="60"/>
        <w:ind w:right="720"/>
        <w:contextualSpacing w:val="0"/>
      </w:pPr>
      <w:r>
        <w:t xml:space="preserve">Smith </w:t>
      </w:r>
      <w:r w:rsidR="00A224B0">
        <w:t>owns property located in State A</w:t>
      </w:r>
      <w:r>
        <w:t xml:space="preserve"> that</w:t>
      </w:r>
      <w:r w:rsidR="00534324">
        <w:t xml:space="preserve"> has a tax basis of $0 and a fair market value (FMV) of $100,000. </w:t>
      </w:r>
    </w:p>
    <w:p w14:paraId="7FB0F9B4" w14:textId="42A14E1D" w:rsidR="00044D5A" w:rsidRDefault="00F102A8" w:rsidP="00E10036">
      <w:pPr>
        <w:pStyle w:val="ListParagraph"/>
        <w:numPr>
          <w:ilvl w:val="0"/>
          <w:numId w:val="19"/>
        </w:numPr>
        <w:spacing w:after="60"/>
        <w:ind w:right="720"/>
        <w:contextualSpacing w:val="0"/>
      </w:pPr>
      <w:r>
        <w:t xml:space="preserve">Year 1 – </w:t>
      </w:r>
      <w:r w:rsidR="008039D3">
        <w:t xml:space="preserve"> </w:t>
      </w:r>
      <w:r w:rsidR="00044D5A">
        <w:t>Smith contributes and delivers the property to Partnership, operating in State B.</w:t>
      </w:r>
    </w:p>
    <w:p w14:paraId="0A0AE6A6" w14:textId="6090C98E" w:rsidR="00534324" w:rsidRDefault="008039D3" w:rsidP="00E10036">
      <w:pPr>
        <w:pStyle w:val="ListParagraph"/>
        <w:numPr>
          <w:ilvl w:val="0"/>
          <w:numId w:val="19"/>
        </w:numPr>
        <w:ind w:right="720"/>
      </w:pPr>
      <w:r>
        <w:t>Year 3</w:t>
      </w:r>
      <w:r w:rsidR="00F102A8">
        <w:t xml:space="preserve"> – </w:t>
      </w:r>
      <w:r w:rsidR="00534324">
        <w:t xml:space="preserve">Partnership </w:t>
      </w:r>
      <w:r w:rsidR="00E3031D">
        <w:t>sells</w:t>
      </w:r>
      <w:r w:rsidR="00534324">
        <w:t xml:space="preserve"> the property recognizing a </w:t>
      </w:r>
      <w:r w:rsidR="004446A9">
        <w:t xml:space="preserve">total </w:t>
      </w:r>
      <w:r w:rsidR="00534324">
        <w:t>$120,000 gain.</w:t>
      </w:r>
    </w:p>
    <w:p w14:paraId="34C5EEDB" w14:textId="705921F0" w:rsidR="008039D3" w:rsidRDefault="00F102A8" w:rsidP="00044D5A">
      <w:pPr>
        <w:ind w:left="720" w:right="720"/>
      </w:pPr>
      <w:r>
        <w:t xml:space="preserve">In Year 1, </w:t>
      </w:r>
      <w:r w:rsidR="00A224B0">
        <w:t>Smith is not required to recognize any gain. However,</w:t>
      </w:r>
      <w:r w:rsidR="008039D3">
        <w:t xml:space="preserve"> </w:t>
      </w:r>
      <w:r>
        <w:t xml:space="preserve">in Year 3, </w:t>
      </w:r>
      <w:r w:rsidR="008039D3">
        <w:t xml:space="preserve">Smith will be allocated the </w:t>
      </w:r>
      <w:r>
        <w:t xml:space="preserve">$100,000 </w:t>
      </w:r>
      <w:r w:rsidR="008039D3">
        <w:t xml:space="preserve">built-in gain as part of his distributive share (regardless of any agreement between the partners </w:t>
      </w:r>
      <w:r>
        <w:t>to the contrary</w:t>
      </w:r>
      <w:r w:rsidR="004446A9">
        <w:t>).</w:t>
      </w:r>
      <w:r>
        <w:t xml:space="preserve"> </w:t>
      </w:r>
      <w:r w:rsidR="008039D3">
        <w:t xml:space="preserve">See IRC </w:t>
      </w:r>
      <w:r w:rsidR="004446A9">
        <w:t xml:space="preserve">§ </w:t>
      </w:r>
      <w:r w:rsidR="008039D3">
        <w:t>704(c)(1)(B).</w:t>
      </w:r>
      <w:r w:rsidR="00A224B0">
        <w:t xml:space="preserve"> </w:t>
      </w:r>
    </w:p>
    <w:p w14:paraId="3E875F3B" w14:textId="5D33C4EF" w:rsidR="009004A8" w:rsidRDefault="00E3031D" w:rsidP="00044D5A">
      <w:pPr>
        <w:ind w:left="720" w:right="720"/>
      </w:pPr>
      <w:r>
        <w:t>But note—i</w:t>
      </w:r>
      <w:r w:rsidR="008039D3">
        <w:t xml:space="preserve">f Partnership sources this gain as part of its income and then attributes that source to the </w:t>
      </w:r>
      <w:r>
        <w:t xml:space="preserve">its </w:t>
      </w:r>
      <w:r w:rsidR="008039D3">
        <w:t>partners, along with their shares, Smith’s built-in gain, will be sourced to State B. But assume,</w:t>
      </w:r>
      <w:r w:rsidR="00A224B0">
        <w:t xml:space="preserve"> </w:t>
      </w:r>
      <w:r w:rsidR="008039D3">
        <w:t xml:space="preserve">instead, that </w:t>
      </w:r>
      <w:r w:rsidR="00A224B0">
        <w:t xml:space="preserve">Smith </w:t>
      </w:r>
      <w:r w:rsidR="008039D3">
        <w:t xml:space="preserve">had simply </w:t>
      </w:r>
      <w:r w:rsidR="00A224B0">
        <w:t>sold the property and contributed the proceeds</w:t>
      </w:r>
      <w:r w:rsidR="008039D3">
        <w:t>.</w:t>
      </w:r>
      <w:r w:rsidR="00A224B0">
        <w:t xml:space="preserve"> </w:t>
      </w:r>
      <w:r w:rsidR="008039D3">
        <w:t>N</w:t>
      </w:r>
      <w:r w:rsidR="00A224B0">
        <w:t xml:space="preserve">ot only would the gain have been recognized </w:t>
      </w:r>
      <w:r w:rsidR="008039D3">
        <w:t xml:space="preserve">at the time of contribution, </w:t>
      </w:r>
      <w:r w:rsidR="00A224B0">
        <w:t xml:space="preserve">but it would </w:t>
      </w:r>
      <w:r>
        <w:t>presumably</w:t>
      </w:r>
      <w:r w:rsidR="008039D3">
        <w:t xml:space="preserve"> </w:t>
      </w:r>
      <w:r w:rsidR="00A224B0">
        <w:t xml:space="preserve">have been sourced to State A. </w:t>
      </w:r>
    </w:p>
    <w:p w14:paraId="26FCC35A" w14:textId="611E3E5B" w:rsidR="00044D5A" w:rsidRPr="004446A9" w:rsidRDefault="00044D5A"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bookmarkStart w:id="44" w:name="_Hlk194153869"/>
      <w:r w:rsidRPr="004446A9">
        <w:rPr>
          <w:b/>
          <w:bCs/>
        </w:rPr>
        <w:t xml:space="preserve">STATE TAX IMPLICATIONS: States should consider whether the treatment of built-in gain (loss) under Subchapter K will </w:t>
      </w:r>
      <w:r w:rsidR="004446A9">
        <w:rPr>
          <w:b/>
          <w:bCs/>
        </w:rPr>
        <w:t xml:space="preserve">necessarily </w:t>
      </w:r>
      <w:r w:rsidRPr="004446A9">
        <w:rPr>
          <w:b/>
          <w:bCs/>
        </w:rPr>
        <w:t xml:space="preserve">dictate the sourcing of that gain (loss) once recognized or whether that gain (loss) </w:t>
      </w:r>
      <w:r w:rsidR="008039D3" w:rsidRPr="004446A9">
        <w:rPr>
          <w:b/>
          <w:bCs/>
        </w:rPr>
        <w:t>may, instead,</w:t>
      </w:r>
      <w:r w:rsidRPr="004446A9">
        <w:rPr>
          <w:b/>
          <w:bCs/>
        </w:rPr>
        <w:t xml:space="preserve"> be sourced to where it would have been sourced at the time of the contribution—had it been recognized at that time. </w:t>
      </w:r>
      <w:r w:rsidR="00B96BD3" w:rsidRPr="004446A9">
        <w:rPr>
          <w:b/>
          <w:bCs/>
        </w:rPr>
        <w:t>States</w:t>
      </w:r>
      <w:r w:rsidR="004446A9">
        <w:rPr>
          <w:b/>
          <w:bCs/>
        </w:rPr>
        <w:t xml:space="preserve"> may </w:t>
      </w:r>
      <w:r w:rsidR="00B96BD3" w:rsidRPr="004446A9">
        <w:rPr>
          <w:b/>
          <w:bCs/>
        </w:rPr>
        <w:t xml:space="preserve">also consider whether to address this </w:t>
      </w:r>
      <w:r w:rsidR="004446A9">
        <w:rPr>
          <w:b/>
          <w:bCs/>
        </w:rPr>
        <w:t xml:space="preserve">issue </w:t>
      </w:r>
      <w:r w:rsidR="00B96BD3" w:rsidRPr="004446A9">
        <w:rPr>
          <w:b/>
          <w:bCs/>
        </w:rPr>
        <w:t>with a definitive rule or with some type of anti-abuse rule applicable only when there are indications that the contribution was done to avoid tax.</w:t>
      </w:r>
    </w:p>
    <w:bookmarkEnd w:id="44"/>
    <w:p w14:paraId="0A9BCE37" w14:textId="06A78581" w:rsidR="009004A8" w:rsidRDefault="00E3031D" w:rsidP="00955008">
      <w:pPr>
        <w:pStyle w:val="Heading4"/>
        <w:numPr>
          <w:ilvl w:val="0"/>
          <w:numId w:val="4"/>
        </w:numPr>
      </w:pPr>
      <w:r>
        <w:lastRenderedPageBreak/>
        <w:t>Recognition</w:t>
      </w:r>
      <w:r w:rsidR="00376C53">
        <w:t xml:space="preserve"> of built-in gain (loss) on </w:t>
      </w:r>
      <w:r>
        <w:t>distributed</w:t>
      </w:r>
      <w:r w:rsidR="00044D5A">
        <w:t xml:space="preserve"> property </w:t>
      </w:r>
      <w:r w:rsidR="00376C53">
        <w:t>is generally deferred</w:t>
      </w:r>
      <w:r w:rsidR="002320E0">
        <w:t xml:space="preserve">.  </w:t>
      </w:r>
      <w:r w:rsidR="00044D5A">
        <w:t xml:space="preserve"> </w:t>
      </w:r>
    </w:p>
    <w:p w14:paraId="026DA86A" w14:textId="4E0E4DE7" w:rsidR="00C8690B" w:rsidRDefault="00F459D2" w:rsidP="00567102">
      <w:pPr>
        <w:ind w:left="720"/>
      </w:pPr>
      <w:r>
        <w:t xml:space="preserve">Partnerships do not recognize gain (loss) on distributions. IRC § 731. A partner may recognize gains and, sometimes, losses (in the case of liquidating distributions)—but only in limited circumstances. </w:t>
      </w:r>
      <w:r w:rsidR="00376C53">
        <w:t>So, with some exceptions</w:t>
      </w:r>
      <w:r w:rsidR="000952DC">
        <w:t>,</w:t>
      </w:r>
      <w:r>
        <w:t xml:space="preserve"> </w:t>
      </w:r>
      <w:r w:rsidR="00C8690B">
        <w:t>if a partnership distributes property with a built-in gain (loss)—where the partnership’s basis in the property is different from the property’s fair market value—</w:t>
      </w:r>
      <w:r w:rsidR="000952DC">
        <w:t xml:space="preserve">the </w:t>
      </w:r>
      <w:r>
        <w:t>partner</w:t>
      </w:r>
      <w:r w:rsidR="00B96BD3">
        <w:t xml:space="preserve"> simply</w:t>
      </w:r>
      <w:r>
        <w:t xml:space="preserve"> take</w:t>
      </w:r>
      <w:r w:rsidR="000952DC">
        <w:t>s</w:t>
      </w:r>
      <w:r>
        <w:t xml:space="preserve"> </w:t>
      </w:r>
      <w:r w:rsidR="00C8690B">
        <w:t>the partnership’s</w:t>
      </w:r>
      <w:r>
        <w:t xml:space="preserve"> carryover basis</w:t>
      </w:r>
      <w:r w:rsidR="00C8690B">
        <w:t xml:space="preserve">, deferring any recognition </w:t>
      </w:r>
      <w:r w:rsidR="000952DC">
        <w:t xml:space="preserve">of gain or loss </w:t>
      </w:r>
      <w:r w:rsidR="00C8690B">
        <w:t xml:space="preserve">until the partner later transfers the property. </w:t>
      </w:r>
      <w:r>
        <w:t xml:space="preserve">IRC § 732. </w:t>
      </w:r>
    </w:p>
    <w:p w14:paraId="0D8610B0" w14:textId="30F43987" w:rsidR="00C8690B" w:rsidRDefault="00C8690B" w:rsidP="00567102">
      <w:pPr>
        <w:ind w:left="720"/>
      </w:pPr>
      <w:r>
        <w:t>As with the treatment of built-in gain (loss) on contributed property</w:t>
      </w:r>
      <w:r w:rsidR="00B96BD3">
        <w:t xml:space="preserve"> (above)</w:t>
      </w:r>
      <w:r>
        <w:t>, the</w:t>
      </w:r>
      <w:r w:rsidR="00376C53">
        <w:t xml:space="preserve"> deferral of recognition of</w:t>
      </w:r>
      <w:r>
        <w:t xml:space="preserve"> built-in gain (loss) on distributed property can raise state sourcing issues—</w:t>
      </w:r>
      <w:r w:rsidR="00B96BD3">
        <w:t>for example,</w:t>
      </w:r>
      <w:r>
        <w:t xml:space="preserve"> where the gain or loss accrued while the partnership used the property in one state, but the distributee-partner receives and then sells the property in another state.</w:t>
      </w:r>
    </w:p>
    <w:p w14:paraId="6F41BCB0" w14:textId="3D99903A" w:rsidR="00C8690B" w:rsidRPr="00376C53" w:rsidRDefault="00C8690B"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t xml:space="preserve"> </w:t>
      </w:r>
      <w:r w:rsidRPr="00376C53">
        <w:rPr>
          <w:b/>
          <w:bCs/>
        </w:rPr>
        <w:t xml:space="preserve">STATE TAX IMPLICATIONS: As with built-in gain (loss) on contributed property, states should consider whether the treatment of built-in gain (loss) on distributed property should dictate the sourcing of that gain (loss) once recognized or whether that gain (loss) </w:t>
      </w:r>
      <w:r w:rsidR="00B96BD3" w:rsidRPr="00376C53">
        <w:rPr>
          <w:b/>
          <w:bCs/>
        </w:rPr>
        <w:t>may, instead,</w:t>
      </w:r>
      <w:r w:rsidRPr="00376C53">
        <w:rPr>
          <w:b/>
          <w:bCs/>
        </w:rPr>
        <w:t xml:space="preserve"> be sourced to where it would have been sourced at the time of the distribution—had it been recognized at that time. </w:t>
      </w:r>
      <w:r w:rsidR="002320E0" w:rsidRPr="00376C53">
        <w:rPr>
          <w:b/>
          <w:bCs/>
        </w:rPr>
        <w:t>States should also consider whether to address this with a definitive rule for all such situations or with some type of anti-abuse rule applicable only when there are indications that the contribution was done to avoid tax.</w:t>
      </w:r>
    </w:p>
    <w:p w14:paraId="5EECC9F3" w14:textId="3D3B04B1" w:rsidR="00E51C1F" w:rsidRDefault="00596C81" w:rsidP="00955008">
      <w:pPr>
        <w:pStyle w:val="Heading4"/>
        <w:numPr>
          <w:ilvl w:val="0"/>
          <w:numId w:val="4"/>
        </w:numPr>
      </w:pPr>
      <w:r>
        <w:t xml:space="preserve">Partners </w:t>
      </w:r>
      <w:r w:rsidR="00C8690B">
        <w:t>may receive guaranteed payments when acting in the capacity of partners.</w:t>
      </w:r>
    </w:p>
    <w:p w14:paraId="5BD325D3" w14:textId="1995ED35" w:rsidR="00B96BD3" w:rsidRDefault="00830EF0" w:rsidP="00567102">
      <w:pPr>
        <w:ind w:left="720"/>
      </w:pPr>
      <w:r>
        <w:t xml:space="preserve">Under </w:t>
      </w:r>
      <w:r w:rsidR="00254070">
        <w:t>IRC § 707(c), partners may receive so-called “guaranteed payments” for services or for the use of capital</w:t>
      </w:r>
      <w:r w:rsidR="001A787B">
        <w:t xml:space="preserve"> where the partner is acting in the capacity of a partner</w:t>
      </w:r>
      <w:r w:rsidR="00254070">
        <w:t xml:space="preserve">. </w:t>
      </w:r>
      <w:r w:rsidR="001A787B">
        <w:t xml:space="preserve">Guaranteed payments are those payments that </w:t>
      </w:r>
      <w:r w:rsidR="00376C53">
        <w:t xml:space="preserve">are </w:t>
      </w:r>
      <w:r w:rsidR="001A787B">
        <w:t xml:space="preserve">determined without regard to the income of the partnership—that is—they do not represent a </w:t>
      </w:r>
      <w:r w:rsidR="00376C53">
        <w:t xml:space="preserve">distributive </w:t>
      </w:r>
      <w:r w:rsidR="001A787B">
        <w:t>share of that partnership income or items.</w:t>
      </w:r>
      <w:r w:rsidR="00512665">
        <w:t xml:space="preserve"> </w:t>
      </w:r>
    </w:p>
    <w:p w14:paraId="3F3E97A5" w14:textId="77777777" w:rsidR="003B0B95" w:rsidRDefault="003B0B95" w:rsidP="00567102">
      <w:pPr>
        <w:ind w:left="720"/>
      </w:pPr>
      <w:r>
        <w:t>Guaranteed</w:t>
      </w:r>
      <w:r w:rsidR="00254070">
        <w:t xml:space="preserve"> payments are subject to a type of “hybrid” treatment. They are treated as payments to unrelated parties for purposes of computing partnership income and the distributive shares of that income</w:t>
      </w:r>
      <w:r w:rsidR="001A787B">
        <w:t xml:space="preserve"> to the partners</w:t>
      </w:r>
      <w:r w:rsidR="00254070">
        <w:t xml:space="preserve">. </w:t>
      </w:r>
      <w:r w:rsidR="001A787B">
        <w:t xml:space="preserve">For the partner receiving the guaranteed payment, they are treated as ordinary income. </w:t>
      </w:r>
      <w:r w:rsidR="00A13CBD">
        <w:t>But in other respects, they are treated as distributive share and t</w:t>
      </w:r>
      <w:r w:rsidR="001A787B">
        <w:t>hese payments are reported separately on the IRS Form 1065, Schedule K-1.</w:t>
      </w:r>
      <w:r w:rsidR="00D26105" w:rsidRPr="00D26105">
        <w:t xml:space="preserve"> </w:t>
      </w:r>
    </w:p>
    <w:p w14:paraId="5735801D" w14:textId="1EB7A8A7" w:rsidR="00764C40" w:rsidRDefault="003B0B95" w:rsidP="00567102">
      <w:pPr>
        <w:ind w:left="720"/>
      </w:pPr>
      <w:r>
        <w:t xml:space="preserve">Guaranteed payments may raise state sourcing questions. </w:t>
      </w:r>
      <w:r w:rsidR="00D26105">
        <w:t xml:space="preserve">The sourcing of guaranteed payments to individual partners for services is addressed in a separate white paper that can be found on the MTC project webpage – </w:t>
      </w:r>
      <w:hyperlink r:id="rId25" w:history="1">
        <w:r w:rsidR="00D26105" w:rsidRPr="00D26105">
          <w:rPr>
            <w:rStyle w:val="Hyperlink"/>
          </w:rPr>
          <w:t>HERE</w:t>
        </w:r>
      </w:hyperlink>
      <w:r w:rsidR="00D26105" w:rsidRPr="00D26105">
        <w:t>.</w:t>
      </w:r>
      <w:r w:rsidR="00D26105">
        <w:t xml:space="preserve"> </w:t>
      </w:r>
      <w:r>
        <w:t>But w</w:t>
      </w:r>
      <w:r w:rsidR="00D26105">
        <w:t>he</w:t>
      </w:r>
      <w:r>
        <w:t>n</w:t>
      </w:r>
      <w:r w:rsidR="00764C40">
        <w:t xml:space="preserve"> these payments are made to corporate partners, the question is whether </w:t>
      </w:r>
      <w:r w:rsidR="00B96BD3">
        <w:t>they should be</w:t>
      </w:r>
      <w:r w:rsidR="00764C40">
        <w:t xml:space="preserve"> included, in whole or in part, in the </w:t>
      </w:r>
      <w:r w:rsidR="00D26105">
        <w:t>receipts</w:t>
      </w:r>
      <w:r w:rsidR="00764C40">
        <w:t xml:space="preserve"> factor</w:t>
      </w:r>
      <w:r w:rsidR="00D26105">
        <w:t xml:space="preserve"> for the partnership or the partner</w:t>
      </w:r>
      <w:r w:rsidR="00121870">
        <w:t xml:space="preserve"> (separately or </w:t>
      </w:r>
      <w:r w:rsidR="00D26105">
        <w:t xml:space="preserve">on a </w:t>
      </w:r>
      <w:r w:rsidR="00764C40">
        <w:t xml:space="preserve">blended basis). </w:t>
      </w:r>
      <w:r w:rsidR="00D26105">
        <w:t xml:space="preserve">In the corporate tax context, when income is combined, intercompany transactions are effectively eliminated from both the apportionable income and from the </w:t>
      </w:r>
      <w:r w:rsidR="006171B3">
        <w:t xml:space="preserve">combined </w:t>
      </w:r>
      <w:r w:rsidR="00D26105">
        <w:t>factor.</w:t>
      </w:r>
      <w:r w:rsidR="00121870">
        <w:t xml:space="preserve"> </w:t>
      </w:r>
      <w:r>
        <w:t>But where the payments are between the partner and the partnership—there is no way to effectively eliminate them</w:t>
      </w:r>
      <w:r w:rsidR="00DC70E0">
        <w:t xml:space="preserve"> simply</w:t>
      </w:r>
      <w:r>
        <w:t xml:space="preserve"> through some type of </w:t>
      </w:r>
      <w:r w:rsidR="006171B3">
        <w:t xml:space="preserve">entity level </w:t>
      </w:r>
      <w:r>
        <w:t>combined filing.</w:t>
      </w:r>
    </w:p>
    <w:p w14:paraId="6BC37AF8" w14:textId="5F0CAAC5" w:rsidR="00764C40" w:rsidRPr="00376C53" w:rsidRDefault="00764C40"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376C53">
        <w:rPr>
          <w:b/>
          <w:bCs/>
        </w:rPr>
        <w:t xml:space="preserve">STATE TAX IMPLICATIONS: </w:t>
      </w:r>
      <w:bookmarkStart w:id="45" w:name="_Hlk194315331"/>
      <w:r w:rsidRPr="00376C53">
        <w:rPr>
          <w:b/>
          <w:bCs/>
        </w:rPr>
        <w:t xml:space="preserve">Because states typically use </w:t>
      </w:r>
      <w:r w:rsidR="00AD2B28">
        <w:rPr>
          <w:b/>
          <w:bCs/>
        </w:rPr>
        <w:t xml:space="preserve">formulary </w:t>
      </w:r>
      <w:r w:rsidRPr="00376C53">
        <w:rPr>
          <w:b/>
          <w:bCs/>
        </w:rPr>
        <w:t xml:space="preserve">apportionment to source business income and </w:t>
      </w:r>
      <w:r w:rsidR="00AD2B28">
        <w:rPr>
          <w:b/>
          <w:bCs/>
        </w:rPr>
        <w:t xml:space="preserve">since </w:t>
      </w:r>
      <w:r w:rsidRPr="00376C53">
        <w:rPr>
          <w:b/>
          <w:bCs/>
        </w:rPr>
        <w:t>the apportionment formula includes receipts from services</w:t>
      </w:r>
      <w:r w:rsidR="00121870">
        <w:rPr>
          <w:b/>
          <w:bCs/>
        </w:rPr>
        <w:t xml:space="preserve"> in the receipts factor</w:t>
      </w:r>
      <w:r w:rsidRPr="00376C53">
        <w:rPr>
          <w:b/>
          <w:bCs/>
        </w:rPr>
        <w:t xml:space="preserve">, this raises the question of how guaranteed payments </w:t>
      </w:r>
      <w:r w:rsidR="003B0B95">
        <w:rPr>
          <w:b/>
          <w:bCs/>
        </w:rPr>
        <w:t xml:space="preserve">made to corporate partners </w:t>
      </w:r>
      <w:r w:rsidRPr="00376C53">
        <w:rPr>
          <w:b/>
          <w:bCs/>
        </w:rPr>
        <w:t>should be treated</w:t>
      </w:r>
      <w:r w:rsidR="000952DC" w:rsidRPr="00376C53">
        <w:rPr>
          <w:b/>
          <w:bCs/>
        </w:rPr>
        <w:t xml:space="preserve"> when computing </w:t>
      </w:r>
      <w:r w:rsidR="00121870">
        <w:rPr>
          <w:b/>
          <w:bCs/>
        </w:rPr>
        <w:t>that factor—including when the blended apportionment method is used</w:t>
      </w:r>
      <w:r w:rsidR="003B0B95">
        <w:rPr>
          <w:b/>
          <w:bCs/>
        </w:rPr>
        <w:t>, and whether these payments might, in some cases, distort the receipts factor.</w:t>
      </w:r>
      <w:r w:rsidR="00121870">
        <w:rPr>
          <w:b/>
          <w:bCs/>
        </w:rPr>
        <w:t xml:space="preserve"> </w:t>
      </w:r>
      <w:r w:rsidRPr="00376C53">
        <w:rPr>
          <w:b/>
          <w:bCs/>
        </w:rPr>
        <w:t xml:space="preserve">See also the following summary of partner-partnership transactions and their implications. </w:t>
      </w:r>
    </w:p>
    <w:bookmarkEnd w:id="45"/>
    <w:p w14:paraId="58E10DA5" w14:textId="1B970FD6" w:rsidR="00830EF0" w:rsidRDefault="00830EF0" w:rsidP="00955008">
      <w:pPr>
        <w:pStyle w:val="Heading4"/>
        <w:numPr>
          <w:ilvl w:val="0"/>
          <w:numId w:val="4"/>
        </w:numPr>
      </w:pPr>
      <w:r>
        <w:lastRenderedPageBreak/>
        <w:t xml:space="preserve">Partners </w:t>
      </w:r>
      <w:r w:rsidR="00764C40">
        <w:t xml:space="preserve">may </w:t>
      </w:r>
      <w:r w:rsidR="000952DC">
        <w:t>engage in</w:t>
      </w:r>
      <w:r w:rsidR="00764C40">
        <w:t xml:space="preserve"> transactions with partnerships as unrelated parties. </w:t>
      </w:r>
    </w:p>
    <w:p w14:paraId="4C250C99" w14:textId="5E20C70F" w:rsidR="00830EF0" w:rsidRDefault="00830EF0" w:rsidP="00567102">
      <w:pPr>
        <w:ind w:left="720"/>
      </w:pPr>
      <w:r>
        <w:t>Under</w:t>
      </w:r>
      <w:r w:rsidR="001A787B">
        <w:t xml:space="preserve"> IRC §707(a), partners may also receive payments from transactions with partnerships where the partner is not acting in the capacity of a partner. For example, a partner might be </w:t>
      </w:r>
      <w:proofErr w:type="gramStart"/>
      <w:r w:rsidR="001A787B">
        <w:t>a</w:t>
      </w:r>
      <w:proofErr w:type="gramEnd"/>
      <w:r w:rsidR="001A787B">
        <w:t xml:space="preserve"> engaged in </w:t>
      </w:r>
      <w:r w:rsidR="000952DC">
        <w:t xml:space="preserve">a business </w:t>
      </w:r>
      <w:r w:rsidR="00121870">
        <w:t>that sells</w:t>
      </w:r>
      <w:r w:rsidR="001A787B">
        <w:t xml:space="preserve"> </w:t>
      </w:r>
      <w:r w:rsidR="00512665">
        <w:t xml:space="preserve">goods or services. That partner may </w:t>
      </w:r>
      <w:r w:rsidR="001A787B">
        <w:t xml:space="preserve">provide </w:t>
      </w:r>
      <w:r w:rsidR="00F90E31">
        <w:t xml:space="preserve">those </w:t>
      </w:r>
      <w:r w:rsidR="001A787B">
        <w:t xml:space="preserve">goods or services to the partnership in exchange for payment in the same way </w:t>
      </w:r>
      <w:r w:rsidR="000952DC">
        <w:t>as to</w:t>
      </w:r>
      <w:r w:rsidR="001A787B">
        <w:t xml:space="preserve"> an unrelated person. In this case, the transaction</w:t>
      </w:r>
      <w:r w:rsidR="000952DC">
        <w:t>s</w:t>
      </w:r>
      <w:r w:rsidR="001A787B">
        <w:t xml:space="preserve"> </w:t>
      </w:r>
      <w:r w:rsidR="000952DC">
        <w:t>would be</w:t>
      </w:r>
      <w:r w:rsidR="001A787B">
        <w:t xml:space="preserve"> treated as transaction</w:t>
      </w:r>
      <w:r w:rsidR="000952DC">
        <w:t>s</w:t>
      </w:r>
      <w:r w:rsidR="001A787B">
        <w:t xml:space="preserve"> between unrelated parties</w:t>
      </w:r>
      <w:r w:rsidR="009D0412">
        <w:t>.</w:t>
      </w:r>
    </w:p>
    <w:p w14:paraId="616BF759" w14:textId="6DDAB849" w:rsidR="00121870" w:rsidRDefault="00121870" w:rsidP="00121870">
      <w:pPr>
        <w:ind w:left="720"/>
      </w:pPr>
      <w:r>
        <w:t xml:space="preserve">As with guaranteed payments, when these kinds of transactions and payments are made between partnerships and corporate partners, the question is whether they should be included, in whole or in part, in the receipts factor for the partnership or the partner (separately or on a blended basis). </w:t>
      </w:r>
    </w:p>
    <w:p w14:paraId="20DE2A1A" w14:textId="6BB8656B" w:rsidR="000952DC" w:rsidRPr="00121870" w:rsidRDefault="000952DC"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121870">
        <w:rPr>
          <w:b/>
          <w:bCs/>
        </w:rPr>
        <w:t xml:space="preserve">STATE TAX IMPLICATIONS: As with guaranteed payments (above), since states typically use </w:t>
      </w:r>
      <w:r w:rsidR="00AD2B28">
        <w:rPr>
          <w:b/>
          <w:bCs/>
        </w:rPr>
        <w:t xml:space="preserve">formulary </w:t>
      </w:r>
      <w:r w:rsidRPr="00121870">
        <w:rPr>
          <w:b/>
          <w:bCs/>
        </w:rPr>
        <w:t xml:space="preserve">apportionment to source business income and </w:t>
      </w:r>
      <w:r w:rsidR="00AD2B28">
        <w:rPr>
          <w:b/>
          <w:bCs/>
        </w:rPr>
        <w:t xml:space="preserve">since </w:t>
      </w:r>
      <w:r w:rsidRPr="00121870">
        <w:rPr>
          <w:b/>
          <w:bCs/>
        </w:rPr>
        <w:t xml:space="preserve">the apportionment formula includes receipts from sales of property or services, this raises the question of how </w:t>
      </w:r>
      <w:r w:rsidR="00735BFD">
        <w:rPr>
          <w:b/>
          <w:bCs/>
        </w:rPr>
        <w:t>IRC</w:t>
      </w:r>
      <w:r w:rsidR="005955AC">
        <w:rPr>
          <w:b/>
          <w:bCs/>
        </w:rPr>
        <w:t xml:space="preserve"> </w:t>
      </w:r>
      <w:r w:rsidR="005955AC" w:rsidRPr="0031303D">
        <w:rPr>
          <w:b/>
          <w:bCs/>
        </w:rPr>
        <w:t>§707(a) transactions</w:t>
      </w:r>
      <w:r w:rsidRPr="0031303D">
        <w:rPr>
          <w:b/>
          <w:bCs/>
        </w:rPr>
        <w:t xml:space="preserve"> </w:t>
      </w:r>
      <w:r w:rsidRPr="00121870">
        <w:rPr>
          <w:b/>
          <w:bCs/>
        </w:rPr>
        <w:t xml:space="preserve">should be treated </w:t>
      </w:r>
      <w:r w:rsidR="003B0B95" w:rsidRPr="00376C53">
        <w:rPr>
          <w:b/>
          <w:bCs/>
        </w:rPr>
        <w:t xml:space="preserve">when computing </w:t>
      </w:r>
      <w:r w:rsidR="003B0B95">
        <w:rPr>
          <w:b/>
          <w:bCs/>
        </w:rPr>
        <w:t>that factor—including when the blended apportionment method is used, and whether these payments might, in some cases, distort the receipts factor.</w:t>
      </w:r>
    </w:p>
    <w:p w14:paraId="7E019BE8" w14:textId="6FEF9C0D" w:rsidR="00830EF0" w:rsidRPr="00830EF0" w:rsidRDefault="003B0B95" w:rsidP="00B37297">
      <w:pPr>
        <w:pStyle w:val="Heading4"/>
        <w:numPr>
          <w:ilvl w:val="0"/>
          <w:numId w:val="4"/>
        </w:numPr>
        <w:spacing w:before="360"/>
      </w:pPr>
      <w:r>
        <w:t xml:space="preserve">Partnerships can </w:t>
      </w:r>
      <w:r w:rsidR="00AD2B28">
        <w:t xml:space="preserve">also </w:t>
      </w:r>
      <w:r>
        <w:t xml:space="preserve">engage in transactions </w:t>
      </w:r>
      <w:r w:rsidR="008B7D69">
        <w:t>with other</w:t>
      </w:r>
      <w:r w:rsidR="00510CDD">
        <w:t xml:space="preserve"> </w:t>
      </w:r>
      <w:r w:rsidR="008B7D69">
        <w:t xml:space="preserve">indirectly </w:t>
      </w:r>
      <w:r w:rsidR="00510CDD">
        <w:t>related</w:t>
      </w:r>
      <w:r w:rsidR="008B7D69">
        <w:t xml:space="preserve"> entities</w:t>
      </w:r>
      <w:r>
        <w:t xml:space="preserve">. </w:t>
      </w:r>
    </w:p>
    <w:p w14:paraId="2CD35C48" w14:textId="2D030306" w:rsidR="003B0B95" w:rsidRDefault="00B37297" w:rsidP="00D35710">
      <w:pPr>
        <w:ind w:left="720"/>
      </w:pPr>
      <w:r>
        <w:rPr>
          <w:noProof/>
        </w:rPr>
        <w:drawing>
          <wp:anchor distT="0" distB="0" distL="114300" distR="114300" simplePos="0" relativeHeight="251666944" behindDoc="0" locked="0" layoutInCell="1" allowOverlap="1" wp14:anchorId="27F9C335" wp14:editId="7D3AE164">
            <wp:simplePos x="0" y="0"/>
            <wp:positionH relativeFrom="column">
              <wp:posOffset>2719070</wp:posOffset>
            </wp:positionH>
            <wp:positionV relativeFrom="paragraph">
              <wp:posOffset>98425</wp:posOffset>
            </wp:positionV>
            <wp:extent cx="2825750" cy="1701800"/>
            <wp:effectExtent l="0" t="0" r="0" b="0"/>
            <wp:wrapSquare wrapText="bothSides"/>
            <wp:docPr id="13566791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5750" cy="1701800"/>
                    </a:xfrm>
                    <a:prstGeom prst="rect">
                      <a:avLst/>
                    </a:prstGeom>
                    <a:noFill/>
                  </pic:spPr>
                </pic:pic>
              </a:graphicData>
            </a:graphic>
            <wp14:sizeRelH relativeFrom="margin">
              <wp14:pctWidth>0</wp14:pctWidth>
            </wp14:sizeRelH>
            <wp14:sizeRelV relativeFrom="margin">
              <wp14:pctHeight>0</wp14:pctHeight>
            </wp14:sizeRelV>
          </wp:anchor>
        </w:drawing>
      </w:r>
      <w:r w:rsidR="008B7D69">
        <w:t>In addition to</w:t>
      </w:r>
      <w:r>
        <w:t xml:space="preserve"> the</w:t>
      </w:r>
      <w:r w:rsidR="008B7D69">
        <w:t xml:space="preserve"> partner-partnership transactions </w:t>
      </w:r>
      <w:r>
        <w:t>that may occur</w:t>
      </w:r>
      <w:r w:rsidR="00AD2B28">
        <w:t xml:space="preserve"> </w:t>
      </w:r>
      <w:r w:rsidR="008B7D69">
        <w:t>within the same ownership structure, t</w:t>
      </w:r>
      <w:r w:rsidR="003B0B95">
        <w:t xml:space="preserve">here </w:t>
      </w:r>
      <w:r w:rsidR="008B7D69">
        <w:t xml:space="preserve">can be </w:t>
      </w:r>
      <w:r w:rsidR="006F7182">
        <w:t xml:space="preserve">transactions </w:t>
      </w:r>
      <w:r w:rsidR="008B7D69">
        <w:t>between</w:t>
      </w:r>
      <w:r w:rsidR="006F7182">
        <w:t xml:space="preserve"> </w:t>
      </w:r>
      <w:r w:rsidR="008B7D69">
        <w:t>entities that are part of</w:t>
      </w:r>
      <w:r w:rsidR="00AD2B28">
        <w:t xml:space="preserve"> other</w:t>
      </w:r>
      <w:r w:rsidR="008B7D69">
        <w:t xml:space="preserve"> partnership structures</w:t>
      </w:r>
      <w:r>
        <w:t xml:space="preserve"> which may have common members</w:t>
      </w:r>
      <w:r w:rsidR="006F7182">
        <w:t xml:space="preserve">. </w:t>
      </w:r>
      <w:r w:rsidR="00AD2B28">
        <w:t>See, for</w:t>
      </w:r>
      <w:r w:rsidR="00510CDD">
        <w:t xml:space="preserve"> example, the graphic to the right</w:t>
      </w:r>
      <w:r w:rsidR="00AD2B28">
        <w:t>. Here,</w:t>
      </w:r>
      <w:r w:rsidR="008B7D69">
        <w:t xml:space="preserve"> Corp A is not a </w:t>
      </w:r>
      <w:r w:rsidR="00AD2B28">
        <w:t xml:space="preserve">direct or indirect </w:t>
      </w:r>
      <w:r w:rsidR="008B7D69">
        <w:t xml:space="preserve">partner in Partnership 3, with which it has a transaction, but is a partner in Partnerships 1 and 2 which have common owners with Partnership 3. </w:t>
      </w:r>
    </w:p>
    <w:p w14:paraId="51432773" w14:textId="08A272BB" w:rsidR="00596C81" w:rsidRDefault="00AD2B28" w:rsidP="00D35710">
      <w:pPr>
        <w:ind w:left="720"/>
      </w:pPr>
      <w:r>
        <w:t xml:space="preserve">These related-entity structures and transactions are not uncommon today. And, as discussed above, </w:t>
      </w:r>
      <w:r w:rsidR="00830119">
        <w:t>IRC § 482</w:t>
      </w:r>
      <w:r>
        <w:t xml:space="preserve"> may give </w:t>
      </w:r>
      <w:r w:rsidR="00830119">
        <w:t xml:space="preserve">the IRS </w:t>
      </w:r>
      <w:r>
        <w:t>authority to</w:t>
      </w:r>
      <w:r w:rsidR="00830119" w:rsidRPr="00830119">
        <w:t xml:space="preserve"> </w:t>
      </w:r>
      <w:r w:rsidR="00830119">
        <w:t>“</w:t>
      </w:r>
      <w:r w:rsidR="00830119" w:rsidRPr="00830119">
        <w:t>distribute, apportion, or allocate gross income, deductions, credits, or allowances between or among</w:t>
      </w:r>
      <w:r w:rsidR="00830119">
        <w:t xml:space="preserve">” </w:t>
      </w:r>
      <w:r>
        <w:t>these related entities. However, application of that authority in situations like this is unclear. Corp A could argue that th</w:t>
      </w:r>
      <w:r w:rsidR="00B37297">
        <w:t>is</w:t>
      </w:r>
      <w:r>
        <w:t xml:space="preserve"> authority does not apply since it and P</w:t>
      </w:r>
      <w:r w:rsidR="00B37297">
        <w:t>3</w:t>
      </w:r>
      <w:r>
        <w:t xml:space="preserve"> are not “</w:t>
      </w:r>
      <w:r w:rsidRPr="00AD2B28">
        <w:t>owned or controlled directly or indirectly by the same interests</w:t>
      </w:r>
      <w:r>
        <w:t xml:space="preserve">.” </w:t>
      </w:r>
    </w:p>
    <w:p w14:paraId="05540665" w14:textId="5F81CFD7" w:rsidR="008E1BD8" w:rsidRDefault="008E1BD8"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121870">
        <w:rPr>
          <w:b/>
          <w:bCs/>
        </w:rPr>
        <w:t xml:space="preserve">STATE TAX IMPLICATIONS: </w:t>
      </w:r>
      <w:r w:rsidR="00510CDD">
        <w:rPr>
          <w:b/>
          <w:bCs/>
        </w:rPr>
        <w:t xml:space="preserve">It may be necessary for states to consider </w:t>
      </w:r>
      <w:r w:rsidR="00B37297">
        <w:rPr>
          <w:b/>
          <w:bCs/>
        </w:rPr>
        <w:t xml:space="preserve">adopting </w:t>
      </w:r>
      <w:r w:rsidR="00510CDD">
        <w:rPr>
          <w:b/>
          <w:bCs/>
        </w:rPr>
        <w:t xml:space="preserve">authority similar to IRC § 482 and applicable specifically to transactions between partnerships that may have common partners in order to ensure that these transactions are not used solely to affect state tax sourcing.  </w:t>
      </w:r>
    </w:p>
    <w:p w14:paraId="549A53C3" w14:textId="77777777" w:rsidR="006576F6" w:rsidRDefault="006576F6">
      <w:pPr>
        <w:spacing w:line="276" w:lineRule="auto"/>
        <w:jc w:val="left"/>
        <w:rPr>
          <w:rFonts w:asciiTheme="majorHAnsi" w:eastAsiaTheme="majorEastAsia" w:hAnsiTheme="majorHAnsi" w:cstheme="majorBidi"/>
          <w:b/>
          <w:color w:val="851C00" w:themeColor="accent6" w:themeShade="BF"/>
          <w:sz w:val="26"/>
          <w:szCs w:val="24"/>
          <w:u w:val="single"/>
        </w:rPr>
      </w:pPr>
      <w:r>
        <w:br w:type="page"/>
      </w:r>
    </w:p>
    <w:p w14:paraId="3606E6E6" w14:textId="272D014D" w:rsidR="006D2BB2" w:rsidRDefault="006576F6" w:rsidP="006D2BB2">
      <w:pPr>
        <w:pStyle w:val="Heading3"/>
      </w:pPr>
      <w:bookmarkStart w:id="46" w:name="_Toc195435241"/>
      <w:r>
        <w:lastRenderedPageBreak/>
        <w:t xml:space="preserve">State </w:t>
      </w:r>
      <w:r w:rsidR="006D2BB2">
        <w:t>Conformity and Federal Anti-Abuse Provisions</w:t>
      </w:r>
      <w:r>
        <w:t xml:space="preserve"> - Implications</w:t>
      </w:r>
      <w:bookmarkEnd w:id="46"/>
      <w:r w:rsidR="006D2BB2">
        <w:t xml:space="preserve"> </w:t>
      </w:r>
    </w:p>
    <w:p w14:paraId="41D4DA99" w14:textId="627AAF1C" w:rsidR="006D2BB2" w:rsidRPr="00A916A7" w:rsidRDefault="006D2BB2" w:rsidP="006D2BB2">
      <w:r>
        <w:t>Like the federal tax law generally, Subchapter K and related regulations contain provisions that are directed toward preventing abuse—that is, the use of artificial structures or transactions solely to avoid federal tax liability in unintended ways. These anti-abuse provisions are essential to making the pass-through system work.</w:t>
      </w:r>
      <w:r>
        <w:rPr>
          <w:rStyle w:val="FootnoteReference"/>
        </w:rPr>
        <w:footnoteReference w:id="17"/>
      </w:r>
      <w:r>
        <w:t xml:space="preserve"> But states should not assume that all federal anti-abuse provisions will necessarily apply to the state tax treatment of partnership income. Rather, where there is any uncertainty, states should make the application of those rules explicit.</w:t>
      </w:r>
      <w:r w:rsidR="006576F6">
        <w:t xml:space="preserve"> In particular, the following implications of certain federal anti-abuse rules should be considered: </w:t>
      </w:r>
      <w:r>
        <w:t xml:space="preserve"> </w:t>
      </w:r>
    </w:p>
    <w:p w14:paraId="1DD2FFA4" w14:textId="6FC0FF95" w:rsidR="006D2BB2" w:rsidRDefault="006D2BB2" w:rsidP="00FF1104">
      <w:pPr>
        <w:pStyle w:val="Heading4"/>
        <w:numPr>
          <w:ilvl w:val="0"/>
          <w:numId w:val="60"/>
        </w:numPr>
      </w:pPr>
      <w:r>
        <w:t xml:space="preserve">States may </w:t>
      </w:r>
      <w:r w:rsidR="006576F6">
        <w:t xml:space="preserve">generally </w:t>
      </w:r>
      <w:r>
        <w:t>rely on specific exceptions</w:t>
      </w:r>
      <w:r w:rsidR="006576F6">
        <w:t>/</w:t>
      </w:r>
      <w:r>
        <w:t xml:space="preserve">limitations on </w:t>
      </w:r>
      <w:r w:rsidR="006576F6">
        <w:t xml:space="preserve">federal </w:t>
      </w:r>
      <w:r>
        <w:t>tax treatment.</w:t>
      </w:r>
    </w:p>
    <w:p w14:paraId="42A60B2C" w14:textId="217887C4" w:rsidR="006D2BB2" w:rsidRDefault="006D2BB2" w:rsidP="006D2BB2">
      <w:pPr>
        <w:ind w:left="720"/>
      </w:pPr>
      <w:r>
        <w:t xml:space="preserve">In some cases, federal tax statues may simply impose limits on particular tax treatment or provide specific exceptions to that treatment. </w:t>
      </w:r>
      <w:r w:rsidR="00FF1104">
        <w:t>If</w:t>
      </w:r>
      <w:r>
        <w:t xml:space="preserve"> states conform to the proper federal treatment </w:t>
      </w:r>
      <w:r w:rsidR="006576F6">
        <w:t xml:space="preserve">and </w:t>
      </w:r>
      <w:r>
        <w:t xml:space="preserve">characterization of tax items, it is generally assumed that they will conform to the application of these rules as well. So, for example, IRC 704(c) requires built-in gain (loss) to be allocated to a contributing partner in some instances. For states that generally conform to Subchapter K, this rule would also control the corresponding state tax treatment. </w:t>
      </w:r>
    </w:p>
    <w:p w14:paraId="77077398" w14:textId="6F362DDA" w:rsidR="006D2BB2" w:rsidRPr="0094241D" w:rsidRDefault="006D2BB2" w:rsidP="00FF1104">
      <w:pPr>
        <w:pStyle w:val="Heading4"/>
        <w:numPr>
          <w:ilvl w:val="0"/>
          <w:numId w:val="60"/>
        </w:numPr>
      </w:pPr>
      <w:r>
        <w:t xml:space="preserve">States may not be able to rely on anti-abuse rules that look to the effect on tax results. </w:t>
      </w:r>
    </w:p>
    <w:p w14:paraId="73EA7B89" w14:textId="77777777" w:rsidR="006D2BB2" w:rsidRDefault="006D2BB2" w:rsidP="006D2BB2">
      <w:pPr>
        <w:ind w:left="720"/>
      </w:pPr>
      <w:r>
        <w:t xml:space="preserve">Unlike rules that simply impose specific limitations on beneficial tax treatment, some anti-abuse rules condition that treatment on it being generally consistent with the real economic effects. For example, IRC § 7701(o) sets out a definition of “economic substance” requiring that the underlying transactions affect the economic position of taxpayers “in a meaningful way” and have a “substantial purpose” apart from the “Federal income tax effects.” Importantly—that section also provides that “any State or local income tax effect which is related to a Federal income tax effect shall be treated in the same manner as a Federal income tax effect.” </w:t>
      </w:r>
    </w:p>
    <w:p w14:paraId="05923793" w14:textId="77777777" w:rsidR="006D2BB2" w:rsidRDefault="006D2BB2" w:rsidP="006D2BB2">
      <w:pPr>
        <w:ind w:left="720"/>
      </w:pPr>
      <w:r>
        <w:t>But this raises two questions. First – what if, under this rule, the state tax effect is not “</w:t>
      </w:r>
      <w:r w:rsidRPr="00D175D7">
        <w:rPr>
          <w:i/>
          <w:iCs/>
        </w:rPr>
        <w:t>related to</w:t>
      </w:r>
      <w:r>
        <w:rPr>
          <w:i/>
          <w:iCs/>
        </w:rPr>
        <w:t>”</w:t>
      </w:r>
      <w:r>
        <w:t xml:space="preserve"> a federal income tax effect?</w:t>
      </w:r>
      <w:r w:rsidRPr="00132C16">
        <w:t xml:space="preserve"> </w:t>
      </w:r>
      <w:r>
        <w:t>It could be argued, for example, that the effect of applying state sourcing rules to multistate income is not “related to” any federal tax effect, at least directly. Second – what about other anti-abuse rules that reference tax effects generally but lack § 7701’s specific inclusion of state tax effects?</w:t>
      </w:r>
    </w:p>
    <w:p w14:paraId="556ABF2B" w14:textId="492F531A" w:rsidR="006D2BB2" w:rsidRDefault="00FF1104" w:rsidP="006D2BB2">
      <w:pPr>
        <w:spacing w:after="120"/>
        <w:ind w:left="720"/>
      </w:pPr>
      <w:r>
        <w:t>Federal rules</w:t>
      </w:r>
      <w:r w:rsidR="006D2BB2">
        <w:t xml:space="preserve"> where the applicability to state tax will not be assumed in this white paper include:</w:t>
      </w:r>
    </w:p>
    <w:p w14:paraId="7B34BA5F" w14:textId="470C5C40" w:rsidR="006D2BB2" w:rsidRDefault="006D2BB2" w:rsidP="006D2BB2">
      <w:pPr>
        <w:pStyle w:val="ListParagraph"/>
        <w:numPr>
          <w:ilvl w:val="0"/>
          <w:numId w:val="45"/>
        </w:numPr>
        <w:spacing w:after="120"/>
        <w:contextualSpacing w:val="0"/>
      </w:pPr>
      <w:r>
        <w:t xml:space="preserve">IRC § 482 – This </w:t>
      </w:r>
      <w:r w:rsidR="00FF1104">
        <w:t>provision</w:t>
      </w:r>
      <w:r>
        <w:t xml:space="preserve"> gives the IRS power to re-</w:t>
      </w:r>
      <w:r w:rsidRPr="00830119">
        <w:t>distribute income among</w:t>
      </w:r>
      <w:r>
        <w:t xml:space="preserve"> related businesses </w:t>
      </w:r>
      <w:r w:rsidRPr="00BD1526">
        <w:t xml:space="preserve">in order </w:t>
      </w:r>
      <w:r>
        <w:t>“</w:t>
      </w:r>
      <w:r w:rsidRPr="00BD1526">
        <w:t>to prevent evasion of taxes or clearly to reflect the income of any of such organizations, trades, or businesses.</w:t>
      </w:r>
      <w:r>
        <w:t>” (This authority applies to partner-partnership transactions, at least when the partner is a corporation.</w:t>
      </w:r>
      <w:r>
        <w:rPr>
          <w:rStyle w:val="FootnoteReference"/>
        </w:rPr>
        <w:footnoteReference w:id="18"/>
      </w:r>
      <w:r>
        <w:t xml:space="preserve">) It may be argued that conformity to the federal tax law also gives states similar authority. But it is not always clear exactly how this authority applies to situations where the effect of the underlying structures or transactions is only on </w:t>
      </w:r>
      <w:r w:rsidRPr="00593BDE">
        <w:rPr>
          <w:i/>
          <w:iCs/>
        </w:rPr>
        <w:t>state</w:t>
      </w:r>
      <w:r>
        <w:t xml:space="preserve"> taxes.</w:t>
      </w:r>
      <w:r>
        <w:rPr>
          <w:rStyle w:val="FootnoteReference"/>
        </w:rPr>
        <w:footnoteReference w:id="19"/>
      </w:r>
      <w:r>
        <w:t xml:space="preserve"> </w:t>
      </w:r>
    </w:p>
    <w:p w14:paraId="30DEC1FA" w14:textId="77777777" w:rsidR="006D2BB2" w:rsidRDefault="006D2BB2" w:rsidP="006D2BB2">
      <w:pPr>
        <w:pStyle w:val="ListParagraph"/>
        <w:numPr>
          <w:ilvl w:val="0"/>
          <w:numId w:val="45"/>
        </w:numPr>
        <w:spacing w:after="120"/>
        <w:contextualSpacing w:val="0"/>
      </w:pPr>
      <w:r>
        <w:t xml:space="preserve">IRS Reg. </w:t>
      </w:r>
      <w:r w:rsidRPr="00132C16">
        <w:t>§ 1.701-2</w:t>
      </w:r>
      <w:r>
        <w:t xml:space="preserve"> – This is the general partnership anti-abuse rule which provides that “</w:t>
      </w:r>
      <w:r w:rsidRPr="00132C16">
        <w:t xml:space="preserve">the tax consequences under subchapter K </w:t>
      </w:r>
      <w:r>
        <w:t>. . .</w:t>
      </w:r>
      <w:r w:rsidRPr="00132C16">
        <w:t xml:space="preserve"> must accurately reflect the partners</w:t>
      </w:r>
      <w:r>
        <w:t>’</w:t>
      </w:r>
      <w:r w:rsidRPr="00132C16">
        <w:t xml:space="preserve"> economic agreement and clearly reflect the partner's income</w:t>
      </w:r>
      <w:r>
        <w:t xml:space="preserve"> . . .</w:t>
      </w:r>
      <w:r w:rsidRPr="00132C16">
        <w:t>.</w:t>
      </w:r>
      <w:r>
        <w:t xml:space="preserve">” </w:t>
      </w:r>
    </w:p>
    <w:p w14:paraId="6CC46A36" w14:textId="77777777" w:rsidR="006D2BB2" w:rsidRDefault="006D2BB2" w:rsidP="006D2BB2">
      <w:pPr>
        <w:pStyle w:val="ListParagraph"/>
        <w:numPr>
          <w:ilvl w:val="0"/>
          <w:numId w:val="45"/>
        </w:numPr>
        <w:spacing w:after="120"/>
        <w:contextualSpacing w:val="0"/>
      </w:pPr>
      <w:r>
        <w:t>IRC § 704(b) and related regulations (see, for example, §</w:t>
      </w:r>
      <w:r w:rsidRPr="00D03B06">
        <w:t xml:space="preserve"> 1.704-1(b)(2)(iii)(a)</w:t>
      </w:r>
      <w:r>
        <w:t xml:space="preserve">) – These rules require allocations of distributive share to have “substantial economic effect.” Regulations provide that, to meet this standard, there </w:t>
      </w:r>
      <w:r w:rsidRPr="00D03B06">
        <w:t xml:space="preserve">must be a reasonable possibility the allocation </w:t>
      </w:r>
      <w:r>
        <w:t xml:space="preserve">of distributive share </w:t>
      </w:r>
      <w:r w:rsidRPr="00D03B06">
        <w:t xml:space="preserve">will affect substantially the dollar amounts to be received by the partner </w:t>
      </w:r>
      <w:r>
        <w:t>“</w:t>
      </w:r>
      <w:r w:rsidRPr="00D03B06">
        <w:t>independent of tax consequences</w:t>
      </w:r>
      <w:r>
        <w:t>.</w:t>
      </w:r>
      <w:r w:rsidRPr="00D03B06">
        <w:t xml:space="preserve">” </w:t>
      </w:r>
    </w:p>
    <w:p w14:paraId="462B8404" w14:textId="77777777" w:rsidR="006D2BB2" w:rsidRPr="00A916A7" w:rsidRDefault="006D2BB2" w:rsidP="006D2BB2">
      <w:pPr>
        <w:spacing w:after="120"/>
        <w:ind w:left="720"/>
      </w:pPr>
      <w:r>
        <w:lastRenderedPageBreak/>
        <w:t>Section II below addresses the need for state-level anti-abuse rules of this kind and the ability of states to make explicit that these federal-style rules will apply to issues affecting state taxation, including sourcing of partnership income.</w:t>
      </w:r>
    </w:p>
    <w:p w14:paraId="0E746499" w14:textId="35EB1F6E" w:rsidR="006D2BB2" w:rsidRDefault="006D2BB2" w:rsidP="00FF1104">
      <w:pPr>
        <w:pStyle w:val="Heading4"/>
        <w:numPr>
          <w:ilvl w:val="0"/>
          <w:numId w:val="60"/>
        </w:numPr>
      </w:pPr>
      <w:r>
        <w:t xml:space="preserve">States may not be able to rely on the </w:t>
      </w:r>
      <w:r w:rsidR="006576F6">
        <w:t xml:space="preserve">IRC </w:t>
      </w:r>
      <w:r>
        <w:t>consistency requirement</w:t>
      </w:r>
      <w:r w:rsidR="00AC2B40">
        <w:t xml:space="preserve"> for partnerships</w:t>
      </w:r>
      <w:r>
        <w:t>.</w:t>
      </w:r>
    </w:p>
    <w:p w14:paraId="2243FE93" w14:textId="77777777" w:rsidR="006D2BB2" w:rsidRDefault="006D2BB2" w:rsidP="006D2BB2">
      <w:pPr>
        <w:ind w:left="720"/>
      </w:pPr>
      <w:r>
        <w:t xml:space="preserve">In addition to the substantive anti-abuse rules that limit certain beneficial tax treatment in some circumstances, and the other general anti-abuse rules discussed above, the federal administrative provisions also require that partners report items consistently with the partnership’s own reported information. See IRC § 6222. Failure to do so is treated as a math error on the partner’s return for which tax can be summarily assessed. </w:t>
      </w:r>
    </w:p>
    <w:p w14:paraId="258A21B3" w14:textId="77777777" w:rsidR="006D2BB2" w:rsidRDefault="006D2BB2" w:rsidP="006D2BB2">
      <w:pPr>
        <w:ind w:left="720"/>
      </w:pPr>
      <w:r>
        <w:t>Application of this consistency requirement to purely state-related information is uncertain and some states have provided their own consistency requirement as part of state tax statutes or regulations.</w:t>
      </w:r>
      <w:r>
        <w:rPr>
          <w:rStyle w:val="FootnoteReference"/>
        </w:rPr>
        <w:footnoteReference w:id="20"/>
      </w:r>
      <w:r>
        <w:t xml:space="preserve"> Section II below also addresses the need for state-level consistent treatment rules which would apply to state-specific tax information, including sourcing information. </w:t>
      </w:r>
    </w:p>
    <w:p w14:paraId="7620F915" w14:textId="15E71458" w:rsidR="00B37297" w:rsidRDefault="006D2BB2" w:rsidP="00FF1104">
      <w:pPr>
        <w:pStyle w:val="Heading4"/>
        <w:numPr>
          <w:ilvl w:val="0"/>
          <w:numId w:val="60"/>
        </w:numPr>
      </w:pPr>
      <w:r>
        <w:t>States may also need additional anti-abuse</w:t>
      </w:r>
      <w:r w:rsidR="00D22DB3">
        <w:t xml:space="preserve"> rules to prevent the use of partnerships to shift income.</w:t>
      </w:r>
      <w:r>
        <w:t>.</w:t>
      </w:r>
    </w:p>
    <w:p w14:paraId="21ADF312" w14:textId="4CF05C14" w:rsidR="00D22DB3" w:rsidRDefault="00AC2B40" w:rsidP="00D22DB3">
      <w:pPr>
        <w:ind w:left="720"/>
      </w:pPr>
      <w:r>
        <w:t xml:space="preserve">The nature of the pass-through system combined with </w:t>
      </w:r>
      <w:r w:rsidR="00D22DB3">
        <w:t xml:space="preserve">the need to source the income </w:t>
      </w:r>
      <w:r>
        <w:t xml:space="preserve">from </w:t>
      </w:r>
      <w:r w:rsidR="00D22DB3">
        <w:t xml:space="preserve">multistate </w:t>
      </w:r>
      <w:r>
        <w:t xml:space="preserve">business activities means that states may need to develop specialized anti-abuse rules to prevent income shifting or other unintended consequences. </w:t>
      </w:r>
      <w:r w:rsidR="006E6625">
        <w:t xml:space="preserve">States </w:t>
      </w:r>
      <w:r w:rsidR="00A731B6">
        <w:t xml:space="preserve">that </w:t>
      </w:r>
      <w:r w:rsidR="006E6625">
        <w:t xml:space="preserve">have </w:t>
      </w:r>
      <w:r w:rsidR="00A731B6">
        <w:t xml:space="preserve">adopted </w:t>
      </w:r>
      <w:r w:rsidR="006E6625">
        <w:t xml:space="preserve">the </w:t>
      </w:r>
      <w:r w:rsidR="006E6625" w:rsidRPr="006E6625">
        <w:t>Uniform Division of Income for Tax Purposes Act (UDITPA)</w:t>
      </w:r>
      <w:r w:rsidR="00A731B6">
        <w:t xml:space="preserve"> or some version of that act have general authority under</w:t>
      </w:r>
      <w:r w:rsidR="006E6625">
        <w:t xml:space="preserve"> Section 18</w:t>
      </w:r>
      <w:r w:rsidR="00A731B6">
        <w:t xml:space="preserve"> </w:t>
      </w:r>
      <w:r w:rsidR="006E6625">
        <w:t xml:space="preserve">to </w:t>
      </w:r>
      <w:r w:rsidR="00A731B6">
        <w:t xml:space="preserve">address situations where the application of the standard sourcing rules does not reflect the taxpayer’s activity in the state. </w:t>
      </w:r>
      <w:r w:rsidR="00D22DB3">
        <w:t xml:space="preserve">The MTC and states have also adopted special rules for implementing this authority. </w:t>
      </w:r>
      <w:r w:rsidR="00A731B6">
        <w:t xml:space="preserve">   </w:t>
      </w:r>
    </w:p>
    <w:p w14:paraId="4CBDD6AF" w14:textId="77777777" w:rsidR="00D22DB3" w:rsidRDefault="00D22DB3" w:rsidP="00D22DB3"/>
    <w:p w14:paraId="660BC9DF" w14:textId="32892E3B" w:rsidR="00D22DB3" w:rsidRPr="00AC2B40" w:rsidRDefault="00D22DB3" w:rsidP="00D22DB3">
      <w:r>
        <w:t xml:space="preserve">Anti-abuse rules are discussed further in Section II. E. of this whitepaper. </w:t>
      </w:r>
    </w:p>
    <w:p w14:paraId="5B035B30" w14:textId="77777777" w:rsidR="006D2BB2" w:rsidRPr="006D2BB2" w:rsidRDefault="006D2BB2" w:rsidP="006576F6">
      <w:pPr>
        <w:ind w:left="720"/>
      </w:pPr>
    </w:p>
    <w:p w14:paraId="30191EFA" w14:textId="77777777" w:rsidR="00B37297" w:rsidRDefault="00B37297">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7459B57E" w14:textId="6A007F1B" w:rsidR="005354E4" w:rsidRDefault="005354E4" w:rsidP="00356920">
      <w:pPr>
        <w:pStyle w:val="Heading2"/>
      </w:pPr>
      <w:bookmarkStart w:id="47" w:name="_Toc195435242"/>
      <w:r>
        <w:lastRenderedPageBreak/>
        <w:t>I.</w:t>
      </w:r>
      <w:r w:rsidR="00984725">
        <w:t>E</w:t>
      </w:r>
      <w:r>
        <w:t xml:space="preserve">. </w:t>
      </w:r>
      <w:r w:rsidR="00F10C64">
        <w:t xml:space="preserve">Importance of the </w:t>
      </w:r>
      <w:r>
        <w:t>Attribution</w:t>
      </w:r>
      <w:r w:rsidR="00B76571">
        <w:t xml:space="preserve"> or “Conduit”</w:t>
      </w:r>
      <w:r>
        <w:t xml:space="preserve"> Principle</w:t>
      </w:r>
      <w:bookmarkEnd w:id="47"/>
      <w:r>
        <w:t xml:space="preserve"> </w:t>
      </w:r>
    </w:p>
    <w:p w14:paraId="0F25FFC0" w14:textId="77777777" w:rsidR="007B0A46" w:rsidRDefault="00C86C9C" w:rsidP="005354E4">
      <w:r>
        <w:t>When discussing partnerships two</w:t>
      </w:r>
      <w:r w:rsidR="00F76EB1">
        <w:t xml:space="preserve"> different theories—aggregate and entity</w:t>
      </w:r>
      <w:r w:rsidR="00E960CB">
        <w:t>—are often cited</w:t>
      </w:r>
      <w:r w:rsidR="00F76EB1">
        <w:t xml:space="preserve">. </w:t>
      </w:r>
      <w:r w:rsidR="00E960CB">
        <w:t xml:space="preserve">As noted in subsection I.B. above, however, </w:t>
      </w:r>
      <w:r w:rsidR="004D5B78">
        <w:t xml:space="preserve">it is not possible to say one of these theories is necessarily controlling. </w:t>
      </w:r>
      <w:r w:rsidR="00B37297">
        <w:t>Moreover, today,</w:t>
      </w:r>
      <w:r w:rsidR="00E960CB">
        <w:t xml:space="preserve"> even the rules governing traditional partnerships have evolved </w:t>
      </w:r>
      <w:r>
        <w:t>so that they are</w:t>
      </w:r>
      <w:r w:rsidR="00E960CB">
        <w:t xml:space="preserve"> based more in the entity theory.</w:t>
      </w:r>
      <w:r>
        <w:t xml:space="preserve"> </w:t>
      </w:r>
      <w:r w:rsidR="00E960CB">
        <w:t xml:space="preserve">Similarly, under </w:t>
      </w:r>
      <w:r w:rsidR="00F76EB1">
        <w:t xml:space="preserve">the federal pass-through tax system, partnerships </w:t>
      </w:r>
      <w:r w:rsidR="00F529A3">
        <w:t>are</w:t>
      </w:r>
      <w:r w:rsidR="00F76EB1">
        <w:t xml:space="preserve"> </w:t>
      </w:r>
      <w:r w:rsidR="002A1DB5">
        <w:t xml:space="preserve">sometimes </w:t>
      </w:r>
      <w:r w:rsidR="00F76EB1">
        <w:t>treated as aggregates and sometimes as entities.</w:t>
      </w:r>
    </w:p>
    <w:p w14:paraId="297EEC59" w14:textId="54F04886" w:rsidR="00F76EB1" w:rsidRDefault="007B0A46" w:rsidP="005354E4">
      <w:r>
        <w:t>T</w:t>
      </w:r>
      <w:r w:rsidR="00F76EB1">
        <w:t>his white paper</w:t>
      </w:r>
      <w:r>
        <w:t xml:space="preserve"> therefore proposes that</w:t>
      </w:r>
      <w:r w:rsidR="00F76EB1">
        <w:t xml:space="preserve"> it is more useful to consider </w:t>
      </w:r>
      <w:r w:rsidR="00C86C9C">
        <w:t>the fundamental principle of the pass-through tax system, that is—</w:t>
      </w:r>
      <w:r w:rsidR="00F76EB1">
        <w:t>the attribution or “conduit” principle</w:t>
      </w:r>
      <w:r w:rsidR="002A1DB5">
        <w:t>.</w:t>
      </w:r>
    </w:p>
    <w:p w14:paraId="059E71B4" w14:textId="653F6C42" w:rsidR="00F76EB1" w:rsidRDefault="002A1DB5" w:rsidP="00F76EB1">
      <w:pPr>
        <w:pStyle w:val="Heading3"/>
      </w:pPr>
      <w:bookmarkStart w:id="48" w:name="_Toc195435243"/>
      <w:r>
        <w:t>Why the Attribution or “Conduit” Principle is Critical</w:t>
      </w:r>
      <w:bookmarkEnd w:id="48"/>
      <w:r w:rsidR="00F76EB1">
        <w:t xml:space="preserve">   </w:t>
      </w:r>
    </w:p>
    <w:p w14:paraId="74623884" w14:textId="37D37781" w:rsidR="00990033" w:rsidRDefault="00990033" w:rsidP="00356920">
      <w:pPr>
        <w:spacing w:after="60"/>
      </w:pPr>
      <w:r>
        <w:t xml:space="preserve">The partnership pass-through system </w:t>
      </w:r>
      <w:r w:rsidR="00C11E1F">
        <w:t xml:space="preserve">has been explained by experts as </w:t>
      </w:r>
      <w:r>
        <w:t>represent</w:t>
      </w:r>
      <w:r w:rsidR="00C11E1F">
        <w:t>ing</w:t>
      </w:r>
      <w:r>
        <w:t xml:space="preserve"> a kind of balancing of </w:t>
      </w:r>
      <w:r w:rsidR="002A1DB5">
        <w:t>four</w:t>
      </w:r>
      <w:r>
        <w:t xml:space="preserve"> important goals:</w:t>
      </w:r>
    </w:p>
    <w:p w14:paraId="7C7E66A3" w14:textId="7F923895" w:rsidR="00990033" w:rsidRDefault="00990033" w:rsidP="00955008">
      <w:pPr>
        <w:pStyle w:val="ListParagraph"/>
        <w:numPr>
          <w:ilvl w:val="0"/>
          <w:numId w:val="6"/>
        </w:numPr>
        <w:spacing w:after="60"/>
        <w:contextualSpacing w:val="0"/>
      </w:pPr>
      <w:r>
        <w:t>Achiev</w:t>
      </w:r>
      <w:r w:rsidR="000B6136">
        <w:t>ing</w:t>
      </w:r>
      <w:r>
        <w:t xml:space="preserve"> a single level of tax on the income,</w:t>
      </w:r>
    </w:p>
    <w:p w14:paraId="76D66033" w14:textId="5869B166" w:rsidR="00C11E1F" w:rsidRDefault="00C11E1F" w:rsidP="00955008">
      <w:pPr>
        <w:pStyle w:val="ListParagraph"/>
        <w:numPr>
          <w:ilvl w:val="0"/>
          <w:numId w:val="6"/>
        </w:numPr>
        <w:spacing w:after="60"/>
        <w:contextualSpacing w:val="0"/>
      </w:pPr>
      <w:r>
        <w:t xml:space="preserve">Avoiding the unrestricted deferral of tax liability until income is distributed, </w:t>
      </w:r>
    </w:p>
    <w:p w14:paraId="4A2F6E23" w14:textId="048B99D6" w:rsidR="00BF7804" w:rsidRDefault="00C11E1F" w:rsidP="00955008">
      <w:pPr>
        <w:pStyle w:val="ListParagraph"/>
        <w:numPr>
          <w:ilvl w:val="0"/>
          <w:numId w:val="6"/>
        </w:numPr>
        <w:spacing w:after="60"/>
        <w:contextualSpacing w:val="0"/>
      </w:pPr>
      <w:r>
        <w:t xml:space="preserve">Retaining consistent </w:t>
      </w:r>
      <w:r w:rsidR="007B0A46">
        <w:t xml:space="preserve">substantive tax </w:t>
      </w:r>
      <w:r>
        <w:t>treatment of various items of partnership income, expense, gain, and loss under that would apply to those items if recognized directly by individual or corporate taxpayers, and</w:t>
      </w:r>
    </w:p>
    <w:p w14:paraId="4D7A5DA8" w14:textId="469C6894" w:rsidR="00F20790" w:rsidRDefault="00F20790" w:rsidP="00955008">
      <w:pPr>
        <w:pStyle w:val="ListParagraph"/>
        <w:numPr>
          <w:ilvl w:val="0"/>
          <w:numId w:val="6"/>
        </w:numPr>
      </w:pPr>
      <w:r>
        <w:t>Preventing the use of partnerships and the pass-through rules to change the tax results in unintended ways.</w:t>
      </w:r>
      <w:r w:rsidR="00C11E1F">
        <w:rPr>
          <w:rStyle w:val="FootnoteReference"/>
        </w:rPr>
        <w:footnoteReference w:id="21"/>
      </w:r>
    </w:p>
    <w:p w14:paraId="65D9A287" w14:textId="6CE445A5" w:rsidR="007B0A46" w:rsidRDefault="007B0A46" w:rsidP="007B0A46">
      <w:pPr>
        <w:pStyle w:val="Heading4"/>
      </w:pPr>
      <w:r>
        <w:t>Achievement of these goals benefits taxpayers.</w:t>
      </w:r>
    </w:p>
    <w:p w14:paraId="5A8E8780" w14:textId="7FA9E4EF" w:rsidR="00C11E1F" w:rsidRDefault="007B0A46" w:rsidP="002A47FE">
      <w:r>
        <w:t xml:space="preserve">Taxpayers benefit from this pass-through system. </w:t>
      </w:r>
      <w:r w:rsidR="002A47FE">
        <w:t xml:space="preserve">First, there </w:t>
      </w:r>
      <w:r w:rsidR="00C00896">
        <w:t>is a</w:t>
      </w:r>
      <w:r w:rsidR="002A47FE">
        <w:t xml:space="preserve"> single level of tax on the income from business activities. Second, there is the potential to offset income and loss from different sources, subject to certain limitations under the substantive rules. </w:t>
      </w:r>
      <w:r w:rsidR="00C11E1F">
        <w:t xml:space="preserve">Then there is the treatment of partners’ shares of partnership income according to the partners’ own attributes—including their effective tax rates. </w:t>
      </w:r>
      <w:r w:rsidR="002A47FE">
        <w:t xml:space="preserve">And finally, there is the </w:t>
      </w:r>
      <w:r w:rsidR="00C11E1F">
        <w:t>wide latitude given to</w:t>
      </w:r>
      <w:r w:rsidR="002A47FE">
        <w:t xml:space="preserve"> partners as to how they will share the economic and tax effects of different items, as provided under IRC § 704. </w:t>
      </w:r>
    </w:p>
    <w:p w14:paraId="0C8FCFEE" w14:textId="012977D7" w:rsidR="006F433F" w:rsidRDefault="006F433F" w:rsidP="006F433F">
      <w:pPr>
        <w:pStyle w:val="Heading4"/>
      </w:pPr>
      <w:r>
        <w:t>This system depends on the attribution principle.</w:t>
      </w:r>
    </w:p>
    <w:p w14:paraId="33807D95" w14:textId="6654E0F5" w:rsidR="00F20790" w:rsidRDefault="002D5074" w:rsidP="00F20790">
      <w:r>
        <w:t xml:space="preserve">The proper working of this </w:t>
      </w:r>
      <w:r w:rsidR="006F433F">
        <w:t xml:space="preserve">pass-through </w:t>
      </w:r>
      <w:r>
        <w:t>syste</w:t>
      </w:r>
      <w:r w:rsidR="00E960CB">
        <w:t xml:space="preserve">m </w:t>
      </w:r>
      <w:r>
        <w:t xml:space="preserve">depends </w:t>
      </w:r>
      <w:r w:rsidR="00E960CB">
        <w:t xml:space="preserve">entirely </w:t>
      </w:r>
      <w:r>
        <w:t>on the attribution principle</w:t>
      </w:r>
      <w:r w:rsidR="009B5FFB">
        <w:t>—also sometimes referred to as the “conduit” principle</w:t>
      </w:r>
      <w:r w:rsidR="00E960CB">
        <w:t xml:space="preserve">. That </w:t>
      </w:r>
      <w:r>
        <w:t>is,</w:t>
      </w:r>
      <w:r w:rsidR="00F20790">
        <w:t xml:space="preserve"> </w:t>
      </w:r>
      <w:r w:rsidR="00E960CB">
        <w:t xml:space="preserve">partnership items and their tax character are attributed from the </w:t>
      </w:r>
      <w:r w:rsidR="002A1DB5">
        <w:t xml:space="preserve">partnership </w:t>
      </w:r>
      <w:r w:rsidR="00E960CB">
        <w:t>t</w:t>
      </w:r>
      <w:r w:rsidR="002A1DB5">
        <w:t xml:space="preserve">o the partners </w:t>
      </w:r>
      <w:r w:rsidR="00E960CB">
        <w:t xml:space="preserve">as part of their distributive share of those items. </w:t>
      </w:r>
      <w:r w:rsidR="00C00896">
        <w:t xml:space="preserve">This </w:t>
      </w:r>
      <w:r w:rsidR="006F433F">
        <w:t xml:space="preserve">also </w:t>
      </w:r>
      <w:r w:rsidR="00C00896">
        <w:t xml:space="preserve">prevents partnerships from being used to, effectively, change the basic tax treatment of those items. </w:t>
      </w:r>
    </w:p>
    <w:p w14:paraId="4B97E0E6" w14:textId="7E79FF76" w:rsidR="008E7017" w:rsidRDefault="008E7017" w:rsidP="008E7017">
      <w:pPr>
        <w:pStyle w:val="Heading3"/>
      </w:pPr>
      <w:bookmarkStart w:id="49" w:name="_Toc195435244"/>
      <w:r>
        <w:t xml:space="preserve">How Attribution </w:t>
      </w:r>
      <w:r w:rsidR="002A1DB5">
        <w:t>Works</w:t>
      </w:r>
      <w:r w:rsidR="002D5074">
        <w:t xml:space="preserve"> in Practice</w:t>
      </w:r>
      <w:bookmarkEnd w:id="49"/>
    </w:p>
    <w:p w14:paraId="2814A31B" w14:textId="1DC77202" w:rsidR="005F58F8" w:rsidRDefault="005F58F8" w:rsidP="006F433F">
      <w:pPr>
        <w:spacing w:after="120"/>
      </w:pPr>
      <w:r>
        <w:t xml:space="preserve">The pass-through system achieves attribution </w:t>
      </w:r>
      <w:r w:rsidR="00356920">
        <w:t>through the following framework (discussed in greater length in the previous subsection)</w:t>
      </w:r>
      <w:r>
        <w:t>:</w:t>
      </w:r>
    </w:p>
    <w:p w14:paraId="468D9EE6" w14:textId="1A7F6218" w:rsidR="002D5074" w:rsidRPr="00356920" w:rsidRDefault="00F529A3" w:rsidP="00955008">
      <w:pPr>
        <w:pStyle w:val="ListParagraph"/>
        <w:numPr>
          <w:ilvl w:val="0"/>
          <w:numId w:val="5"/>
        </w:numPr>
        <w:spacing w:after="120"/>
        <w:ind w:left="792"/>
        <w:contextualSpacing w:val="0"/>
      </w:pPr>
      <w:r w:rsidRPr="00356920">
        <w:t>Partnerships</w:t>
      </w:r>
      <w:r w:rsidR="002D5074" w:rsidRPr="00356920">
        <w:t xml:space="preserve"> </w:t>
      </w:r>
      <w:r w:rsidR="00C00896" w:rsidRPr="00356920">
        <w:t>d</w:t>
      </w:r>
      <w:r w:rsidR="002D5074" w:rsidRPr="00356920">
        <w:t xml:space="preserve">etermine </w:t>
      </w:r>
      <w:r w:rsidR="00C00896" w:rsidRPr="00356920">
        <w:t>the c</w:t>
      </w:r>
      <w:r w:rsidR="002D5074" w:rsidRPr="00356920">
        <w:t>haracter of</w:t>
      </w:r>
      <w:r w:rsidR="002A1DB5" w:rsidRPr="00356920">
        <w:t xml:space="preserve"> </w:t>
      </w:r>
      <w:r w:rsidR="00C00896" w:rsidRPr="00356920">
        <w:t>t</w:t>
      </w:r>
      <w:r w:rsidRPr="00356920">
        <w:t>heir</w:t>
      </w:r>
      <w:r w:rsidR="002A1DB5" w:rsidRPr="00356920">
        <w:t xml:space="preserve"> </w:t>
      </w:r>
      <w:r w:rsidR="00C00896" w:rsidRPr="00356920">
        <w:t>t</w:t>
      </w:r>
      <w:r w:rsidR="002A1DB5" w:rsidRPr="00356920">
        <w:t xml:space="preserve">axable </w:t>
      </w:r>
      <w:r w:rsidR="00C00896" w:rsidRPr="00356920">
        <w:t>a</w:t>
      </w:r>
      <w:r w:rsidR="002A1DB5" w:rsidRPr="00356920">
        <w:t xml:space="preserve">ctivities and </w:t>
      </w:r>
      <w:r w:rsidR="00356920">
        <w:t>any</w:t>
      </w:r>
      <w:r w:rsidR="002A1DB5" w:rsidRPr="00356920">
        <w:t xml:space="preserve"> </w:t>
      </w:r>
      <w:r w:rsidR="00C00896" w:rsidRPr="00356920">
        <w:t>r</w:t>
      </w:r>
      <w:r w:rsidR="002A1DB5" w:rsidRPr="00356920">
        <w:t xml:space="preserve">esulting </w:t>
      </w:r>
      <w:r w:rsidR="00C00896" w:rsidRPr="00356920">
        <w:t>t</w:t>
      </w:r>
      <w:r w:rsidR="00F45484" w:rsidRPr="00356920">
        <w:t xml:space="preserve">ax </w:t>
      </w:r>
      <w:r w:rsidR="00C00896" w:rsidRPr="00356920">
        <w:t>items</w:t>
      </w:r>
      <w:r w:rsidR="00356920">
        <w:t xml:space="preserve"> that may affect calculation of tax</w:t>
      </w:r>
      <w:r w:rsidR="00C00896" w:rsidRPr="00356920">
        <w:t>.</w:t>
      </w:r>
      <w:r w:rsidRPr="00356920">
        <w:t xml:space="preserve"> </w:t>
      </w:r>
      <w:r w:rsidR="00CD5DFD">
        <w:t xml:space="preserve">IRC </w:t>
      </w:r>
      <w:r w:rsidR="005D608E">
        <w:t>§ 703.</w:t>
      </w:r>
    </w:p>
    <w:p w14:paraId="5ECEAB3B" w14:textId="44904312" w:rsidR="002D5074" w:rsidRPr="00356920" w:rsidRDefault="00356920" w:rsidP="00955008">
      <w:pPr>
        <w:pStyle w:val="ListParagraph"/>
        <w:numPr>
          <w:ilvl w:val="0"/>
          <w:numId w:val="5"/>
        </w:numPr>
        <w:spacing w:after="120"/>
        <w:ind w:left="792"/>
        <w:contextualSpacing w:val="0"/>
      </w:pPr>
      <w:r w:rsidRPr="00356920">
        <w:t>The</w:t>
      </w:r>
      <w:r w:rsidR="004D5B78" w:rsidRPr="00356920">
        <w:t xml:space="preserve"> character </w:t>
      </w:r>
      <w:r>
        <w:t xml:space="preserve">of the items is attributed along with the </w:t>
      </w:r>
      <w:r w:rsidR="00C00896" w:rsidRPr="00356920">
        <w:t>share of the items</w:t>
      </w:r>
      <w:r w:rsidR="002D5074" w:rsidRPr="00356920">
        <w:t xml:space="preserve"> </w:t>
      </w:r>
      <w:r w:rsidRPr="00356920">
        <w:t xml:space="preserve"> </w:t>
      </w:r>
      <w:r w:rsidR="00C00896" w:rsidRPr="00356920">
        <w:t xml:space="preserve">to </w:t>
      </w:r>
      <w:r>
        <w:t xml:space="preserve">the </w:t>
      </w:r>
      <w:r w:rsidR="004D5B78" w:rsidRPr="00356920">
        <w:t>direct and indirect</w:t>
      </w:r>
      <w:r w:rsidR="00830639" w:rsidRPr="00356920">
        <w:rPr>
          <w:rStyle w:val="FootnoteReference"/>
        </w:rPr>
        <w:footnoteReference w:id="22"/>
      </w:r>
      <w:r w:rsidR="004D5B78" w:rsidRPr="00356920">
        <w:t xml:space="preserve"> partners</w:t>
      </w:r>
      <w:r w:rsidR="00C00896" w:rsidRPr="00356920">
        <w:t>.</w:t>
      </w:r>
      <w:r w:rsidR="002A1DB5" w:rsidRPr="00356920">
        <w:t xml:space="preserve"> </w:t>
      </w:r>
      <w:r w:rsidR="005D608E">
        <w:t xml:space="preserve">IRC §§ 702 and 704. </w:t>
      </w:r>
    </w:p>
    <w:p w14:paraId="578AFF74" w14:textId="799C1DDA" w:rsidR="002D5074" w:rsidRPr="00356920" w:rsidRDefault="004D5B78" w:rsidP="00955008">
      <w:pPr>
        <w:pStyle w:val="ListParagraph"/>
        <w:numPr>
          <w:ilvl w:val="0"/>
          <w:numId w:val="5"/>
        </w:numPr>
        <w:spacing w:after="120"/>
        <w:ind w:left="792"/>
        <w:contextualSpacing w:val="0"/>
      </w:pPr>
      <w:r w:rsidRPr="00356920">
        <w:t>Partners report their share of items</w:t>
      </w:r>
      <w:r w:rsidR="00356920">
        <w:t>,</w:t>
      </w:r>
      <w:r w:rsidRPr="00356920">
        <w:t xml:space="preserve"> </w:t>
      </w:r>
      <w:r w:rsidR="00356920">
        <w:t>treating them consistently with the character as determined by the partnership,</w:t>
      </w:r>
      <w:r w:rsidRPr="00356920">
        <w:t xml:space="preserve"> when calculating their own tax.</w:t>
      </w:r>
      <w:r w:rsidR="00CD5DFD">
        <w:rPr>
          <w:rStyle w:val="FootnoteReference"/>
        </w:rPr>
        <w:footnoteReference w:id="23"/>
      </w:r>
    </w:p>
    <w:p w14:paraId="1C19FB07" w14:textId="46F641F7" w:rsidR="00786964" w:rsidRDefault="00786964" w:rsidP="00786964">
      <w:pPr>
        <w:pStyle w:val="Heading3"/>
      </w:pPr>
      <w:bookmarkStart w:id="50" w:name="_Toc195435245"/>
      <w:r>
        <w:lastRenderedPageBreak/>
        <w:t>Federal Recognition of the Attribution Principle</w:t>
      </w:r>
      <w:bookmarkEnd w:id="50"/>
    </w:p>
    <w:p w14:paraId="6A01C693" w14:textId="73925D80" w:rsidR="00786964" w:rsidRPr="00786964" w:rsidRDefault="00356920" w:rsidP="00786964">
      <w:r>
        <w:t>In 2024</w:t>
      </w:r>
      <w:r w:rsidR="00D2110A">
        <w:t>,</w:t>
      </w:r>
      <w:r w:rsidR="00786964">
        <w:t xml:space="preserve"> the U.S. Supreme Court handed down </w:t>
      </w:r>
      <w:r>
        <w:t>its</w:t>
      </w:r>
      <w:r w:rsidR="00786964">
        <w:t xml:space="preserve"> decision </w:t>
      </w:r>
      <w:r>
        <w:t>in</w:t>
      </w:r>
      <w:r w:rsidR="0060515E">
        <w:t xml:space="preserve"> </w:t>
      </w:r>
      <w:r w:rsidR="0060515E">
        <w:rPr>
          <w:i/>
          <w:iCs/>
        </w:rPr>
        <w:t>Moore v. United States</w:t>
      </w:r>
      <w:r w:rsidR="0060515E">
        <w:t>,</w:t>
      </w:r>
      <w:r w:rsidR="0060515E">
        <w:rPr>
          <w:rStyle w:val="FootnoteReference"/>
        </w:rPr>
        <w:footnoteReference w:id="24"/>
      </w:r>
      <w:r>
        <w:t xml:space="preserve"> </w:t>
      </w:r>
      <w:r w:rsidR="00786964">
        <w:t xml:space="preserve">which discussed the attribution principle </w:t>
      </w:r>
      <w:r w:rsidR="0060515E">
        <w:t>at length</w:t>
      </w:r>
      <w:r w:rsidR="0015639A">
        <w:t>, acknowledging that it had long been applied to partnership</w:t>
      </w:r>
      <w:r w:rsidR="0038056F">
        <w:t xml:space="preserve"> taxation</w:t>
      </w:r>
      <w:r w:rsidR="0060515E">
        <w:t>.</w:t>
      </w:r>
      <w:r w:rsidR="0038056F">
        <w:t xml:space="preserve"> </w:t>
      </w:r>
      <w:r w:rsidR="008C0089">
        <w:t xml:space="preserve">The Court rejected the argument that this attribution approach to taxing partnerships was </w:t>
      </w:r>
      <w:r w:rsidR="002E286A">
        <w:t xml:space="preserve">based primarily in the aggregate theory—that is—that partnerships are </w:t>
      </w:r>
      <w:r w:rsidR="006F433F">
        <w:t xml:space="preserve">simply </w:t>
      </w:r>
      <w:r w:rsidR="002E286A">
        <w:t>not</w:t>
      </w:r>
      <w:r w:rsidR="006F433F">
        <w:t xml:space="preserve"> treated as</w:t>
      </w:r>
      <w:r w:rsidR="002E286A">
        <w:t xml:space="preserve"> separate entities</w:t>
      </w:r>
      <w:r w:rsidR="00EA14D7">
        <w:t xml:space="preserve">, noting that this was not entirely true even for traditional partnerships. </w:t>
      </w:r>
      <w:r w:rsidR="008C0089">
        <w:t xml:space="preserve"> </w:t>
      </w:r>
      <w:r w:rsidR="0060515E">
        <w:t xml:space="preserve"> </w:t>
      </w:r>
    </w:p>
    <w:p w14:paraId="00395FB5" w14:textId="761F53BB" w:rsidR="008E7017" w:rsidRDefault="0001542B" w:rsidP="002A47FE">
      <w:pPr>
        <w:pStyle w:val="Heading3"/>
      </w:pPr>
      <w:bookmarkStart w:id="51" w:name="_Toc195435246"/>
      <w:r>
        <w:t xml:space="preserve">Attribution </w:t>
      </w:r>
      <w:r w:rsidR="0006371D">
        <w:t>of an Item’s Domestic or Foreign Source</w:t>
      </w:r>
      <w:bookmarkEnd w:id="51"/>
    </w:p>
    <w:p w14:paraId="206DA01D" w14:textId="6B7C6D1A" w:rsidR="007C7984" w:rsidRDefault="007C7984" w:rsidP="007C7984">
      <w:r>
        <w:t xml:space="preserve">The characterization of partnership items at the partnership level under IRC § 703 and attribution of that tax character to partners under IRC § 702(b) also determines how federal sourcing rules </w:t>
      </w:r>
      <w:r w:rsidR="009208EA">
        <w:t xml:space="preserve">are generally </w:t>
      </w:r>
      <w:r>
        <w:t>applied to t</w:t>
      </w:r>
      <w:r w:rsidR="002D5074">
        <w:t>hose items</w:t>
      </w:r>
      <w:r>
        <w:t xml:space="preserve">. This </w:t>
      </w:r>
      <w:r w:rsidR="002D5074">
        <w:t xml:space="preserve">application of the </w:t>
      </w:r>
      <w:r>
        <w:t xml:space="preserve">attribution </w:t>
      </w:r>
      <w:r w:rsidR="002D5074">
        <w:t xml:space="preserve">principle </w:t>
      </w:r>
      <w:r>
        <w:t>is also made explicit in the federal sourcing rules themselves. For example, IRC § 875 provides that: “</w:t>
      </w:r>
      <w:r w:rsidRPr="007C7984">
        <w:t>a nonresident alien individual or foreign corporation shall be considered as being engaged in a trade or business within the United States if the partnership of which such individual or corporation is a member is so engaged</w:t>
      </w:r>
      <w:r>
        <w:t>.”</w:t>
      </w:r>
      <w:r w:rsidRPr="007C7984">
        <w:t xml:space="preserve"> </w:t>
      </w:r>
      <w:r w:rsidR="00EF3B25">
        <w:t xml:space="preserve">In addition, </w:t>
      </w:r>
      <w:r>
        <w:t xml:space="preserve"> </w:t>
      </w:r>
      <w:r w:rsidR="00EF3B25">
        <w:br/>
      </w:r>
      <w:r>
        <w:t>IRC §</w:t>
      </w:r>
      <w:r w:rsidR="004332D8">
        <w:t>§</w:t>
      </w:r>
      <w:r>
        <w:t xml:space="preserve"> 897(c)(4)(B)</w:t>
      </w:r>
      <w:r w:rsidR="004332D8">
        <w:t xml:space="preserve"> and 958(a)(2)</w:t>
      </w:r>
      <w:r>
        <w:t xml:space="preserve"> make clear that </w:t>
      </w:r>
      <w:r w:rsidR="002D5074">
        <w:t xml:space="preserve">the federal rules for </w:t>
      </w:r>
      <w:r>
        <w:t xml:space="preserve">sourcing gains or losses from sale of real property </w:t>
      </w:r>
      <w:r w:rsidR="004332D8">
        <w:t>or stock</w:t>
      </w:r>
      <w:r w:rsidR="002D5074">
        <w:t xml:space="preserve"> treat </w:t>
      </w:r>
      <w:r>
        <w:t xml:space="preserve">assets held by </w:t>
      </w:r>
      <w:r w:rsidR="002D5074">
        <w:t>a</w:t>
      </w:r>
      <w:r>
        <w:t xml:space="preserve"> partnership as held proportionately by its partners.</w:t>
      </w:r>
      <w:r w:rsidR="004332D8">
        <w:t xml:space="preserve"> </w:t>
      </w:r>
    </w:p>
    <w:p w14:paraId="22F65CB8" w14:textId="63A63495" w:rsidR="008F09C8" w:rsidRDefault="00647AA1" w:rsidP="008F09C8">
      <w:pPr>
        <w:pStyle w:val="Heading3"/>
      </w:pPr>
      <w:bookmarkStart w:id="52" w:name="_Toc195435247"/>
      <w:r>
        <w:t>Attribution in the State Tax Context</w:t>
      </w:r>
      <w:bookmarkEnd w:id="52"/>
    </w:p>
    <w:p w14:paraId="5CB536AD" w14:textId="58185DEE" w:rsidR="002D5074" w:rsidRDefault="002D5074" w:rsidP="002D5074">
      <w:r>
        <w:t xml:space="preserve">To the extent that states conform to the federal IRC and to Subchapter K when imposing tax on partnership income, the attribution principle will apply. </w:t>
      </w:r>
      <w:r w:rsidR="00DA61A8">
        <w:t>(See further discussion of state conformity in subsection I.</w:t>
      </w:r>
      <w:r w:rsidR="00ED4419">
        <w:t>D. above.</w:t>
      </w:r>
      <w:r w:rsidR="00D2110A">
        <w:t>)</w:t>
      </w:r>
      <w:r w:rsidR="00DA61A8">
        <w:t xml:space="preserve"> </w:t>
      </w:r>
      <w:r w:rsidR="00714728">
        <w:t xml:space="preserve">However, determining the extent of this attribution when the question is the effect on state taxation may be </w:t>
      </w:r>
      <w:r w:rsidR="00C863F9">
        <w:t>more difficult.</w:t>
      </w:r>
    </w:p>
    <w:p w14:paraId="07CA326F" w14:textId="2D4898A8" w:rsidR="00A22589" w:rsidRDefault="006F433F" w:rsidP="006F433F">
      <w:pPr>
        <w:pStyle w:val="Heading4"/>
        <w:ind w:left="720"/>
      </w:pPr>
      <w:r>
        <w:t xml:space="preserve">The attribution principle may apply </w:t>
      </w:r>
      <w:r w:rsidR="0008399F">
        <w:t xml:space="preserve">generally </w:t>
      </w:r>
      <w:r>
        <w:t xml:space="preserve">in the state tax context. </w:t>
      </w:r>
    </w:p>
    <w:p w14:paraId="0F61DBA6" w14:textId="59EC20B8" w:rsidR="009B5FFB" w:rsidRDefault="006F433F" w:rsidP="008A745C">
      <w:pPr>
        <w:ind w:left="720"/>
      </w:pPr>
      <w:r>
        <w:t xml:space="preserve">An example of applying the attribution principle in </w:t>
      </w:r>
      <w:r w:rsidR="00FA77B8">
        <w:t xml:space="preserve">a strictly </w:t>
      </w:r>
      <w:r>
        <w:t>state tax context is the</w:t>
      </w:r>
      <w:r w:rsidR="00B70168">
        <w:t xml:space="preserve"> </w:t>
      </w:r>
      <w:r w:rsidR="00FA77B8">
        <w:t xml:space="preserve">decision of the </w:t>
      </w:r>
      <w:r w:rsidR="00B70168">
        <w:t>Connecticut Supreme Court</w:t>
      </w:r>
      <w:r>
        <w:t xml:space="preserve"> in</w:t>
      </w:r>
      <w:r w:rsidR="00B70168">
        <w:t xml:space="preserve"> </w:t>
      </w:r>
      <w:r w:rsidR="00FA77B8" w:rsidRPr="00FA77B8">
        <w:rPr>
          <w:i/>
          <w:iCs/>
        </w:rPr>
        <w:t>Bell Atl. NYNEX Mobile, Inc.</w:t>
      </w:r>
      <w:r w:rsidR="00FA77B8">
        <w:rPr>
          <w:i/>
          <w:iCs/>
        </w:rPr>
        <w:t xml:space="preserve"> v.</w:t>
      </w:r>
      <w:r w:rsidR="00FA77B8" w:rsidRPr="00FA77B8">
        <w:rPr>
          <w:i/>
          <w:iCs/>
        </w:rPr>
        <w:t xml:space="preserve"> Comm'r of Revenue Servs., </w:t>
      </w:r>
      <w:r w:rsidR="00FA77B8" w:rsidRPr="00FA77B8">
        <w:t>273 Conn. 240, 869 A.2d 611 (2005)</w:t>
      </w:r>
      <w:r w:rsidR="00FA77B8">
        <w:t xml:space="preserve">, where the court </w:t>
      </w:r>
      <w:r w:rsidR="00B70168">
        <w:t xml:space="preserve">grappled with the question of attribution in a case involving a state tax credit </w:t>
      </w:r>
      <w:r w:rsidR="00FA77B8">
        <w:t xml:space="preserve">for municipal taxes </w:t>
      </w:r>
      <w:r w:rsidR="00B70168">
        <w:t xml:space="preserve">and whether that tax credit could be attributed to the corporate partners. There, </w:t>
      </w:r>
      <w:r w:rsidR="009B5FFB">
        <w:t xml:space="preserve">the </w:t>
      </w:r>
      <w:r w:rsidR="00FA77B8">
        <w:t>court</w:t>
      </w:r>
      <w:r w:rsidR="009B5FFB">
        <w:t xml:space="preserve"> explained: </w:t>
      </w:r>
    </w:p>
    <w:p w14:paraId="5F9EFA05" w14:textId="004C23AC" w:rsidR="009B5FFB" w:rsidRDefault="00D923F4" w:rsidP="0008399F">
      <w:pPr>
        <w:spacing w:after="80"/>
        <w:ind w:left="1296" w:right="720"/>
      </w:pPr>
      <w:r>
        <w:t xml:space="preserve">Although we disagree that our precedents denote the general incorporation of federal tax principles into our state tax statutes, we conclude that the corporation business tax does incorporate the federal conduit treatment of partnership tax attributes through the adoption of the federal income tax definition of </w:t>
      </w:r>
      <w:r w:rsidR="005160F3">
        <w:t>‘</w:t>
      </w:r>
      <w:r>
        <w:t>gross income.</w:t>
      </w:r>
      <w:r w:rsidR="005160F3">
        <w:t>’</w:t>
      </w:r>
    </w:p>
    <w:p w14:paraId="1C31CBA0" w14:textId="1A7FD77B" w:rsidR="008B3546" w:rsidRDefault="008B3546" w:rsidP="0008399F">
      <w:pPr>
        <w:spacing w:after="80"/>
        <w:ind w:left="1296" w:right="720"/>
      </w:pPr>
      <w:r>
        <w:t>. . .</w:t>
      </w:r>
    </w:p>
    <w:p w14:paraId="1A2FF81B" w14:textId="5D10CEE1" w:rsidR="009B5FFB" w:rsidRDefault="00B70168" w:rsidP="0008399F">
      <w:pPr>
        <w:spacing w:after="80"/>
        <w:ind w:left="1296" w:right="720"/>
      </w:pPr>
      <w:r>
        <w:t>“</w:t>
      </w:r>
      <w:r w:rsidR="00D923F4">
        <w:t xml:space="preserve">That concept of </w:t>
      </w:r>
      <w:r>
        <w:t>‘</w:t>
      </w:r>
      <w:r w:rsidR="00D923F4">
        <w:t>gross income,</w:t>
      </w:r>
      <w:r>
        <w:t>’</w:t>
      </w:r>
      <w:r w:rsidR="00D923F4">
        <w:t xml:space="preserve"> in turn, incorporates the conduit treatment of partnership tax attributes. In the Internal Revenue Code, </w:t>
      </w:r>
      <w:r>
        <w:t>‘</w:t>
      </w:r>
      <w:r w:rsidR="00D923F4">
        <w:t>gross income</w:t>
      </w:r>
      <w:r>
        <w:t>’</w:t>
      </w:r>
      <w:r w:rsidR="00D923F4">
        <w:t xml:space="preserve"> includes income derived from a </w:t>
      </w:r>
      <w:r>
        <w:t>‘</w:t>
      </w:r>
      <w:r w:rsidR="00D923F4">
        <w:t>[d]</w:t>
      </w:r>
      <w:proofErr w:type="spellStart"/>
      <w:r w:rsidR="00D923F4">
        <w:t>istributive</w:t>
      </w:r>
      <w:proofErr w:type="spellEnd"/>
      <w:r w:rsidR="00D923F4">
        <w:t xml:space="preserve"> share of partnership gross income. . . .</w:t>
      </w:r>
      <w:r>
        <w:t>’</w:t>
      </w:r>
      <w:r w:rsidR="00D923F4">
        <w:t xml:space="preserve"> 26 U.S.C. 61 (a) (13). Section 702 (c) of the Internal Revenue Code further specifies that </w:t>
      </w:r>
      <w:r>
        <w:t>‘</w:t>
      </w:r>
      <w:r w:rsidR="00D923F4">
        <w:t>[i]n any case where it is necessary to determine the gross income of a partner for purposes of this title, such amount shall include his distributive share of the gross income of the partnership.</w:t>
      </w:r>
      <w:r>
        <w:t>’</w:t>
      </w:r>
      <w:r w:rsidR="00D923F4">
        <w:t xml:space="preserve"> 26 U.S.C. 702 (c). Consequently, in a partnership situation, the character of those items constituting a partner's distributive share of the partnership's gross income provides essential context to the concept of a partner's gross income. Section 702 (b) of the Internal Revenue Code provides that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26 </w:t>
      </w:r>
      <w:r w:rsidR="00D923F4">
        <w:lastRenderedPageBreak/>
        <w:t xml:space="preserve">U.S.C. 702 (b). This provision results in the conduit treatment of partnership tax attributes in the federal tax code. </w:t>
      </w:r>
      <w:r>
        <w:t>. . .</w:t>
      </w:r>
      <w:r w:rsidR="00D923F4">
        <w:t>Thus, the incorporation of the federal conduit treatment of partnership tax attributes necessarily follows from the conclusion that the</w:t>
      </w:r>
      <w:r w:rsidR="00FA77B8">
        <w:t xml:space="preserve"> [state]</w:t>
      </w:r>
      <w:r w:rsidR="00D923F4">
        <w:t xml:space="preserve"> corporation business tax incorporates the federal income tax concept of </w:t>
      </w:r>
      <w:r>
        <w:t>‘</w:t>
      </w:r>
      <w:r w:rsidR="00D923F4">
        <w:t>gross income.</w:t>
      </w:r>
      <w:r>
        <w:t>’</w:t>
      </w:r>
    </w:p>
    <w:p w14:paraId="3F2F473F" w14:textId="3CAA2D6A" w:rsidR="00D923F4" w:rsidRDefault="00D923F4" w:rsidP="0008399F">
      <w:pPr>
        <w:spacing w:after="80"/>
        <w:ind w:left="1296" w:right="720"/>
      </w:pPr>
      <w:r>
        <w:t xml:space="preserve">This treatment of partnership tax attributes agrees not only with the federal approach but with the approach of most other states. </w:t>
      </w:r>
      <w:r w:rsidR="005160F3">
        <w:t>. . .</w:t>
      </w:r>
      <w:r>
        <w:t xml:space="preserve"> II J. Hellerstein &amp; W. Hellerstein, State Taxation (3d Ed. 2003) 20.08, p. 20-134.</w:t>
      </w:r>
    </w:p>
    <w:p w14:paraId="7DF24FEE" w14:textId="679D05C3" w:rsidR="005160F3" w:rsidRDefault="005160F3" w:rsidP="008A745C">
      <w:pPr>
        <w:ind w:left="1296" w:right="720"/>
      </w:pPr>
      <w:r w:rsidRPr="005160F3">
        <w:t xml:space="preserve">Establishing that corporation business tax attributes pass through the partnership to the partners with the same character that they had at the partnership level, however, does not suffice to establish that </w:t>
      </w:r>
      <w:r>
        <w:t>[the partnership’s]</w:t>
      </w:r>
      <w:r w:rsidRPr="005160F3">
        <w:t xml:space="preserve"> payment of the municipal property tax resulted in a credit that can be attributed to the partners. Under the conduit approach, "the character of [the tax attribute] is determined at the entity or partnership level before the item is passed through to the partners." </w:t>
      </w:r>
      <w:r>
        <w:t>. . .</w:t>
      </w:r>
      <w:r w:rsidRPr="005160F3">
        <w:t xml:space="preserve"> In the present case, </w:t>
      </w:r>
      <w:r>
        <w:t>[the partnership’s]</w:t>
      </w:r>
      <w:r w:rsidRPr="005160F3">
        <w:t xml:space="preserve"> payment of the municipal property tax was just that, a payment, not a tax credit. Not every action taken by the partnership passes through to the partners as if they performed the act. </w:t>
      </w:r>
      <w:r>
        <w:t>“</w:t>
      </w:r>
    </w:p>
    <w:p w14:paraId="7667C076" w14:textId="75AA229B" w:rsidR="00FA77B8" w:rsidRDefault="00AA0F8A" w:rsidP="00FA77B8">
      <w:pPr>
        <w:ind w:left="720" w:right="720"/>
      </w:pPr>
      <w:r>
        <w:t>This</w:t>
      </w:r>
      <w:r w:rsidR="00FA77B8">
        <w:t xml:space="preserve"> case demonstrates that while the character of items may be attributed from the partnership to the partners, whether or not the partners therefore qualify for certain state tax treatment will also depend on the </w:t>
      </w:r>
      <w:r w:rsidR="0008399F">
        <w:t xml:space="preserve">specific </w:t>
      </w:r>
      <w:r w:rsidR="00FA77B8">
        <w:t xml:space="preserve">treatment in question.  </w:t>
      </w:r>
    </w:p>
    <w:p w14:paraId="0D95567B" w14:textId="0BD0E8BD" w:rsidR="00FA28D4" w:rsidRDefault="00FA77B8" w:rsidP="00FA28D4">
      <w:pPr>
        <w:pStyle w:val="Heading4"/>
        <w:ind w:left="720"/>
      </w:pPr>
      <w:r>
        <w:t xml:space="preserve">The attribution principle </w:t>
      </w:r>
      <w:r w:rsidR="0008399F">
        <w:t>is not controlled by</w:t>
      </w:r>
      <w:r>
        <w:t xml:space="preserve"> the unitary business principle.</w:t>
      </w:r>
    </w:p>
    <w:p w14:paraId="13CD047F" w14:textId="7720FC7C" w:rsidR="00D923F4" w:rsidRDefault="005160F3" w:rsidP="005160F3">
      <w:pPr>
        <w:ind w:left="720"/>
      </w:pPr>
      <w:r>
        <w:t xml:space="preserve">In another state tax case, </w:t>
      </w:r>
      <w:r w:rsidR="00E6410A" w:rsidRPr="00E6410A">
        <w:rPr>
          <w:i/>
          <w:iCs/>
        </w:rPr>
        <w:t>Albertson's, Inc. v. State, Dept. of Revenue</w:t>
      </w:r>
      <w:r w:rsidR="00E6410A" w:rsidRPr="00E6410A">
        <w:t>, 683 P.2d 846, 854 (Idaho 1984)</w:t>
      </w:r>
      <w:r w:rsidR="00E6410A">
        <w:t xml:space="preserve">, </w:t>
      </w:r>
      <w:r>
        <w:t xml:space="preserve">the Idaho Supreme Court addressed the difference between the conduit principle and the unitary business principle in a case </w:t>
      </w:r>
      <w:r w:rsidR="00E6410A">
        <w:t xml:space="preserve">where the taxpayer argued partnership income could not be included in the taxpayer’s </w:t>
      </w:r>
      <w:r w:rsidR="00786964">
        <w:t xml:space="preserve">combined </w:t>
      </w:r>
      <w:r w:rsidR="00E6410A">
        <w:t>return</w:t>
      </w:r>
      <w:r>
        <w:t xml:space="preserve">. There the court noted: </w:t>
      </w:r>
    </w:p>
    <w:p w14:paraId="23F8EE50" w14:textId="397BB183" w:rsidR="00E6410A" w:rsidRDefault="00D566A8" w:rsidP="0008399F">
      <w:pPr>
        <w:spacing w:after="80"/>
        <w:ind w:left="1296" w:right="720"/>
      </w:pPr>
      <w:r>
        <w:t xml:space="preserve">Accordingly, the trial court erred in its conclusion that "Albertson's, Inc. and Texas-Albertson's should not be considered unitary." Although the opinion of the trial court reflects that it understood and utilized the principles set forth above for ascertaining the existence of a unitary business operation, it reached an inappropriate result by virtue of its attempt to apply those principles as between Albertson's and the Skaggs-Albertson's partnership instead of between Albertson's, Inc. and Texas-Albertson's. </w:t>
      </w:r>
    </w:p>
    <w:p w14:paraId="1957219A" w14:textId="3E56D367" w:rsidR="00E6410A" w:rsidRDefault="00E6410A" w:rsidP="0008399F">
      <w:pPr>
        <w:spacing w:after="80"/>
        <w:ind w:left="1296" w:right="720"/>
      </w:pPr>
      <w:r>
        <w:t xml:space="preserve">. . . </w:t>
      </w:r>
    </w:p>
    <w:p w14:paraId="4D7CE24B" w14:textId="5955AEA7" w:rsidR="00E6410A" w:rsidRDefault="00D566A8" w:rsidP="0008399F">
      <w:pPr>
        <w:spacing w:after="80"/>
        <w:ind w:left="1296" w:right="720"/>
      </w:pPr>
      <w:r>
        <w:t xml:space="preserve">The tax treatment of partnerships is explained in </w:t>
      </w:r>
      <w:proofErr w:type="spellStart"/>
      <w:r>
        <w:t>Bittker</w:t>
      </w:r>
      <w:proofErr w:type="spellEnd"/>
      <w:r>
        <w:t xml:space="preserve"> &amp; Eustice, Federal Income Taxation of Corporations and Shareholders, Section 1.07, p. 1-26 (4th Ed. 1979).  </w:t>
      </w:r>
    </w:p>
    <w:p w14:paraId="1349B2AD" w14:textId="741ACF7D" w:rsidR="00D566A8" w:rsidRDefault="00E6410A" w:rsidP="0008399F">
      <w:pPr>
        <w:spacing w:after="80"/>
        <w:ind w:left="1296" w:right="720"/>
      </w:pPr>
      <w:r>
        <w:t>‘</w:t>
      </w:r>
      <w:r w:rsidR="00D566A8">
        <w:t>Partnerships are not taxed as such (§ 701), but each partner is taxed on his share of the firm's income, whether it is distributed to him or not. Under the prevailing conduit theory, the character of such items as ordinary income, capital gains and losses, charitable contributions, tax exempt interests, etc., carries over to the partner (§ 702).</w:t>
      </w:r>
      <w:r>
        <w:t>’</w:t>
      </w:r>
    </w:p>
    <w:p w14:paraId="0D58599D" w14:textId="471A221F" w:rsidR="00D566A8" w:rsidRDefault="00D566A8" w:rsidP="0008399F">
      <w:pPr>
        <w:spacing w:after="80"/>
        <w:ind w:left="1296" w:right="720"/>
      </w:pPr>
      <w:r>
        <w:t xml:space="preserve">Idaho Code § 63-3002 provides in part:  </w:t>
      </w:r>
    </w:p>
    <w:p w14:paraId="07AD29FC" w14:textId="77777777" w:rsidR="0008399F" w:rsidRDefault="00E6410A" w:rsidP="0008399F">
      <w:pPr>
        <w:spacing w:after="80"/>
        <w:ind w:left="1296" w:right="720"/>
      </w:pPr>
      <w:r>
        <w:t>‘</w:t>
      </w:r>
      <w:r w:rsidR="00D566A8">
        <w:t>Declaration of Intent.--It is the intent of the legislature by the adoption of this act, insofar as possible to make the provisions of the Idaho act identical to the provisions of the Federal Internal Revenue Code relating to the measurement of taxable income, ... by the application of the various provisions of the Federal Internal Revenue Code relating to ... taxation of trusts, estates, partnerships and corporations...</w:t>
      </w:r>
      <w:r>
        <w:t>’</w:t>
      </w:r>
      <w:r w:rsidR="00D566A8">
        <w:t>.</w:t>
      </w:r>
    </w:p>
    <w:p w14:paraId="720F90BC" w14:textId="1C3711A8" w:rsidR="00D566A8" w:rsidRDefault="00D566A8" w:rsidP="0008399F">
      <w:pPr>
        <w:spacing w:after="80"/>
        <w:ind w:left="1296" w:right="720"/>
      </w:pPr>
      <w:r>
        <w:t>The Tax Commission has never attempted to combine the Skaggs-Albertson's partnership with Albertson's, Inc. under the unitary principle. Only the wholly-</w:t>
      </w:r>
      <w:r>
        <w:lastRenderedPageBreak/>
        <w:t>owned subsidiary corporation was included in the Commission's combination. This is evidenced by the explanation of items contained in the Notice of Deficiency Determination and by the decision of the Tax Commission. The Tax Commission did not combine the partnership with Albertson's and include the partnership's income with Albertson's. The Tax Commission assigned Texas-Albertson's distributive share (50%) of the Partnership's income, deductions, and apportionment factors to Texas-Albertson's and this share of the income belonging to Texas-Albertson's was combined with Albertson's income, and apportioned under the UDITPA formula in order to accurately reflect Albertson's income in Idaho. The result thus reached is exactly what Albertson's would have paid in Idaho taxes had the subsidiary never been formed.</w:t>
      </w:r>
    </w:p>
    <w:p w14:paraId="5A307096" w14:textId="0B30E412" w:rsidR="00D566A8" w:rsidRDefault="00786964" w:rsidP="0008399F">
      <w:pPr>
        <w:spacing w:before="120"/>
        <w:ind w:left="720"/>
      </w:pPr>
      <w:r>
        <w:t xml:space="preserve">Or, to paraphrase the court, attribution is not the same as combination. </w:t>
      </w:r>
      <w:r w:rsidR="0008399F">
        <w:t>And, moreover,</w:t>
      </w:r>
      <w:r>
        <w:t xml:space="preserve"> the unitary business principle does not determine when attribution applies. </w:t>
      </w:r>
    </w:p>
    <w:p w14:paraId="43C2F5E9" w14:textId="740F6C0D" w:rsidR="008F09C8" w:rsidRDefault="009B708C" w:rsidP="008F09C8">
      <w:pPr>
        <w:pStyle w:val="Heading3"/>
      </w:pPr>
      <w:bookmarkStart w:id="53" w:name="_Toc195435248"/>
      <w:r>
        <w:t xml:space="preserve">Significance of the </w:t>
      </w:r>
      <w:r w:rsidR="008F09C8">
        <w:t>Attribution Principle to Sourcing of Multistate Income</w:t>
      </w:r>
      <w:bookmarkEnd w:id="53"/>
    </w:p>
    <w:p w14:paraId="11000739" w14:textId="531BAC8B" w:rsidR="00E3710D" w:rsidRDefault="00E56175" w:rsidP="008F09C8">
      <w:r>
        <w:t xml:space="preserve">The federal </w:t>
      </w:r>
      <w:r w:rsidR="00915E99">
        <w:t xml:space="preserve">substantive tax provisions do not govern how multistate income is sourced—but they do determine </w:t>
      </w:r>
      <w:r w:rsidR="000331A0">
        <w:t>whether income is domestic or foreign</w:t>
      </w:r>
      <w:r w:rsidR="00767293">
        <w:t>.</w:t>
      </w:r>
      <w:r w:rsidR="000331A0">
        <w:t xml:space="preserve"> </w:t>
      </w:r>
      <w:r w:rsidR="00767293">
        <w:t>S</w:t>
      </w:r>
      <w:r w:rsidR="000331A0">
        <w:t>tates generally conform to this determination</w:t>
      </w:r>
      <w:r w:rsidR="00767293">
        <w:t xml:space="preserve"> of domestic or foreign-sourced income with some exceptions</w:t>
      </w:r>
      <w:r w:rsidR="000331A0">
        <w:t xml:space="preserve">. Consequently, if a foreign national has income that, for federal tax purposes, would be sourced </w:t>
      </w:r>
      <w:r w:rsidR="006E07C4">
        <w:t>to the US</w:t>
      </w:r>
      <w:r w:rsidR="000331A0">
        <w:t xml:space="preserve">, then that income </w:t>
      </w:r>
      <w:r w:rsidR="00BF4113">
        <w:t>may</w:t>
      </w:r>
      <w:r w:rsidR="00470604">
        <w:t xml:space="preserve"> be</w:t>
      </w:r>
      <w:r w:rsidR="00BF4113">
        <w:t xml:space="preserve"> </w:t>
      </w:r>
      <w:r w:rsidR="009C5532">
        <w:t xml:space="preserve">treated as domestic income and subject to </w:t>
      </w:r>
      <w:r w:rsidR="000331A0">
        <w:t>state taxation</w:t>
      </w:r>
      <w:r w:rsidR="00F478F5">
        <w:t xml:space="preserve"> as well</w:t>
      </w:r>
      <w:r w:rsidR="00725BAF">
        <w:t>.</w:t>
      </w:r>
    </w:p>
    <w:p w14:paraId="13968695" w14:textId="67B73FFD" w:rsidR="008500E3" w:rsidRDefault="00932469" w:rsidP="008500E3">
      <w:r>
        <w:t>Note</w:t>
      </w:r>
      <w:r w:rsidR="002B1A48">
        <w:t>, however,</w:t>
      </w:r>
      <w:r>
        <w:t xml:space="preserve"> that </w:t>
      </w:r>
      <w:r w:rsidR="006E07C4">
        <w:t>even though</w:t>
      </w:r>
      <w:r w:rsidR="003E452E">
        <w:t xml:space="preserve"> states </w:t>
      </w:r>
      <w:r w:rsidR="006E07C4">
        <w:t xml:space="preserve">may </w:t>
      </w:r>
      <w:r w:rsidR="003E452E">
        <w:t xml:space="preserve">recognize income as having a foreign source </w:t>
      </w:r>
      <w:r w:rsidR="00C85393">
        <w:t>determined under federal rules</w:t>
      </w:r>
      <w:r w:rsidR="006E07C4">
        <w:t>, this does not</w:t>
      </w:r>
      <w:r w:rsidR="00C85393">
        <w:t xml:space="preserve"> </w:t>
      </w:r>
      <w:r w:rsidR="005F1C43">
        <w:t xml:space="preserve">necessarily </w:t>
      </w:r>
      <w:r w:rsidR="00C85393">
        <w:t xml:space="preserve">dictate </w:t>
      </w:r>
      <w:r w:rsidR="005F1C43">
        <w:t>the extent to which they might treat the income as taxable</w:t>
      </w:r>
      <w:r w:rsidR="006E07C4">
        <w:t xml:space="preserve"> when earned by state residents</w:t>
      </w:r>
      <w:r w:rsidR="005F1C43">
        <w:t xml:space="preserve">. </w:t>
      </w:r>
      <w:r w:rsidR="008500E3">
        <w:t xml:space="preserve">See, for example, </w:t>
      </w:r>
      <w:r w:rsidR="004C1A37" w:rsidRPr="00056207">
        <w:rPr>
          <w:i/>
          <w:iCs/>
        </w:rPr>
        <w:t>Steiner v. Utah State Tax Comm'n</w:t>
      </w:r>
      <w:r w:rsidR="004C1A37">
        <w:t>, 2019 UT 47, 449 P.3d 189</w:t>
      </w:r>
      <w:r w:rsidR="00056207">
        <w:t xml:space="preserve">. </w:t>
      </w:r>
      <w:r w:rsidR="006E07C4">
        <w:t xml:space="preserve">Utah, like most states, tax residents on 100% of their income, regardless of where it is earned. </w:t>
      </w:r>
      <w:r w:rsidR="00056207">
        <w:t xml:space="preserve">In </w:t>
      </w:r>
      <w:r w:rsidR="006E07C4" w:rsidRPr="006E07C4">
        <w:rPr>
          <w:i/>
          <w:iCs/>
        </w:rPr>
        <w:t>Steiner</w:t>
      </w:r>
      <w:r w:rsidR="00056207">
        <w:t xml:space="preserve">, the Utah Supreme Court considered whether individual state residents were entitled to an off-setting credit for </w:t>
      </w:r>
      <w:r w:rsidR="00E5707B">
        <w:t xml:space="preserve">foreign </w:t>
      </w:r>
      <w:r w:rsidR="00056207">
        <w:t xml:space="preserve">taxes paid on income from </w:t>
      </w:r>
      <w:r w:rsidR="000423D2">
        <w:t>their pass-through business</w:t>
      </w:r>
      <w:r w:rsidR="007C4DEA">
        <w:t>—ultimately concluding they were not.</w:t>
      </w:r>
      <w:r w:rsidR="00E64591">
        <w:t xml:space="preserve"> </w:t>
      </w:r>
      <w:r w:rsidR="00E25104">
        <w:t>In addition to other reasons</w:t>
      </w:r>
      <w:r w:rsidR="007C4DEA">
        <w:t xml:space="preserve"> for this decision</w:t>
      </w:r>
      <w:r w:rsidR="00E25104">
        <w:t>, the Utah court noted that the federal system of taxing income includes a complex set of credits for foreign taxes paid which are also embodied in federal treaties with foreign countries</w:t>
      </w:r>
      <w:r w:rsidR="000423D2">
        <w:t>,</w:t>
      </w:r>
      <w:r w:rsidR="004C735D">
        <w:t xml:space="preserve"> and that states generally do not conform to these credits nor has Congress required them to do so. </w:t>
      </w:r>
    </w:p>
    <w:p w14:paraId="535F2141" w14:textId="009B8CA9" w:rsidR="00DB5369" w:rsidRDefault="00DB5369" w:rsidP="008500E3">
      <w:r>
        <w:t xml:space="preserve">Nevertheless, the </w:t>
      </w:r>
      <w:r>
        <w:rPr>
          <w:i/>
          <w:iCs/>
        </w:rPr>
        <w:t>Ste</w:t>
      </w:r>
      <w:r w:rsidR="00D1785A">
        <w:rPr>
          <w:i/>
          <w:iCs/>
        </w:rPr>
        <w:t>iner</w:t>
      </w:r>
      <w:r w:rsidR="00D1785A">
        <w:t xml:space="preserve"> court did not deny the character of the income recognized by the taxpayers </w:t>
      </w:r>
      <w:r w:rsidR="006E07C4">
        <w:t xml:space="preserve">or that it </w:t>
      </w:r>
      <w:r w:rsidR="00D1785A">
        <w:t>included foreign source</w:t>
      </w:r>
      <w:r w:rsidR="006E07C4">
        <w:t xml:space="preserve"> income</w:t>
      </w:r>
      <w:r w:rsidR="00D1785A">
        <w:t xml:space="preserve"> as determined under federal tax rules. And this</w:t>
      </w:r>
      <w:r w:rsidR="00D91BC3">
        <w:t xml:space="preserve">, again, is </w:t>
      </w:r>
      <w:r w:rsidR="000423D2">
        <w:t xml:space="preserve">an essential </w:t>
      </w:r>
      <w:r w:rsidR="00D91BC3">
        <w:t xml:space="preserve">part of pass-through taxation </w:t>
      </w:r>
      <w:r w:rsidR="00963277">
        <w:t xml:space="preserve">and the application of the attribution principle </w:t>
      </w:r>
      <w:r w:rsidR="00D91BC3">
        <w:t xml:space="preserve">generally—that is, that any critical tax character of </w:t>
      </w:r>
      <w:r w:rsidR="00963277">
        <w:t xml:space="preserve">items recognized at the entity level must be attributed to the owners. </w:t>
      </w:r>
    </w:p>
    <w:tbl>
      <w:tblPr>
        <w:tblStyle w:val="TableGrid"/>
        <w:tblW w:w="0" w:type="auto"/>
        <w:tblInd w:w="625" w:type="dxa"/>
        <w:tblBorders>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50"/>
        <w:gridCol w:w="7020"/>
      </w:tblGrid>
      <w:tr w:rsidR="00040B38" w14:paraId="7D85F4DB" w14:textId="77777777" w:rsidTr="00040B38">
        <w:tc>
          <w:tcPr>
            <w:tcW w:w="7470" w:type="dxa"/>
            <w:gridSpan w:val="2"/>
          </w:tcPr>
          <w:p w14:paraId="1277EEA0" w14:textId="77777777" w:rsidR="00040B38" w:rsidRDefault="00040B38" w:rsidP="008500E3">
            <w:pPr>
              <w:rPr>
                <w:b/>
                <w:bCs/>
              </w:rPr>
            </w:pPr>
          </w:p>
          <w:p w14:paraId="3353981F" w14:textId="23663F89" w:rsidR="00040B38" w:rsidRDefault="00040B38" w:rsidP="008500E3">
            <w:pPr>
              <w:rPr>
                <w:b/>
                <w:bCs/>
              </w:rPr>
            </w:pPr>
            <w:r w:rsidRPr="00B90324">
              <w:rPr>
                <w:b/>
                <w:bCs/>
              </w:rPr>
              <w:t>STATE TAX IMPLICATION</w:t>
            </w:r>
            <w:r>
              <w:rPr>
                <w:b/>
                <w:bCs/>
              </w:rPr>
              <w:t>S</w:t>
            </w:r>
            <w:r w:rsidRPr="00B90324">
              <w:rPr>
                <w:b/>
                <w:bCs/>
              </w:rPr>
              <w:t xml:space="preserve">: </w:t>
            </w:r>
            <w:r>
              <w:rPr>
                <w:b/>
                <w:bCs/>
              </w:rPr>
              <w:t>The following are the state tax implications of the attribution principle</w:t>
            </w:r>
            <w:r w:rsidR="00E95A1A">
              <w:rPr>
                <w:b/>
                <w:bCs/>
              </w:rPr>
              <w:t xml:space="preserve"> as applied in the partnership pass-through system</w:t>
            </w:r>
            <w:r>
              <w:rPr>
                <w:b/>
                <w:bCs/>
              </w:rPr>
              <w:t>:</w:t>
            </w:r>
          </w:p>
          <w:p w14:paraId="43610EEA" w14:textId="5CE785E9" w:rsidR="00040B38" w:rsidRPr="00040B38" w:rsidRDefault="00040B38" w:rsidP="008500E3">
            <w:pPr>
              <w:rPr>
                <w:b/>
                <w:bCs/>
              </w:rPr>
            </w:pPr>
          </w:p>
        </w:tc>
      </w:tr>
      <w:tr w:rsidR="00040B38" w14:paraId="49A36723" w14:textId="77777777" w:rsidTr="00040B38">
        <w:tc>
          <w:tcPr>
            <w:tcW w:w="450" w:type="dxa"/>
          </w:tcPr>
          <w:p w14:paraId="170F6B33" w14:textId="50F24E57" w:rsidR="00040B38" w:rsidRDefault="00040B38" w:rsidP="00040B38">
            <w:pPr>
              <w:jc w:val="center"/>
            </w:pPr>
            <w:r>
              <w:rPr>
                <w:b/>
                <w:bCs/>
              </w:rPr>
              <w:sym w:font="Wingdings 3" w:char="F0EE"/>
            </w:r>
          </w:p>
        </w:tc>
        <w:tc>
          <w:tcPr>
            <w:tcW w:w="7020" w:type="dxa"/>
          </w:tcPr>
          <w:p w14:paraId="6162AAEA" w14:textId="7E2241A7" w:rsidR="00040B38" w:rsidRDefault="00040B38" w:rsidP="008500E3">
            <w:pPr>
              <w:rPr>
                <w:b/>
                <w:bCs/>
              </w:rPr>
            </w:pPr>
            <w:r>
              <w:rPr>
                <w:b/>
                <w:bCs/>
              </w:rPr>
              <w:t xml:space="preserve">Attribution does not depend on whether </w:t>
            </w:r>
            <w:r w:rsidR="007C1811">
              <w:rPr>
                <w:b/>
                <w:bCs/>
              </w:rPr>
              <w:t>partnership and the partner</w:t>
            </w:r>
            <w:r>
              <w:rPr>
                <w:b/>
                <w:bCs/>
              </w:rPr>
              <w:t xml:space="preserve"> are unitary.</w:t>
            </w:r>
          </w:p>
          <w:p w14:paraId="45903DE5" w14:textId="74B34727" w:rsidR="00040B38" w:rsidRDefault="00040B38" w:rsidP="008500E3"/>
        </w:tc>
      </w:tr>
      <w:tr w:rsidR="00040B38" w14:paraId="4BA00376" w14:textId="77777777" w:rsidTr="00040B38">
        <w:tc>
          <w:tcPr>
            <w:tcW w:w="450" w:type="dxa"/>
          </w:tcPr>
          <w:p w14:paraId="1CB8879A" w14:textId="1413B1A5" w:rsidR="00040B38" w:rsidRDefault="00040B38" w:rsidP="00040B38">
            <w:pPr>
              <w:jc w:val="center"/>
            </w:pPr>
            <w:r>
              <w:rPr>
                <w:b/>
                <w:bCs/>
              </w:rPr>
              <w:sym w:font="Wingdings 3" w:char="F0EE"/>
            </w:r>
          </w:p>
        </w:tc>
        <w:tc>
          <w:tcPr>
            <w:tcW w:w="7020" w:type="dxa"/>
          </w:tcPr>
          <w:p w14:paraId="1CB05077" w14:textId="70A34368" w:rsidR="00040B38" w:rsidRDefault="00E95A1A" w:rsidP="008500E3">
            <w:pPr>
              <w:rPr>
                <w:b/>
                <w:bCs/>
              </w:rPr>
            </w:pPr>
            <w:r>
              <w:rPr>
                <w:b/>
                <w:bCs/>
              </w:rPr>
              <w:t>Attribution</w:t>
            </w:r>
            <w:r w:rsidR="00040B38" w:rsidRPr="00040B38">
              <w:rPr>
                <w:b/>
                <w:bCs/>
              </w:rPr>
              <w:t xml:space="preserve"> may be applied to state sourcing of partnership items in the same way it would apply to federal sourcing, generally. </w:t>
            </w:r>
          </w:p>
          <w:p w14:paraId="6E36E946" w14:textId="0D47E8E2" w:rsidR="00040B38" w:rsidRPr="00040B38" w:rsidRDefault="00040B38" w:rsidP="008500E3">
            <w:pPr>
              <w:rPr>
                <w:b/>
                <w:bCs/>
              </w:rPr>
            </w:pPr>
          </w:p>
        </w:tc>
      </w:tr>
      <w:tr w:rsidR="00040B38" w14:paraId="1679F3B8" w14:textId="77777777" w:rsidTr="00040B38">
        <w:tc>
          <w:tcPr>
            <w:tcW w:w="450" w:type="dxa"/>
          </w:tcPr>
          <w:p w14:paraId="0BD0F4A4" w14:textId="3F5B0FB7" w:rsidR="00040B38" w:rsidRDefault="00040B38" w:rsidP="00040B38">
            <w:pPr>
              <w:jc w:val="center"/>
              <w:rPr>
                <w:b/>
                <w:bCs/>
              </w:rPr>
            </w:pPr>
            <w:r>
              <w:rPr>
                <w:b/>
                <w:bCs/>
              </w:rPr>
              <w:sym w:font="Wingdings 3" w:char="F0EE"/>
            </w:r>
          </w:p>
        </w:tc>
        <w:tc>
          <w:tcPr>
            <w:tcW w:w="7020" w:type="dxa"/>
          </w:tcPr>
          <w:p w14:paraId="7B901B8D" w14:textId="00ABFAE7" w:rsidR="00040B38" w:rsidRDefault="00040B38" w:rsidP="008500E3">
            <w:pPr>
              <w:rPr>
                <w:b/>
                <w:bCs/>
              </w:rPr>
            </w:pPr>
            <w:r>
              <w:rPr>
                <w:b/>
                <w:bCs/>
              </w:rPr>
              <w:t xml:space="preserve">States should consider, however, whether </w:t>
            </w:r>
            <w:r w:rsidR="00E95A1A">
              <w:rPr>
                <w:b/>
                <w:bCs/>
              </w:rPr>
              <w:t xml:space="preserve">a </w:t>
            </w:r>
            <w:r>
              <w:rPr>
                <w:b/>
                <w:bCs/>
              </w:rPr>
              <w:t>partner</w:t>
            </w:r>
            <w:r w:rsidR="00E95A1A">
              <w:rPr>
                <w:b/>
                <w:bCs/>
              </w:rPr>
              <w:t>’s own tax</w:t>
            </w:r>
            <w:r>
              <w:rPr>
                <w:b/>
                <w:bCs/>
              </w:rPr>
              <w:t xml:space="preserve"> attributes will also be taken into account when determining the sourcing of</w:t>
            </w:r>
            <w:r w:rsidR="00E95A1A">
              <w:rPr>
                <w:b/>
                <w:bCs/>
              </w:rPr>
              <w:t xml:space="preserve"> </w:t>
            </w:r>
            <w:r>
              <w:rPr>
                <w:b/>
                <w:bCs/>
              </w:rPr>
              <w:t>distributive share income.</w:t>
            </w:r>
          </w:p>
          <w:p w14:paraId="6A45E548" w14:textId="748F3133" w:rsidR="00040B38" w:rsidRPr="00040B38" w:rsidRDefault="00040B38" w:rsidP="008500E3">
            <w:pPr>
              <w:rPr>
                <w:b/>
                <w:bCs/>
              </w:rPr>
            </w:pPr>
          </w:p>
        </w:tc>
      </w:tr>
    </w:tbl>
    <w:p w14:paraId="584AEFEB" w14:textId="77777777" w:rsidR="00040B38" w:rsidRPr="00D1785A" w:rsidRDefault="00040B38" w:rsidP="008500E3"/>
    <w:p w14:paraId="7689B2D0" w14:textId="77777777" w:rsidR="009E205B" w:rsidRDefault="009E205B">
      <w:pPr>
        <w:spacing w:line="276" w:lineRule="auto"/>
        <w:jc w:val="left"/>
        <w:rPr>
          <w:rFonts w:asciiTheme="majorHAnsi" w:eastAsiaTheme="majorEastAsia" w:hAnsiTheme="majorHAnsi" w:cstheme="majorBidi"/>
          <w:b/>
          <w:color w:val="851C00" w:themeColor="accent6" w:themeShade="BF"/>
          <w:sz w:val="28"/>
          <w:szCs w:val="26"/>
          <w:u w:val="single"/>
        </w:rPr>
      </w:pPr>
      <w:bookmarkStart w:id="54" w:name="_Toc153291137"/>
      <w:bookmarkEnd w:id="2"/>
      <w:r>
        <w:br w:type="page"/>
      </w:r>
    </w:p>
    <w:p w14:paraId="20925926" w14:textId="471B512F" w:rsidR="00CD11CF" w:rsidRDefault="00E7024A" w:rsidP="001B4E38">
      <w:pPr>
        <w:pStyle w:val="Heading2"/>
      </w:pPr>
      <w:bookmarkStart w:id="55" w:name="_Toc195435249"/>
      <w:r>
        <w:lastRenderedPageBreak/>
        <w:t>I.</w:t>
      </w:r>
      <w:r w:rsidR="00984725">
        <w:t>F</w:t>
      </w:r>
      <w:r>
        <w:t>.</w:t>
      </w:r>
      <w:r w:rsidR="00B5459F">
        <w:t xml:space="preserve"> </w:t>
      </w:r>
      <w:r w:rsidR="0022562E">
        <w:t xml:space="preserve"> </w:t>
      </w:r>
      <w:bookmarkEnd w:id="54"/>
      <w:r w:rsidR="00935D4D">
        <w:t xml:space="preserve">General </w:t>
      </w:r>
      <w:r w:rsidR="001B4E38">
        <w:t xml:space="preserve">State </w:t>
      </w:r>
      <w:r w:rsidR="00177AD5">
        <w:t>Sourcing</w:t>
      </w:r>
      <w:r w:rsidR="001B4E38">
        <w:t xml:space="preserve"> </w:t>
      </w:r>
      <w:r w:rsidR="00935D4D">
        <w:t>Rules for Income of Businesses</w:t>
      </w:r>
      <w:bookmarkEnd w:id="55"/>
    </w:p>
    <w:p w14:paraId="58D4A091" w14:textId="1977AA5E" w:rsidR="00267189" w:rsidRDefault="00267189" w:rsidP="00267189">
      <w:r>
        <w:t>S</w:t>
      </w:r>
      <w:r w:rsidR="00470604">
        <w:t>tates</w:t>
      </w:r>
      <w:r w:rsidR="00E95A1A">
        <w:t xml:space="preserve"> tax resident individuals and corporations differently in one important respect, summarized below</w:t>
      </w:r>
      <w:r>
        <w:t>. But when it comes to multistate business income,</w:t>
      </w:r>
      <w:r w:rsidR="00C92B81">
        <w:t xml:space="preserve"> they apply the same general sourcing rules </w:t>
      </w:r>
      <w:r w:rsidR="00E95A1A">
        <w:t>whether th</w:t>
      </w:r>
      <w:r>
        <w:t>e</w:t>
      </w:r>
      <w:r w:rsidR="00E95A1A">
        <w:t xml:space="preserve"> business is </w:t>
      </w:r>
      <w:r>
        <w:t>conducted as a</w:t>
      </w:r>
      <w:r w:rsidR="00E95A1A">
        <w:t xml:space="preserve"> corporation or a proprietorship. </w:t>
      </w:r>
      <w:r w:rsidR="008C0ADC">
        <w:t xml:space="preserve">And, as the research summarized in Section III shows, states </w:t>
      </w:r>
      <w:r>
        <w:t xml:space="preserve">also </w:t>
      </w:r>
      <w:r w:rsidR="008C0ADC">
        <w:t xml:space="preserve">apply these same </w:t>
      </w:r>
      <w:r>
        <w:t xml:space="preserve">general sourcing </w:t>
      </w:r>
      <w:r w:rsidR="008C0ADC">
        <w:t>rules to the income of businesses conducted by partnerships</w:t>
      </w:r>
      <w:r>
        <w:t>—often embedding the partnership-specific rules in the rules for individual or corporate taxes.</w:t>
      </w:r>
      <w:r w:rsidRPr="00267189">
        <w:t xml:space="preserve"> </w:t>
      </w:r>
      <w:r>
        <w:t xml:space="preserve">This reflects a partner-focused approach, which can limit the ability of states to respond to the sourcing issues raised by the </w:t>
      </w:r>
      <w:r w:rsidR="00E95A1A">
        <w:t>pass-through tax system</w:t>
      </w:r>
      <w:r>
        <w:t>.</w:t>
      </w:r>
    </w:p>
    <w:p w14:paraId="58EF9B38" w14:textId="58C746C4" w:rsidR="00F16DC7" w:rsidRDefault="00267189" w:rsidP="00267189">
      <w:r>
        <w:t xml:space="preserve">Section II will address these partnership-specific issues in greater detail. This subsection I.F. gives a brief overview of how the sourcing rules apply to corporations and individuals.  </w:t>
      </w:r>
    </w:p>
    <w:p w14:paraId="375DB53E" w14:textId="796BDA38" w:rsidR="00D4407B" w:rsidRDefault="006079F5" w:rsidP="00D4407B">
      <w:pPr>
        <w:pStyle w:val="Heading3"/>
        <w:spacing w:before="240"/>
        <w:jc w:val="left"/>
      </w:pPr>
      <w:bookmarkStart w:id="56" w:name="_Toc195435250"/>
      <w:bookmarkStart w:id="57" w:name="_Toc153291138"/>
      <w:r>
        <w:t xml:space="preserve">State </w:t>
      </w:r>
      <w:r w:rsidR="00DB35BB">
        <w:t>Sourcing</w:t>
      </w:r>
      <w:r w:rsidR="00F47AA7">
        <w:t xml:space="preserve"> Rules</w:t>
      </w:r>
      <w:r w:rsidR="00DB35BB">
        <w:t xml:space="preserve"> </w:t>
      </w:r>
      <w:r w:rsidR="00267189">
        <w:t xml:space="preserve">– </w:t>
      </w:r>
      <w:r w:rsidR="00F47AA7">
        <w:t>Generally</w:t>
      </w:r>
      <w:bookmarkEnd w:id="56"/>
    </w:p>
    <w:bookmarkEnd w:id="57"/>
    <w:p w14:paraId="0AEC537A" w14:textId="32B4CEC4" w:rsidR="004F51E3" w:rsidRDefault="005F79D2" w:rsidP="00F47AA7">
      <w:pPr>
        <w:spacing w:after="120"/>
      </w:pPr>
      <w:r>
        <w:t xml:space="preserve">The federal government </w:t>
      </w:r>
      <w:r w:rsidR="00267189">
        <w:t>applies</w:t>
      </w:r>
      <w:r>
        <w:t xml:space="preserve"> </w:t>
      </w:r>
      <w:r w:rsidR="00267189">
        <w:t>detailed</w:t>
      </w:r>
      <w:r>
        <w:t xml:space="preserve"> rules of assignment </w:t>
      </w:r>
      <w:r w:rsidR="00267189">
        <w:t xml:space="preserve">to items of income and related expenses when determining whether these items have a </w:t>
      </w:r>
      <w:r>
        <w:t xml:space="preserve">domestic </w:t>
      </w:r>
      <w:r w:rsidR="00267189">
        <w:t>or</w:t>
      </w:r>
      <w:r>
        <w:t xml:space="preserve"> foreign</w:t>
      </w:r>
      <w:r w:rsidR="00267189">
        <w:t xml:space="preserve"> source</w:t>
      </w:r>
      <w:r>
        <w:t xml:space="preserve">. </w:t>
      </w:r>
      <w:r w:rsidR="006778D8">
        <w:t xml:space="preserve">See </w:t>
      </w:r>
      <w:r w:rsidR="00FC3491">
        <w:t xml:space="preserve">IRC </w:t>
      </w:r>
      <w:r w:rsidR="006778D8">
        <w:t xml:space="preserve">Subchapter N. </w:t>
      </w:r>
      <w:r w:rsidR="006079F5">
        <w:t xml:space="preserve">As noted in subsection I.A. above, however, states </w:t>
      </w:r>
      <w:r w:rsidR="004F51E3">
        <w:t xml:space="preserve">generally </w:t>
      </w:r>
      <w:r w:rsidR="006079F5">
        <w:t>rely on formulary apportionment</w:t>
      </w:r>
      <w:r w:rsidR="004F51E3">
        <w:t>.</w:t>
      </w:r>
      <w:r w:rsidR="006079F5">
        <w:t xml:space="preserve"> </w:t>
      </w:r>
    </w:p>
    <w:p w14:paraId="3AA29EBE" w14:textId="3EFB5FF1" w:rsidR="006079F5" w:rsidRDefault="004F51E3" w:rsidP="004F51E3">
      <w:pPr>
        <w:pStyle w:val="Heading4"/>
        <w:ind w:left="720"/>
      </w:pPr>
      <w:r>
        <w:t>General State Sourcing Approach</w:t>
      </w:r>
      <w:r w:rsidR="006079F5">
        <w:t xml:space="preserve"> </w:t>
      </w:r>
    </w:p>
    <w:p w14:paraId="0F3B1AA7" w14:textId="77777777" w:rsidR="006079F5" w:rsidRPr="00F47AA7" w:rsidRDefault="006079F5" w:rsidP="00E10036">
      <w:pPr>
        <w:pStyle w:val="ListParagraph"/>
        <w:numPr>
          <w:ilvl w:val="0"/>
          <w:numId w:val="46"/>
        </w:numPr>
        <w:spacing w:after="120"/>
        <w:contextualSpacing w:val="0"/>
      </w:pPr>
      <w:r w:rsidRPr="00F47AA7">
        <w:t>Nonbusiness Items – Rules of Assignment</w:t>
      </w:r>
    </w:p>
    <w:p w14:paraId="5D471216" w14:textId="0A8DB29B" w:rsidR="006079F5" w:rsidRDefault="006079F5" w:rsidP="00E10036">
      <w:pPr>
        <w:pStyle w:val="ListParagraph"/>
        <w:numPr>
          <w:ilvl w:val="1"/>
          <w:numId w:val="46"/>
        </w:numPr>
        <w:spacing w:after="120"/>
        <w:contextualSpacing w:val="0"/>
      </w:pPr>
      <w:r>
        <w:t xml:space="preserve">States first apply rules to identify items of income and related expense that are considered “nonbusiness” (or “non-apportionable”). </w:t>
      </w:r>
    </w:p>
    <w:p w14:paraId="10B7CE05" w14:textId="36F27459" w:rsidR="006079F5" w:rsidRDefault="006079F5" w:rsidP="00E10036">
      <w:pPr>
        <w:pStyle w:val="ListParagraph"/>
        <w:numPr>
          <w:ilvl w:val="1"/>
          <w:numId w:val="46"/>
        </w:numPr>
        <w:spacing w:after="120"/>
        <w:contextualSpacing w:val="0"/>
      </w:pPr>
      <w:r>
        <w:t>Then states source those items using rules of assignment based on their character.</w:t>
      </w:r>
    </w:p>
    <w:p w14:paraId="76675A26" w14:textId="4C7239A9" w:rsidR="006079F5" w:rsidRPr="00F47AA7" w:rsidRDefault="006079F5" w:rsidP="00E10036">
      <w:pPr>
        <w:pStyle w:val="ListParagraph"/>
        <w:numPr>
          <w:ilvl w:val="0"/>
          <w:numId w:val="41"/>
        </w:numPr>
        <w:spacing w:after="120"/>
        <w:contextualSpacing w:val="0"/>
      </w:pPr>
      <w:r w:rsidRPr="00F47AA7">
        <w:t xml:space="preserve">Net Business Income – Formulary </w:t>
      </w:r>
      <w:r w:rsidR="00F47AA7">
        <w:t>A</w:t>
      </w:r>
      <w:r w:rsidRPr="00F47AA7">
        <w:t xml:space="preserve">pportionment </w:t>
      </w:r>
    </w:p>
    <w:p w14:paraId="6DDC39E4" w14:textId="7F5BB691" w:rsidR="006079F5" w:rsidRDefault="006079F5" w:rsidP="00E10036">
      <w:pPr>
        <w:pStyle w:val="ListParagraph"/>
        <w:numPr>
          <w:ilvl w:val="0"/>
          <w:numId w:val="47"/>
        </w:numPr>
        <w:spacing w:after="120"/>
        <w:contextualSpacing w:val="0"/>
      </w:pPr>
      <w:r>
        <w:t>States compute an apportionment formula for the business using the amount of certain factors (e.g., sales or receipts, property, and/or payroll) in the state to the business’s total factors.</w:t>
      </w:r>
      <w:r w:rsidR="00F47AA7">
        <w:t xml:space="preserve"> In doing this, most states will source receipts to the location of the customer or market, similar to the rules of assignment. </w:t>
      </w:r>
      <w:r>
        <w:t xml:space="preserve"> </w:t>
      </w:r>
    </w:p>
    <w:p w14:paraId="08ADC393" w14:textId="466B4007" w:rsidR="00F47AA7" w:rsidRDefault="00F47AA7" w:rsidP="00E10036">
      <w:pPr>
        <w:pStyle w:val="ListParagraph"/>
        <w:numPr>
          <w:ilvl w:val="0"/>
          <w:numId w:val="47"/>
        </w:numPr>
        <w:spacing w:after="120"/>
        <w:contextualSpacing w:val="0"/>
      </w:pPr>
      <w:r>
        <w:t xml:space="preserve">Then states will apply this apportionment factor to </w:t>
      </w:r>
      <w:r w:rsidR="006079F5">
        <w:t xml:space="preserve">net “business” (or “apportionable”) income of </w:t>
      </w:r>
      <w:r>
        <w:t>the</w:t>
      </w:r>
      <w:r w:rsidR="006079F5">
        <w:t xml:space="preserve"> business</w:t>
      </w:r>
      <w:r>
        <w:t>.</w:t>
      </w:r>
      <w:r w:rsidR="006079F5">
        <w:t xml:space="preserve"> </w:t>
      </w:r>
    </w:p>
    <w:p w14:paraId="38486932" w14:textId="55B26A41" w:rsidR="00F47AA7" w:rsidRDefault="00F47AA7" w:rsidP="00E10036">
      <w:pPr>
        <w:pStyle w:val="ListParagraph"/>
        <w:numPr>
          <w:ilvl w:val="0"/>
          <w:numId w:val="47"/>
        </w:numPr>
        <w:spacing w:after="240"/>
        <w:ind w:left="1080"/>
        <w:contextualSpacing w:val="0"/>
      </w:pPr>
      <w:r>
        <w:t>Then the amount of income assigned or apportioned to the state are added together to get the total state-sourced income.</w:t>
      </w:r>
    </w:p>
    <w:p w14:paraId="0A08037F" w14:textId="455BA546" w:rsidR="00F47AA7" w:rsidRDefault="00E8155B" w:rsidP="004F51E3">
      <w:pPr>
        <w:spacing w:after="120"/>
        <w:ind w:left="720"/>
      </w:pPr>
      <w:r>
        <w:t xml:space="preserve">The critical difference between these two </w:t>
      </w:r>
      <w:r w:rsidR="00267189">
        <w:t xml:space="preserve">state </w:t>
      </w:r>
      <w:r>
        <w:t xml:space="preserve">approaches is that formulary apportionment applies to a net amount of business income, taking into account all items of income, expense, gain, and loss making up that amount, whereas rules of assignment are </w:t>
      </w:r>
      <w:r w:rsidR="00816007">
        <w:t xml:space="preserve">typically </w:t>
      </w:r>
      <w:r>
        <w:t>applied to</w:t>
      </w:r>
      <w:r w:rsidR="00816007">
        <w:t xml:space="preserve"> particular items </w:t>
      </w:r>
      <w:r w:rsidR="00477375">
        <w:t>(and, in some cases, a</w:t>
      </w:r>
      <w:r w:rsidR="005E0D67">
        <w:t xml:space="preserve"> portion of indirect expenses).</w:t>
      </w:r>
      <w:r w:rsidR="00816007">
        <w:t xml:space="preserve"> </w:t>
      </w:r>
    </w:p>
    <w:p w14:paraId="39412D22" w14:textId="77777777" w:rsidR="004F51E3" w:rsidRPr="00655A66" w:rsidRDefault="004F51E3" w:rsidP="004F51E3">
      <w:pPr>
        <w:pStyle w:val="Heading4"/>
        <w:ind w:left="720"/>
      </w:pPr>
      <w:r>
        <w:t>Assumption: Use of UDITPA and the Receipts Factor</w:t>
      </w:r>
    </w:p>
    <w:p w14:paraId="58A9A4F6" w14:textId="77777777" w:rsidR="004F51E3" w:rsidRDefault="004F51E3" w:rsidP="004F51E3">
      <w:pPr>
        <w:ind w:left="720"/>
      </w:pPr>
      <w:r>
        <w:t xml:space="preserve">The standard approach to apportioning business income used by states is based on a model law adopted by the predecessor to the Uniform Law Commission in 1957—the Uniform Division of Income for Tax Purposes Act (UDITPA). A version of that model law has also been revised and recommended to the states by the MTC—see </w:t>
      </w:r>
      <w:hyperlink r:id="rId27" w:history="1">
        <w:r w:rsidRPr="00817600">
          <w:rPr>
            <w:rStyle w:val="Hyperlink"/>
          </w:rPr>
          <w:t>HERE</w:t>
        </w:r>
      </w:hyperlink>
      <w:r>
        <w:t xml:space="preserve">. </w:t>
      </w:r>
    </w:p>
    <w:p w14:paraId="146D431A" w14:textId="64F9A7AD" w:rsidR="004F51E3" w:rsidRDefault="004F51E3" w:rsidP="004F51E3">
      <w:pPr>
        <w:ind w:left="720"/>
      </w:pPr>
      <w:r>
        <w:t xml:space="preserve">To the extent that this white paper needs to discuss the application of </w:t>
      </w:r>
      <w:r w:rsidR="001F72F2">
        <w:t xml:space="preserve">specific </w:t>
      </w:r>
      <w:r>
        <w:t>state sourcing rules, it will generally base that discussion on UDITPA. This white paper also assumes that states will primarily use a receipts factor as part of the apportionment formula. (</w:t>
      </w:r>
      <w:r w:rsidR="00B1483D">
        <w:t>And</w:t>
      </w:r>
      <w:r>
        <w:t xml:space="preserve"> the use of the receipts factor raises issues in the pass-through context that the property and payroll factors do not.)</w:t>
      </w:r>
    </w:p>
    <w:p w14:paraId="3D1066B6" w14:textId="77777777" w:rsidR="004F51E3" w:rsidRDefault="004F51E3" w:rsidP="00E8155B">
      <w:pPr>
        <w:spacing w:after="120"/>
      </w:pPr>
    </w:p>
    <w:p w14:paraId="24603179" w14:textId="0B9DA268" w:rsidR="00026101" w:rsidRDefault="00026101" w:rsidP="00026101">
      <w:pPr>
        <w:pStyle w:val="Heading3"/>
      </w:pPr>
      <w:bookmarkStart w:id="58" w:name="_Toc195435251"/>
      <w:r>
        <w:lastRenderedPageBreak/>
        <w:t xml:space="preserve">Application of State Sourcing Methods </w:t>
      </w:r>
      <w:r w:rsidR="0095751A">
        <w:t>–</w:t>
      </w:r>
      <w:r>
        <w:t xml:space="preserve"> </w:t>
      </w:r>
      <w:r w:rsidR="009359C4">
        <w:t>Corporations</w:t>
      </w:r>
      <w:bookmarkEnd w:id="58"/>
      <w:r w:rsidR="009359C4">
        <w:t xml:space="preserve"> </w:t>
      </w:r>
    </w:p>
    <w:p w14:paraId="72E66C2F" w14:textId="04EA9D08" w:rsidR="00BC742D" w:rsidRDefault="0031303D" w:rsidP="00C56FB6">
      <w:r>
        <w:t>T</w:t>
      </w:r>
      <w:r w:rsidR="005851CF">
        <w:t xml:space="preserve">his section </w:t>
      </w:r>
      <w:r w:rsidR="0092629F">
        <w:t>summarize</w:t>
      </w:r>
      <w:r w:rsidR="002D471C">
        <w:t>s</w:t>
      </w:r>
      <w:r w:rsidR="0092629F">
        <w:t xml:space="preserve"> the application of the </w:t>
      </w:r>
      <w:r w:rsidR="00C56FB6">
        <w:t xml:space="preserve">state </w:t>
      </w:r>
      <w:r w:rsidR="0092629F">
        <w:t xml:space="preserve">sourcing methods to corporations. </w:t>
      </w:r>
      <w:r w:rsidR="00B1483D">
        <w:t>The steps in sourcing corporate income are as follows:</w:t>
      </w:r>
    </w:p>
    <w:p w14:paraId="5DB3CF51" w14:textId="07C33B67" w:rsidR="00447EE3" w:rsidRPr="00447EE3" w:rsidRDefault="00054DAB" w:rsidP="00FC0783">
      <w:pPr>
        <w:pStyle w:val="ListParagraph"/>
        <w:numPr>
          <w:ilvl w:val="0"/>
          <w:numId w:val="3"/>
        </w:numPr>
        <w:spacing w:after="60"/>
        <w:ind w:left="576" w:hanging="288"/>
        <w:contextualSpacing w:val="0"/>
        <w:rPr>
          <w:iCs/>
          <w:u w:val="single"/>
        </w:rPr>
      </w:pPr>
      <w:r w:rsidRPr="00454B94">
        <w:rPr>
          <w:iCs/>
          <w:u w:val="single"/>
        </w:rPr>
        <w:t xml:space="preserve">Determine if an affiliated corporate group will file </w:t>
      </w:r>
      <w:r w:rsidR="00B1483D">
        <w:rPr>
          <w:iCs/>
          <w:u w:val="single"/>
        </w:rPr>
        <w:t xml:space="preserve">on </w:t>
      </w:r>
      <w:r w:rsidRPr="00454B94">
        <w:rPr>
          <w:iCs/>
          <w:u w:val="single"/>
        </w:rPr>
        <w:t>a combined bas</w:t>
      </w:r>
      <w:r w:rsidR="00447EE3" w:rsidRPr="00454B94">
        <w:rPr>
          <w:iCs/>
          <w:u w:val="single"/>
        </w:rPr>
        <w:t>is</w:t>
      </w:r>
      <w:r w:rsidR="00447EE3">
        <w:rPr>
          <w:iCs/>
        </w:rPr>
        <w:t>.</w:t>
      </w:r>
    </w:p>
    <w:p w14:paraId="414476BC" w14:textId="587D4F2D" w:rsidR="00887A77" w:rsidRPr="00887A77" w:rsidRDefault="00887A77" w:rsidP="00FC0783">
      <w:pPr>
        <w:pStyle w:val="ListParagraph"/>
        <w:spacing w:after="120"/>
        <w:ind w:left="576"/>
        <w:contextualSpacing w:val="0"/>
        <w:rPr>
          <w:iCs/>
          <w:u w:val="single"/>
        </w:rPr>
      </w:pPr>
      <w:r>
        <w:rPr>
          <w:iCs/>
        </w:rPr>
        <w:t xml:space="preserve">States may allow or require </w:t>
      </w:r>
      <w:r w:rsidR="00E1785F">
        <w:rPr>
          <w:iCs/>
        </w:rPr>
        <w:t xml:space="preserve">related </w:t>
      </w:r>
      <w:r>
        <w:rPr>
          <w:iCs/>
        </w:rPr>
        <w:t xml:space="preserve">corporations </w:t>
      </w:r>
      <w:r w:rsidR="00861293">
        <w:rPr>
          <w:iCs/>
        </w:rPr>
        <w:t xml:space="preserve">to </w:t>
      </w:r>
      <w:r w:rsidR="002D471C">
        <w:rPr>
          <w:iCs/>
        </w:rPr>
        <w:t xml:space="preserve">apportion income on </w:t>
      </w:r>
      <w:r>
        <w:rPr>
          <w:iCs/>
        </w:rPr>
        <w:t xml:space="preserve">a combined or consolidated </w:t>
      </w:r>
      <w:r w:rsidR="002D471C">
        <w:rPr>
          <w:iCs/>
        </w:rPr>
        <w:t>basis</w:t>
      </w:r>
      <w:r w:rsidR="00E1785F">
        <w:rPr>
          <w:iCs/>
        </w:rPr>
        <w:t xml:space="preserve">. </w:t>
      </w:r>
      <w:r w:rsidR="00061EA3">
        <w:rPr>
          <w:iCs/>
        </w:rPr>
        <w:t>So</w:t>
      </w:r>
      <w:r>
        <w:rPr>
          <w:iCs/>
        </w:rPr>
        <w:t xml:space="preserve"> </w:t>
      </w:r>
      <w:r w:rsidR="00E1785F">
        <w:rPr>
          <w:iCs/>
        </w:rPr>
        <w:t>intercompany income and expenses</w:t>
      </w:r>
      <w:r w:rsidR="00061EA3">
        <w:rPr>
          <w:iCs/>
        </w:rPr>
        <w:t xml:space="preserve"> are “eliminated” and will not affect apportionment or sourcing of group income</w:t>
      </w:r>
      <w:r w:rsidR="00801F21">
        <w:rPr>
          <w:iCs/>
        </w:rPr>
        <w:t xml:space="preserve">. </w:t>
      </w:r>
      <w:r>
        <w:rPr>
          <w:iCs/>
        </w:rPr>
        <w:t xml:space="preserve"> </w:t>
      </w:r>
    </w:p>
    <w:p w14:paraId="1C5A4843" w14:textId="2A1BF813" w:rsidR="00BF3AFA" w:rsidRPr="00BF3AFA" w:rsidRDefault="00801F21" w:rsidP="00FC0783">
      <w:pPr>
        <w:pStyle w:val="ListParagraph"/>
        <w:numPr>
          <w:ilvl w:val="0"/>
          <w:numId w:val="3"/>
        </w:numPr>
        <w:spacing w:after="60"/>
        <w:ind w:left="576" w:hanging="288"/>
        <w:contextualSpacing w:val="0"/>
        <w:rPr>
          <w:iCs/>
          <w:u w:val="single"/>
        </w:rPr>
      </w:pPr>
      <w:r w:rsidRPr="00454B94">
        <w:rPr>
          <w:iCs/>
          <w:u w:val="single"/>
        </w:rPr>
        <w:t xml:space="preserve">Identify </w:t>
      </w:r>
      <w:r w:rsidR="00C92B81">
        <w:rPr>
          <w:iCs/>
          <w:u w:val="single"/>
        </w:rPr>
        <w:t xml:space="preserve">the </w:t>
      </w:r>
      <w:r w:rsidR="00BF3AFA" w:rsidRPr="00454B94">
        <w:rPr>
          <w:iCs/>
          <w:u w:val="single"/>
        </w:rPr>
        <w:t>business(es) of the entity or group</w:t>
      </w:r>
      <w:r w:rsidR="004F51E3">
        <w:rPr>
          <w:iCs/>
          <w:u w:val="single"/>
        </w:rPr>
        <w:t xml:space="preserve"> giving rise to apportionable income</w:t>
      </w:r>
      <w:r w:rsidR="004F51E3" w:rsidRPr="004F51E3">
        <w:rPr>
          <w:iCs/>
        </w:rPr>
        <w:t>.</w:t>
      </w:r>
      <w:r w:rsidR="00BF3AFA">
        <w:rPr>
          <w:iCs/>
        </w:rPr>
        <w:t xml:space="preserve"> </w:t>
      </w:r>
    </w:p>
    <w:p w14:paraId="4335D5FA" w14:textId="78DDA863" w:rsidR="008A1A67" w:rsidRDefault="004F51E3" w:rsidP="00FC0783">
      <w:pPr>
        <w:pStyle w:val="ListParagraph"/>
        <w:spacing w:after="120"/>
        <w:ind w:left="576"/>
        <w:contextualSpacing w:val="0"/>
        <w:rPr>
          <w:iCs/>
        </w:rPr>
      </w:pPr>
      <w:r>
        <w:rPr>
          <w:iCs/>
        </w:rPr>
        <w:t>A corporate taxpayer or group will have</w:t>
      </w:r>
      <w:r w:rsidR="00C913C6">
        <w:rPr>
          <w:iCs/>
        </w:rPr>
        <w:t xml:space="preserve"> one </w:t>
      </w:r>
      <w:r>
        <w:rPr>
          <w:iCs/>
        </w:rPr>
        <w:t xml:space="preserve">or more </w:t>
      </w:r>
      <w:r w:rsidR="00801F21">
        <w:rPr>
          <w:iCs/>
        </w:rPr>
        <w:t>business</w:t>
      </w:r>
      <w:r>
        <w:rPr>
          <w:iCs/>
        </w:rPr>
        <w:t>es</w:t>
      </w:r>
      <w:r w:rsidR="00E972F8">
        <w:rPr>
          <w:iCs/>
        </w:rPr>
        <w:t xml:space="preserve"> </w:t>
      </w:r>
      <w:r>
        <w:rPr>
          <w:iCs/>
        </w:rPr>
        <w:t xml:space="preserve">giving rise to income that may be apportioned using a related </w:t>
      </w:r>
      <w:r w:rsidR="00E972F8">
        <w:rPr>
          <w:iCs/>
        </w:rPr>
        <w:t>apportionment formula</w:t>
      </w:r>
      <w:r>
        <w:rPr>
          <w:iCs/>
        </w:rPr>
        <w:t>. The determination of what activities are part of a particular business</w:t>
      </w:r>
      <w:r w:rsidR="00801F21">
        <w:rPr>
          <w:iCs/>
        </w:rPr>
        <w:t xml:space="preserve"> is </w:t>
      </w:r>
      <w:r w:rsidR="00991D79">
        <w:rPr>
          <w:iCs/>
        </w:rPr>
        <w:t>made</w:t>
      </w:r>
      <w:r w:rsidR="00801F21">
        <w:rPr>
          <w:iCs/>
        </w:rPr>
        <w:t xml:space="preserve"> by applying </w:t>
      </w:r>
      <w:r w:rsidR="00E55FA2">
        <w:rPr>
          <w:iCs/>
        </w:rPr>
        <w:t xml:space="preserve">the unitary </w:t>
      </w:r>
      <w:r>
        <w:rPr>
          <w:iCs/>
        </w:rPr>
        <w:t xml:space="preserve">business </w:t>
      </w:r>
      <w:r w:rsidR="00E55FA2">
        <w:rPr>
          <w:iCs/>
        </w:rPr>
        <w:t>principle</w:t>
      </w:r>
      <w:r w:rsidR="002C13CF">
        <w:rPr>
          <w:rStyle w:val="FootnoteReference"/>
          <w:iCs/>
        </w:rPr>
        <w:footnoteReference w:id="25"/>
      </w:r>
      <w:r w:rsidR="002C13CF">
        <w:rPr>
          <w:iCs/>
        </w:rPr>
        <w:t xml:space="preserve"> </w:t>
      </w:r>
      <w:r w:rsidR="00BB576D">
        <w:rPr>
          <w:iCs/>
        </w:rPr>
        <w:t>and other state sourcing rules</w:t>
      </w:r>
      <w:r w:rsidR="00E972F8">
        <w:rPr>
          <w:iCs/>
        </w:rPr>
        <w:t xml:space="preserve">. </w:t>
      </w:r>
    </w:p>
    <w:p w14:paraId="55F889F1" w14:textId="4656D476" w:rsidR="009B4B87" w:rsidRPr="009B4B87" w:rsidRDefault="00E07CED" w:rsidP="00FC0783">
      <w:pPr>
        <w:pStyle w:val="ListParagraph"/>
        <w:numPr>
          <w:ilvl w:val="0"/>
          <w:numId w:val="3"/>
        </w:numPr>
        <w:spacing w:after="60"/>
        <w:ind w:left="576" w:hanging="288"/>
        <w:contextualSpacing w:val="0"/>
        <w:rPr>
          <w:iCs/>
          <w:u w:val="single"/>
        </w:rPr>
      </w:pPr>
      <w:r>
        <w:rPr>
          <w:iCs/>
          <w:u w:val="single"/>
        </w:rPr>
        <w:t>Identify any non-apportionable income</w:t>
      </w:r>
      <w:r w:rsidR="009B4B87">
        <w:rPr>
          <w:iCs/>
          <w:u w:val="single"/>
        </w:rPr>
        <w:t xml:space="preserve"> </w:t>
      </w:r>
      <w:r w:rsidR="00FE2736">
        <w:rPr>
          <w:iCs/>
          <w:u w:val="single"/>
        </w:rPr>
        <w:t xml:space="preserve">or </w:t>
      </w:r>
      <w:r w:rsidR="009B4B87">
        <w:rPr>
          <w:iCs/>
          <w:u w:val="single"/>
        </w:rPr>
        <w:t>items</w:t>
      </w:r>
      <w:r w:rsidR="009B4B87">
        <w:rPr>
          <w:iCs/>
        </w:rPr>
        <w:t>.</w:t>
      </w:r>
      <w:r>
        <w:rPr>
          <w:iCs/>
        </w:rPr>
        <w:t xml:space="preserve"> </w:t>
      </w:r>
    </w:p>
    <w:p w14:paraId="2F191476" w14:textId="7F5AE520" w:rsidR="00E07CED" w:rsidRPr="00552586" w:rsidRDefault="009659D1" w:rsidP="00FC0783">
      <w:pPr>
        <w:pStyle w:val="ListParagraph"/>
        <w:spacing w:after="120"/>
        <w:ind w:left="576"/>
        <w:contextualSpacing w:val="0"/>
        <w:rPr>
          <w:iCs/>
          <w:u w:val="single"/>
        </w:rPr>
      </w:pPr>
      <w:r>
        <w:rPr>
          <w:iCs/>
        </w:rPr>
        <w:t>I</w:t>
      </w:r>
      <w:r w:rsidR="00E07CED">
        <w:rPr>
          <w:iCs/>
        </w:rPr>
        <w:t xml:space="preserve">ncome </w:t>
      </w:r>
      <w:r>
        <w:rPr>
          <w:iCs/>
        </w:rPr>
        <w:t>and related</w:t>
      </w:r>
      <w:r w:rsidR="00E07CED">
        <w:rPr>
          <w:iCs/>
        </w:rPr>
        <w:t xml:space="preserve"> items</w:t>
      </w:r>
      <w:r w:rsidR="004F51E3">
        <w:rPr>
          <w:iCs/>
        </w:rPr>
        <w:t xml:space="preserve"> of the corporation or group</w:t>
      </w:r>
      <w:r w:rsidR="00E07CED">
        <w:rPr>
          <w:iCs/>
        </w:rPr>
        <w:t xml:space="preserve"> </w:t>
      </w:r>
      <w:r>
        <w:rPr>
          <w:iCs/>
        </w:rPr>
        <w:t xml:space="preserve">that do not have a sufficient </w:t>
      </w:r>
      <w:r w:rsidR="006E3251">
        <w:rPr>
          <w:iCs/>
        </w:rPr>
        <w:t>connection</w:t>
      </w:r>
      <w:r>
        <w:rPr>
          <w:iCs/>
        </w:rPr>
        <w:t xml:space="preserve"> to </w:t>
      </w:r>
      <w:r w:rsidR="00164059">
        <w:rPr>
          <w:iCs/>
        </w:rPr>
        <w:t xml:space="preserve">the unitary business(es) </w:t>
      </w:r>
      <w:r w:rsidR="006E3251">
        <w:rPr>
          <w:iCs/>
        </w:rPr>
        <w:t>are</w:t>
      </w:r>
      <w:r w:rsidR="004F580A">
        <w:rPr>
          <w:iCs/>
        </w:rPr>
        <w:t xml:space="preserve"> identified and removed from the items that will be apportioned. </w:t>
      </w:r>
      <w:r w:rsidR="00281BCD">
        <w:rPr>
          <w:iCs/>
        </w:rPr>
        <w:t>U</w:t>
      </w:r>
      <w:r w:rsidR="005A1725">
        <w:rPr>
          <w:iCs/>
        </w:rPr>
        <w:t xml:space="preserve">nder UDITPA, this determination is made based on whether </w:t>
      </w:r>
      <w:r w:rsidR="00074D79">
        <w:rPr>
          <w:iCs/>
        </w:rPr>
        <w:t xml:space="preserve">the </w:t>
      </w:r>
      <w:r w:rsidR="002E611F" w:rsidRPr="002E611F">
        <w:rPr>
          <w:iCs/>
        </w:rPr>
        <w:t xml:space="preserve">income </w:t>
      </w:r>
      <w:r w:rsidR="00074D79">
        <w:rPr>
          <w:iCs/>
        </w:rPr>
        <w:t xml:space="preserve">or items are </w:t>
      </w:r>
      <w:r w:rsidR="002E611F" w:rsidRPr="002E611F">
        <w:rPr>
          <w:iCs/>
        </w:rPr>
        <w:t xml:space="preserve">from transactions and activity in the regular course of the taxpayer’s business </w:t>
      </w:r>
      <w:r w:rsidR="008B1D16">
        <w:rPr>
          <w:iCs/>
        </w:rPr>
        <w:t xml:space="preserve">or from </w:t>
      </w:r>
      <w:r w:rsidR="002B29D0">
        <w:rPr>
          <w:iCs/>
        </w:rPr>
        <w:t xml:space="preserve">the </w:t>
      </w:r>
      <w:r w:rsidR="002E611F" w:rsidRPr="002E611F">
        <w:rPr>
          <w:iCs/>
        </w:rPr>
        <w:t>acquisition, management, employment, development or disposition of property related to the business</w:t>
      </w:r>
      <w:r w:rsidR="00F63346">
        <w:rPr>
          <w:iCs/>
        </w:rPr>
        <w:t>.</w:t>
      </w:r>
    </w:p>
    <w:p w14:paraId="347CC7FB" w14:textId="77777777" w:rsidR="00087D47" w:rsidRPr="00087D47" w:rsidRDefault="00087D47" w:rsidP="00FC0783">
      <w:pPr>
        <w:pStyle w:val="ListParagraph"/>
        <w:numPr>
          <w:ilvl w:val="0"/>
          <w:numId w:val="3"/>
        </w:numPr>
        <w:spacing w:after="60"/>
        <w:ind w:left="576" w:hanging="288"/>
        <w:contextualSpacing w:val="0"/>
        <w:rPr>
          <w:iCs/>
          <w:u w:val="single"/>
        </w:rPr>
      </w:pPr>
      <w:r w:rsidRPr="00454B94">
        <w:rPr>
          <w:iCs/>
          <w:u w:val="single"/>
        </w:rPr>
        <w:t>Determine the apportionable net income of the business(es)</w:t>
      </w:r>
      <w:r>
        <w:rPr>
          <w:iCs/>
        </w:rPr>
        <w:t>.</w:t>
      </w:r>
      <w:r w:rsidR="00645A52">
        <w:rPr>
          <w:iCs/>
        </w:rPr>
        <w:t xml:space="preserve"> </w:t>
      </w:r>
    </w:p>
    <w:p w14:paraId="475693FC" w14:textId="654B0712" w:rsidR="00BC7168" w:rsidRPr="00E55FA2" w:rsidRDefault="00BC7168" w:rsidP="00FC0783">
      <w:pPr>
        <w:pStyle w:val="ListParagraph"/>
        <w:spacing w:after="120"/>
        <w:ind w:left="576"/>
        <w:contextualSpacing w:val="0"/>
        <w:rPr>
          <w:iCs/>
          <w:u w:val="single"/>
        </w:rPr>
      </w:pPr>
      <w:r>
        <w:rPr>
          <w:iCs/>
        </w:rPr>
        <w:t>The apportionable n</w:t>
      </w:r>
      <w:r w:rsidR="006016D9">
        <w:rPr>
          <w:iCs/>
        </w:rPr>
        <w:t xml:space="preserve">et income </w:t>
      </w:r>
      <w:r w:rsidR="00645A52">
        <w:rPr>
          <w:iCs/>
        </w:rPr>
        <w:t xml:space="preserve">of </w:t>
      </w:r>
      <w:r w:rsidR="00277ED3">
        <w:rPr>
          <w:iCs/>
        </w:rPr>
        <w:t>the</w:t>
      </w:r>
      <w:r w:rsidR="00645A52">
        <w:rPr>
          <w:iCs/>
        </w:rPr>
        <w:t xml:space="preserve"> business</w:t>
      </w:r>
      <w:r w:rsidR="00277ED3">
        <w:rPr>
          <w:iCs/>
        </w:rPr>
        <w:t>(</w:t>
      </w:r>
      <w:r w:rsidR="00645A52">
        <w:rPr>
          <w:iCs/>
        </w:rPr>
        <w:t>es</w:t>
      </w:r>
      <w:r w:rsidR="00277ED3">
        <w:rPr>
          <w:iCs/>
        </w:rPr>
        <w:t>)</w:t>
      </w:r>
      <w:r w:rsidR="00645A52">
        <w:rPr>
          <w:iCs/>
        </w:rPr>
        <w:t xml:space="preserve"> must then be determined, applying particular state rules </w:t>
      </w:r>
      <w:r w:rsidR="00801F21">
        <w:rPr>
          <w:iCs/>
        </w:rPr>
        <w:t>for the treatment of income, expense, gain, and loss which generally conform to federal tax treatment</w:t>
      </w:r>
      <w:r w:rsidR="005B3E43">
        <w:rPr>
          <w:iCs/>
        </w:rPr>
        <w:t xml:space="preserve"> unless explicitly excepted</w:t>
      </w:r>
      <w:r w:rsidR="00801F21">
        <w:rPr>
          <w:iCs/>
        </w:rPr>
        <w:t>.</w:t>
      </w:r>
    </w:p>
    <w:p w14:paraId="31B8DE7C" w14:textId="1BC1BF1C" w:rsidR="00DB581F" w:rsidRPr="00DB581F" w:rsidRDefault="00DB581F" w:rsidP="00FC0783">
      <w:pPr>
        <w:pStyle w:val="ListParagraph"/>
        <w:numPr>
          <w:ilvl w:val="0"/>
          <w:numId w:val="3"/>
        </w:numPr>
        <w:spacing w:after="60"/>
        <w:ind w:left="576" w:hanging="288"/>
        <w:contextualSpacing w:val="0"/>
        <w:rPr>
          <w:iCs/>
          <w:u w:val="single"/>
        </w:rPr>
      </w:pPr>
      <w:r w:rsidRPr="00454B94">
        <w:rPr>
          <w:iCs/>
          <w:u w:val="single"/>
        </w:rPr>
        <w:t>Determine the apportionment formula</w:t>
      </w:r>
      <w:r w:rsidR="00FA2A0D">
        <w:rPr>
          <w:iCs/>
          <w:u w:val="single"/>
        </w:rPr>
        <w:t>(s)</w:t>
      </w:r>
      <w:r w:rsidRPr="00454B94">
        <w:rPr>
          <w:iCs/>
          <w:u w:val="single"/>
        </w:rPr>
        <w:t xml:space="preserve"> </w:t>
      </w:r>
      <w:r w:rsidR="00277ED3">
        <w:rPr>
          <w:iCs/>
          <w:u w:val="single"/>
        </w:rPr>
        <w:t>to apportion</w:t>
      </w:r>
      <w:r w:rsidRPr="00454B94">
        <w:rPr>
          <w:iCs/>
          <w:u w:val="single"/>
        </w:rPr>
        <w:t xml:space="preserve"> </w:t>
      </w:r>
      <w:r w:rsidR="00277ED3">
        <w:rPr>
          <w:iCs/>
          <w:u w:val="single"/>
        </w:rPr>
        <w:t xml:space="preserve">income of </w:t>
      </w:r>
      <w:r w:rsidRPr="00454B94">
        <w:rPr>
          <w:iCs/>
          <w:u w:val="single"/>
        </w:rPr>
        <w:t>the business(es)</w:t>
      </w:r>
      <w:r>
        <w:rPr>
          <w:iCs/>
        </w:rPr>
        <w:t>.</w:t>
      </w:r>
      <w:r w:rsidR="00E55FA2">
        <w:rPr>
          <w:iCs/>
        </w:rPr>
        <w:t xml:space="preserve"> </w:t>
      </w:r>
    </w:p>
    <w:p w14:paraId="6637E337" w14:textId="7F59D525" w:rsidR="00E55FA2" w:rsidRPr="00552586" w:rsidRDefault="00B1483D" w:rsidP="00FC0783">
      <w:pPr>
        <w:pStyle w:val="ListParagraph"/>
        <w:spacing w:after="120"/>
        <w:ind w:left="576"/>
        <w:contextualSpacing w:val="0"/>
        <w:rPr>
          <w:iCs/>
          <w:u w:val="single"/>
        </w:rPr>
      </w:pPr>
      <w:r>
        <w:rPr>
          <w:iCs/>
        </w:rPr>
        <w:t>The a</w:t>
      </w:r>
      <w:r w:rsidR="00E55FA2">
        <w:rPr>
          <w:iCs/>
        </w:rPr>
        <w:t xml:space="preserve">pportionment factors and formula for each business must then be determined, applying </w:t>
      </w:r>
      <w:r>
        <w:rPr>
          <w:iCs/>
        </w:rPr>
        <w:t xml:space="preserve">the </w:t>
      </w:r>
      <w:r w:rsidR="00E55FA2">
        <w:rPr>
          <w:iCs/>
        </w:rPr>
        <w:t>state</w:t>
      </w:r>
      <w:r>
        <w:rPr>
          <w:iCs/>
        </w:rPr>
        <w:t>’s</w:t>
      </w:r>
      <w:r w:rsidR="00E55FA2">
        <w:rPr>
          <w:iCs/>
        </w:rPr>
        <w:t xml:space="preserve"> rules</w:t>
      </w:r>
      <w:r w:rsidR="00DB581F">
        <w:rPr>
          <w:iCs/>
        </w:rPr>
        <w:t xml:space="preserve"> to </w:t>
      </w:r>
      <w:r>
        <w:rPr>
          <w:iCs/>
        </w:rPr>
        <w:t>for locating the items making up the factors</w:t>
      </w:r>
      <w:r w:rsidR="00E55FA2">
        <w:rPr>
          <w:iCs/>
        </w:rPr>
        <w:t>.</w:t>
      </w:r>
      <w:r w:rsidR="00EB1606">
        <w:rPr>
          <w:iCs/>
        </w:rPr>
        <w:t xml:space="preserve"> For example, receipts f</w:t>
      </w:r>
      <w:r>
        <w:rPr>
          <w:iCs/>
        </w:rPr>
        <w:t>rom performing</w:t>
      </w:r>
      <w:r w:rsidR="00EB1606">
        <w:rPr>
          <w:iCs/>
        </w:rPr>
        <w:t xml:space="preserve"> services may be </w:t>
      </w:r>
      <w:r>
        <w:rPr>
          <w:iCs/>
        </w:rPr>
        <w:t xml:space="preserve">included in the state’s apportionment factor based on the location where the services were performed or on the location of the customer. </w:t>
      </w:r>
    </w:p>
    <w:p w14:paraId="789C8104" w14:textId="6962FC17" w:rsidR="007F2B18" w:rsidRPr="007F2B18" w:rsidRDefault="00EB1606" w:rsidP="00FC0783">
      <w:pPr>
        <w:pStyle w:val="ListParagraph"/>
        <w:numPr>
          <w:ilvl w:val="0"/>
          <w:numId w:val="3"/>
        </w:numPr>
        <w:spacing w:after="60"/>
        <w:ind w:left="576" w:hanging="288"/>
        <w:contextualSpacing w:val="0"/>
        <w:rPr>
          <w:iCs/>
          <w:u w:val="single"/>
        </w:rPr>
      </w:pPr>
      <w:r w:rsidRPr="00454B94">
        <w:rPr>
          <w:iCs/>
          <w:u w:val="single"/>
        </w:rPr>
        <w:t>Apply the apportionment formula</w:t>
      </w:r>
      <w:r w:rsidR="00BA70AC">
        <w:rPr>
          <w:iCs/>
          <w:u w:val="single"/>
        </w:rPr>
        <w:t>(s)</w:t>
      </w:r>
      <w:r w:rsidRPr="00454B94">
        <w:rPr>
          <w:iCs/>
          <w:u w:val="single"/>
        </w:rPr>
        <w:t xml:space="preserve"> to the apportionable net income of the business(es)</w:t>
      </w:r>
      <w:r w:rsidR="007F2B18">
        <w:rPr>
          <w:iCs/>
        </w:rPr>
        <w:t>.</w:t>
      </w:r>
      <w:r w:rsidR="00552586">
        <w:rPr>
          <w:iCs/>
        </w:rPr>
        <w:t xml:space="preserve"> </w:t>
      </w:r>
    </w:p>
    <w:p w14:paraId="51A24F38" w14:textId="794AB2E6" w:rsidR="00552586" w:rsidRDefault="00552586" w:rsidP="00FC0783">
      <w:pPr>
        <w:pStyle w:val="ListParagraph"/>
        <w:spacing w:after="120"/>
        <w:ind w:left="576"/>
        <w:contextualSpacing w:val="0"/>
        <w:rPr>
          <w:iCs/>
          <w:u w:val="single"/>
        </w:rPr>
      </w:pPr>
      <w:r>
        <w:rPr>
          <w:iCs/>
        </w:rPr>
        <w:t xml:space="preserve">The apportionment formula is then applied to the apportionable net income of the </w:t>
      </w:r>
      <w:r w:rsidR="00B1483D">
        <w:rPr>
          <w:iCs/>
        </w:rPr>
        <w:t xml:space="preserve">related </w:t>
      </w:r>
      <w:r>
        <w:rPr>
          <w:iCs/>
        </w:rPr>
        <w:t xml:space="preserve">business to </w:t>
      </w:r>
      <w:r w:rsidR="00B1483D">
        <w:rPr>
          <w:iCs/>
        </w:rPr>
        <w:t>determine</w:t>
      </w:r>
      <w:r>
        <w:rPr>
          <w:iCs/>
        </w:rPr>
        <w:t xml:space="preserve"> </w:t>
      </w:r>
      <w:r w:rsidR="00B1483D">
        <w:rPr>
          <w:iCs/>
        </w:rPr>
        <w:t>the state’s</w:t>
      </w:r>
      <w:r w:rsidR="007F2B18">
        <w:rPr>
          <w:iCs/>
        </w:rPr>
        <w:t xml:space="preserve"> share of </w:t>
      </w:r>
      <w:r>
        <w:rPr>
          <w:iCs/>
        </w:rPr>
        <w:t>th</w:t>
      </w:r>
      <w:r w:rsidR="00B1483D">
        <w:rPr>
          <w:iCs/>
        </w:rPr>
        <w:t>at</w:t>
      </w:r>
      <w:r>
        <w:rPr>
          <w:iCs/>
        </w:rPr>
        <w:t xml:space="preserve"> net income (and all items making up that net income). </w:t>
      </w:r>
    </w:p>
    <w:p w14:paraId="2FBD5145" w14:textId="77777777" w:rsidR="00E76C79" w:rsidRPr="00E76C79" w:rsidRDefault="00552586" w:rsidP="00FC0783">
      <w:pPr>
        <w:pStyle w:val="ListParagraph"/>
        <w:numPr>
          <w:ilvl w:val="0"/>
          <w:numId w:val="3"/>
        </w:numPr>
        <w:spacing w:after="60"/>
        <w:ind w:left="576" w:hanging="288"/>
        <w:contextualSpacing w:val="0"/>
        <w:rPr>
          <w:iCs/>
          <w:u w:val="single"/>
        </w:rPr>
      </w:pPr>
      <w:r>
        <w:rPr>
          <w:iCs/>
          <w:u w:val="single"/>
        </w:rPr>
        <w:t xml:space="preserve">Apply </w:t>
      </w:r>
      <w:r w:rsidR="00294B7B">
        <w:rPr>
          <w:iCs/>
          <w:u w:val="single"/>
        </w:rPr>
        <w:t>the s</w:t>
      </w:r>
      <w:r>
        <w:rPr>
          <w:iCs/>
          <w:u w:val="single"/>
        </w:rPr>
        <w:t xml:space="preserve">pecific </w:t>
      </w:r>
      <w:r w:rsidR="00294B7B">
        <w:rPr>
          <w:iCs/>
          <w:u w:val="single"/>
        </w:rPr>
        <w:t>r</w:t>
      </w:r>
      <w:r>
        <w:rPr>
          <w:iCs/>
          <w:u w:val="single"/>
        </w:rPr>
        <w:t xml:space="preserve">ules of </w:t>
      </w:r>
      <w:r w:rsidR="00294B7B">
        <w:rPr>
          <w:iCs/>
          <w:u w:val="single"/>
        </w:rPr>
        <w:t>a</w:t>
      </w:r>
      <w:r>
        <w:rPr>
          <w:iCs/>
          <w:u w:val="single"/>
        </w:rPr>
        <w:t xml:space="preserve">ssignment to </w:t>
      </w:r>
      <w:r w:rsidR="00294B7B">
        <w:rPr>
          <w:iCs/>
          <w:u w:val="single"/>
        </w:rPr>
        <w:t>non-apportionable income (and items)</w:t>
      </w:r>
      <w:r w:rsidR="00E76C79" w:rsidRPr="00E76C79">
        <w:rPr>
          <w:iCs/>
        </w:rPr>
        <w:t xml:space="preserve">. </w:t>
      </w:r>
    </w:p>
    <w:p w14:paraId="36C0C0BE" w14:textId="2FE09F55" w:rsidR="00552586" w:rsidRDefault="007C7FF0" w:rsidP="00FC0783">
      <w:pPr>
        <w:pStyle w:val="ListParagraph"/>
        <w:spacing w:after="120"/>
        <w:ind w:left="576"/>
        <w:contextualSpacing w:val="0"/>
        <w:rPr>
          <w:iCs/>
        </w:rPr>
      </w:pPr>
      <w:r>
        <w:rPr>
          <w:iCs/>
        </w:rPr>
        <w:t xml:space="preserve">The applicable </w:t>
      </w:r>
      <w:r w:rsidR="00643DF5">
        <w:rPr>
          <w:iCs/>
        </w:rPr>
        <w:t xml:space="preserve">rule of assignment for any non-apportionable income and related items is then applied to that income. </w:t>
      </w:r>
    </w:p>
    <w:p w14:paraId="4E01B34F" w14:textId="25BA7919" w:rsidR="00643DF5" w:rsidRPr="008E10DD" w:rsidRDefault="00C875B4" w:rsidP="00FC0783">
      <w:pPr>
        <w:pStyle w:val="ListParagraph"/>
        <w:numPr>
          <w:ilvl w:val="0"/>
          <w:numId w:val="3"/>
        </w:numPr>
        <w:spacing w:after="60"/>
        <w:ind w:left="576" w:hanging="288"/>
        <w:contextualSpacing w:val="0"/>
        <w:rPr>
          <w:iCs/>
          <w:u w:val="single"/>
        </w:rPr>
      </w:pPr>
      <w:r>
        <w:rPr>
          <w:iCs/>
          <w:u w:val="single"/>
        </w:rPr>
        <w:t>Combine</w:t>
      </w:r>
      <w:r w:rsidR="008E10DD">
        <w:rPr>
          <w:iCs/>
          <w:u w:val="single"/>
        </w:rPr>
        <w:t xml:space="preserve"> </w:t>
      </w:r>
      <w:r w:rsidR="00B1483D">
        <w:rPr>
          <w:iCs/>
          <w:u w:val="single"/>
        </w:rPr>
        <w:t xml:space="preserve">the amounts of </w:t>
      </w:r>
      <w:r w:rsidR="008E10DD">
        <w:rPr>
          <w:iCs/>
          <w:u w:val="single"/>
        </w:rPr>
        <w:t xml:space="preserve">income apportioned </w:t>
      </w:r>
      <w:r w:rsidR="00B1483D">
        <w:rPr>
          <w:iCs/>
          <w:u w:val="single"/>
        </w:rPr>
        <w:t>or</w:t>
      </w:r>
      <w:r w:rsidR="008E10DD">
        <w:rPr>
          <w:iCs/>
          <w:u w:val="single"/>
        </w:rPr>
        <w:t xml:space="preserve"> assigned to the state</w:t>
      </w:r>
      <w:r w:rsidR="008E10DD" w:rsidRPr="008E10DD">
        <w:rPr>
          <w:iCs/>
        </w:rPr>
        <w:t xml:space="preserve">. </w:t>
      </w:r>
    </w:p>
    <w:p w14:paraId="0D3027B4" w14:textId="290F3AD5" w:rsidR="008E10DD" w:rsidRDefault="00F86534" w:rsidP="00FC0783">
      <w:pPr>
        <w:pStyle w:val="ListParagraph"/>
        <w:spacing w:after="120"/>
        <w:ind w:left="576"/>
        <w:contextualSpacing w:val="0"/>
        <w:rPr>
          <w:iCs/>
        </w:rPr>
      </w:pPr>
      <w:r>
        <w:rPr>
          <w:iCs/>
        </w:rPr>
        <w:t>T</w:t>
      </w:r>
      <w:r w:rsidR="00AD1D31">
        <w:rPr>
          <w:iCs/>
        </w:rPr>
        <w:t xml:space="preserve">he </w:t>
      </w:r>
      <w:r w:rsidR="00AC6459">
        <w:rPr>
          <w:iCs/>
        </w:rPr>
        <w:t>amounts of income apportioned or assigned to the state a</w:t>
      </w:r>
      <w:r w:rsidR="00591069">
        <w:rPr>
          <w:iCs/>
        </w:rPr>
        <w:t>re added together</w:t>
      </w:r>
      <w:r>
        <w:rPr>
          <w:iCs/>
        </w:rPr>
        <w:t xml:space="preserve"> to compute the total state-sourced income</w:t>
      </w:r>
      <w:r w:rsidR="00591069">
        <w:rPr>
          <w:iCs/>
        </w:rPr>
        <w:t>.</w:t>
      </w:r>
    </w:p>
    <w:p w14:paraId="12C9919C" w14:textId="15C739F9" w:rsidR="00D16E4F" w:rsidRPr="008E10DD" w:rsidRDefault="00D16E4F" w:rsidP="00FC0783">
      <w:pPr>
        <w:pStyle w:val="ListParagraph"/>
        <w:numPr>
          <w:ilvl w:val="0"/>
          <w:numId w:val="3"/>
        </w:numPr>
        <w:spacing w:after="60"/>
        <w:ind w:left="576" w:hanging="288"/>
        <w:contextualSpacing w:val="0"/>
        <w:rPr>
          <w:iCs/>
          <w:u w:val="single"/>
        </w:rPr>
      </w:pPr>
      <w:r>
        <w:rPr>
          <w:iCs/>
          <w:u w:val="single"/>
        </w:rPr>
        <w:t xml:space="preserve">Determine if the result </w:t>
      </w:r>
      <w:r w:rsidR="00633942">
        <w:rPr>
          <w:iCs/>
          <w:u w:val="single"/>
        </w:rPr>
        <w:t>of applying the rules is distortive</w:t>
      </w:r>
      <w:r w:rsidRPr="008E10DD">
        <w:rPr>
          <w:iCs/>
        </w:rPr>
        <w:t xml:space="preserve">. </w:t>
      </w:r>
    </w:p>
    <w:p w14:paraId="59E3BD7A" w14:textId="5F913C18" w:rsidR="00D16E4F" w:rsidRDefault="00D16E4F" w:rsidP="00FC0783">
      <w:pPr>
        <w:pStyle w:val="ListParagraph"/>
        <w:spacing w:after="120"/>
        <w:ind w:left="576"/>
        <w:contextualSpacing w:val="0"/>
        <w:rPr>
          <w:iCs/>
        </w:rPr>
      </w:pPr>
      <w:r>
        <w:rPr>
          <w:iCs/>
        </w:rPr>
        <w:t xml:space="preserve">Finally, </w:t>
      </w:r>
      <w:r w:rsidR="001B0AA7">
        <w:rPr>
          <w:iCs/>
        </w:rPr>
        <w:t xml:space="preserve">there may be cases where the application of the general sourcing rules </w:t>
      </w:r>
      <w:r w:rsidR="00E35294">
        <w:rPr>
          <w:iCs/>
        </w:rPr>
        <w:t xml:space="preserve">to particular facts and circumstances effectively </w:t>
      </w:r>
      <w:r w:rsidR="001B0AA7">
        <w:rPr>
          <w:iCs/>
        </w:rPr>
        <w:t>distorts the result</w:t>
      </w:r>
      <w:r w:rsidR="00E35294">
        <w:rPr>
          <w:iCs/>
        </w:rPr>
        <w:t xml:space="preserve"> in ways not intended. In those cases, the rules in most states provide that the sourcing of </w:t>
      </w:r>
      <w:r w:rsidR="00F449D4">
        <w:rPr>
          <w:iCs/>
        </w:rPr>
        <w:t xml:space="preserve">income may be </w:t>
      </w:r>
      <w:r w:rsidR="00885D69">
        <w:rPr>
          <w:iCs/>
        </w:rPr>
        <w:t>adjusted to better reflect the taxpayer’s activity in the state.</w:t>
      </w:r>
    </w:p>
    <w:p w14:paraId="58D4A7D0" w14:textId="0CD82945" w:rsidR="00552586" w:rsidRDefault="00552586" w:rsidP="00C56FB6">
      <w:pPr>
        <w:pStyle w:val="Heading3"/>
      </w:pPr>
      <w:bookmarkStart w:id="59" w:name="_Toc195435252"/>
      <w:r>
        <w:lastRenderedPageBreak/>
        <w:t xml:space="preserve">Application </w:t>
      </w:r>
      <w:r w:rsidR="00C56FB6">
        <w:t xml:space="preserve">of State Sourcing Methods – </w:t>
      </w:r>
      <w:r w:rsidR="00C92B81">
        <w:t>Proprietorships</w:t>
      </w:r>
      <w:bookmarkEnd w:id="59"/>
    </w:p>
    <w:p w14:paraId="41B6273F" w14:textId="7A3EF87C" w:rsidR="00C92B81" w:rsidRDefault="00C56FB6" w:rsidP="00C56FB6">
      <w:r>
        <w:t xml:space="preserve">The primary difference between state taxation of corporations and individuals is that states tax resident individuals on 100% of their income and provide a credit for taxes paid to other states on that same income. </w:t>
      </w:r>
      <w:r w:rsidR="00C92B81">
        <w:t>So when it comes to proprietorships—the following general approach is applied:</w:t>
      </w:r>
    </w:p>
    <w:p w14:paraId="3D1BCF9F" w14:textId="2862B1F5" w:rsidR="00C56FB6" w:rsidRPr="00C92B81" w:rsidRDefault="00C92B81" w:rsidP="00C92B81">
      <w:pPr>
        <w:spacing w:after="80"/>
        <w:ind w:firstLine="432"/>
        <w:rPr>
          <w:iCs/>
          <w:u w:val="single"/>
        </w:rPr>
      </w:pPr>
      <w:r w:rsidRPr="00C92B81">
        <w:rPr>
          <w:u w:val="single"/>
        </w:rPr>
        <w:t xml:space="preserve">Nonresident Individuals </w:t>
      </w:r>
    </w:p>
    <w:p w14:paraId="7190A8D9" w14:textId="5C957874" w:rsidR="00552586" w:rsidRDefault="00C92B81" w:rsidP="00FC0783">
      <w:pPr>
        <w:spacing w:after="120"/>
        <w:ind w:left="432"/>
        <w:rPr>
          <w:iCs/>
          <w:u w:val="single"/>
        </w:rPr>
      </w:pPr>
      <w:r>
        <w:rPr>
          <w:iCs/>
        </w:rPr>
        <w:t>The nonresident individual would be taxed only on their state-sourced income applying the same general rules that are applied to corporations.</w:t>
      </w:r>
    </w:p>
    <w:p w14:paraId="5712AAF8" w14:textId="77777777" w:rsidR="005E21E2" w:rsidRDefault="00552586" w:rsidP="00FC0783">
      <w:pPr>
        <w:spacing w:after="60"/>
        <w:ind w:left="432"/>
        <w:rPr>
          <w:iCs/>
        </w:rPr>
      </w:pPr>
      <w:r w:rsidRPr="00552586">
        <w:rPr>
          <w:iCs/>
          <w:u w:val="single"/>
        </w:rPr>
        <w:t>Resident Individuals</w:t>
      </w:r>
    </w:p>
    <w:p w14:paraId="6C9E6598" w14:textId="0284B5DA" w:rsidR="00C92B81" w:rsidRDefault="00C92B81" w:rsidP="004F51E3">
      <w:pPr>
        <w:spacing w:after="60"/>
        <w:ind w:left="432"/>
        <w:rPr>
          <w:iCs/>
        </w:rPr>
      </w:pPr>
      <w:r>
        <w:rPr>
          <w:iCs/>
        </w:rPr>
        <w:t xml:space="preserve">The resident individual would report 100% of their income and compute the state tax on that income. They would then be entitled to a </w:t>
      </w:r>
      <w:r w:rsidR="005E21E2">
        <w:rPr>
          <w:iCs/>
        </w:rPr>
        <w:t xml:space="preserve">credit for </w:t>
      </w:r>
      <w:r w:rsidR="00552586" w:rsidRPr="00552586">
        <w:rPr>
          <w:iCs/>
        </w:rPr>
        <w:t>tax</w:t>
      </w:r>
      <w:r w:rsidR="00552586">
        <w:rPr>
          <w:iCs/>
        </w:rPr>
        <w:t>es</w:t>
      </w:r>
      <w:r w:rsidR="00552586" w:rsidRPr="00552586">
        <w:rPr>
          <w:iCs/>
        </w:rPr>
        <w:t xml:space="preserve"> paid </w:t>
      </w:r>
      <w:r>
        <w:rPr>
          <w:iCs/>
        </w:rPr>
        <w:t xml:space="preserve">to other states </w:t>
      </w:r>
      <w:r w:rsidR="005E21E2">
        <w:rPr>
          <w:iCs/>
        </w:rPr>
        <w:t>on the same income</w:t>
      </w:r>
      <w:r w:rsidR="00552586" w:rsidRPr="00552586">
        <w:rPr>
          <w:iCs/>
        </w:rPr>
        <w:t xml:space="preserve"> (as a nonresident)</w:t>
      </w:r>
      <w:r w:rsidR="006961B8">
        <w:rPr>
          <w:iCs/>
        </w:rPr>
        <w:t>.</w:t>
      </w:r>
      <w:r w:rsidR="00552586" w:rsidRPr="00552586">
        <w:rPr>
          <w:iCs/>
        </w:rPr>
        <w:t xml:space="preserve"> </w:t>
      </w:r>
      <w:r w:rsidR="006961B8">
        <w:rPr>
          <w:iCs/>
        </w:rPr>
        <w:t>T</w:t>
      </w:r>
      <w:r w:rsidR="00552586" w:rsidRPr="00552586">
        <w:rPr>
          <w:iCs/>
        </w:rPr>
        <w:t>h</w:t>
      </w:r>
      <w:r>
        <w:rPr>
          <w:iCs/>
        </w:rPr>
        <w:t>is</w:t>
      </w:r>
      <w:r w:rsidR="00552586" w:rsidRPr="00552586">
        <w:rPr>
          <w:iCs/>
        </w:rPr>
        <w:t xml:space="preserve"> credit is generally limited to</w:t>
      </w:r>
      <w:r w:rsidR="00552586">
        <w:rPr>
          <w:iCs/>
        </w:rPr>
        <w:t xml:space="preserve"> the tax that would be owed using the resident-state</w:t>
      </w:r>
      <w:r w:rsidR="006961B8">
        <w:rPr>
          <w:iCs/>
        </w:rPr>
        <w:t>’</w:t>
      </w:r>
      <w:r w:rsidR="00552586">
        <w:rPr>
          <w:iCs/>
        </w:rPr>
        <w:t xml:space="preserve">s </w:t>
      </w:r>
      <w:r w:rsidR="00552586" w:rsidRPr="003861BA">
        <w:rPr>
          <w:iCs/>
        </w:rPr>
        <w:t>tax</w:t>
      </w:r>
      <w:r w:rsidR="00552586">
        <w:rPr>
          <w:iCs/>
        </w:rPr>
        <w:t xml:space="preserve"> rate and sourcing rules. </w:t>
      </w:r>
    </w:p>
    <w:p w14:paraId="5A4AB698" w14:textId="535C5EEF" w:rsidR="00E969C3" w:rsidRDefault="00E969C3" w:rsidP="009D2D6E">
      <w:pPr>
        <w:pStyle w:val="Heading3"/>
        <w:rPr>
          <w:iCs/>
        </w:rPr>
      </w:pPr>
      <w:bookmarkStart w:id="60" w:name="_Toc195435253"/>
      <w:r>
        <w:t xml:space="preserve">Application </w:t>
      </w:r>
      <w:r w:rsidR="007168C9">
        <w:t xml:space="preserve">of State Sourcing Methods – </w:t>
      </w:r>
      <w:r w:rsidR="00D55D8A">
        <w:t>Simple Partnerships</w:t>
      </w:r>
      <w:bookmarkEnd w:id="60"/>
    </w:p>
    <w:p w14:paraId="33208BA9" w14:textId="77777777" w:rsidR="001F72F2" w:rsidRDefault="00E969C3" w:rsidP="00B76A7D">
      <w:pPr>
        <w:rPr>
          <w:iCs/>
        </w:rPr>
      </w:pPr>
      <w:r>
        <w:t xml:space="preserve">This section is based on research of existing state rules which </w:t>
      </w:r>
      <w:r w:rsidR="0073773D">
        <w:t xml:space="preserve">is </w:t>
      </w:r>
      <w:r>
        <w:t xml:space="preserve">included in detail in </w:t>
      </w:r>
      <w:r w:rsidR="00597169">
        <w:t>Section III</w:t>
      </w:r>
      <w:r>
        <w:t xml:space="preserve">. </w:t>
      </w:r>
      <w:r w:rsidR="00DC32AF">
        <w:rPr>
          <w:iCs/>
        </w:rPr>
        <w:t xml:space="preserve">States typically apply the same </w:t>
      </w:r>
      <w:r w:rsidR="00B757FE">
        <w:rPr>
          <w:iCs/>
        </w:rPr>
        <w:t xml:space="preserve">sourcing </w:t>
      </w:r>
      <w:r w:rsidR="00DC32AF">
        <w:rPr>
          <w:iCs/>
        </w:rPr>
        <w:t xml:space="preserve">approaches to </w:t>
      </w:r>
      <w:r w:rsidR="00B757FE">
        <w:rPr>
          <w:iCs/>
        </w:rPr>
        <w:t xml:space="preserve">the income of businesses conducted by partnerships as </w:t>
      </w:r>
      <w:r w:rsidR="004F11A0">
        <w:rPr>
          <w:iCs/>
        </w:rPr>
        <w:t xml:space="preserve">they do </w:t>
      </w:r>
      <w:r w:rsidR="00B757FE">
        <w:rPr>
          <w:iCs/>
        </w:rPr>
        <w:t xml:space="preserve">to </w:t>
      </w:r>
      <w:r w:rsidR="00B76A7D">
        <w:rPr>
          <w:iCs/>
        </w:rPr>
        <w:t xml:space="preserve">businesses conducted by individuals and corporations. </w:t>
      </w:r>
    </w:p>
    <w:p w14:paraId="457ABD73" w14:textId="0CD3C45B" w:rsidR="00E969C3" w:rsidRPr="001F72F2" w:rsidRDefault="00B76A7D" w:rsidP="00B76A7D">
      <w:r>
        <w:rPr>
          <w:iCs/>
        </w:rPr>
        <w:t xml:space="preserve">The following summarizes how these rules are </w:t>
      </w:r>
      <w:r w:rsidR="00897414">
        <w:rPr>
          <w:iCs/>
        </w:rPr>
        <w:t xml:space="preserve">generally </w:t>
      </w:r>
      <w:r>
        <w:rPr>
          <w:iCs/>
        </w:rPr>
        <w:t xml:space="preserve">applied in a simple, single-tiered structure with only </w:t>
      </w:r>
      <w:r w:rsidR="00273C8F">
        <w:rPr>
          <w:iCs/>
        </w:rPr>
        <w:t xml:space="preserve">non-resident </w:t>
      </w:r>
      <w:r>
        <w:rPr>
          <w:iCs/>
        </w:rPr>
        <w:t>individual partners:</w:t>
      </w:r>
    </w:p>
    <w:p w14:paraId="2435B553" w14:textId="6198EE03" w:rsidR="009007DF" w:rsidRPr="00BF3AFA" w:rsidRDefault="00D2223F" w:rsidP="00E10036">
      <w:pPr>
        <w:pStyle w:val="ListParagraph"/>
        <w:numPr>
          <w:ilvl w:val="0"/>
          <w:numId w:val="20"/>
        </w:numPr>
        <w:spacing w:after="80"/>
        <w:contextualSpacing w:val="0"/>
        <w:rPr>
          <w:iCs/>
          <w:u w:val="single"/>
        </w:rPr>
      </w:pPr>
      <w:bookmarkStart w:id="61" w:name="_Toc153291156"/>
      <w:bookmarkStart w:id="62" w:name="_Toc104209202"/>
      <w:r w:rsidRPr="00D2223F">
        <w:rPr>
          <w:iCs/>
        </w:rPr>
        <w:t xml:space="preserve">The </w:t>
      </w:r>
      <w:r w:rsidR="009007DF" w:rsidRPr="00D2223F">
        <w:rPr>
          <w:iCs/>
        </w:rPr>
        <w:t xml:space="preserve">business(es) of </w:t>
      </w:r>
      <w:r w:rsidRPr="00D2223F">
        <w:rPr>
          <w:iCs/>
        </w:rPr>
        <w:t xml:space="preserve">the partnership are identified </w:t>
      </w:r>
      <w:r>
        <w:rPr>
          <w:iCs/>
        </w:rPr>
        <w:t xml:space="preserve">based on evaluating the </w:t>
      </w:r>
      <w:r w:rsidR="008D3FBA">
        <w:rPr>
          <w:iCs/>
        </w:rPr>
        <w:t xml:space="preserve">entity’s </w:t>
      </w:r>
      <w:r w:rsidR="00400E2C">
        <w:rPr>
          <w:iCs/>
        </w:rPr>
        <w:t>activities</w:t>
      </w:r>
      <w:r>
        <w:rPr>
          <w:iCs/>
        </w:rPr>
        <w:t xml:space="preserve">. </w:t>
      </w:r>
      <w:r w:rsidR="009007DF">
        <w:rPr>
          <w:iCs/>
        </w:rPr>
        <w:t xml:space="preserve"> </w:t>
      </w:r>
    </w:p>
    <w:p w14:paraId="4F55D9E0" w14:textId="02405489" w:rsidR="009007DF" w:rsidRPr="00D2223F" w:rsidRDefault="00D2223F" w:rsidP="00E10036">
      <w:pPr>
        <w:pStyle w:val="ListParagraph"/>
        <w:numPr>
          <w:ilvl w:val="0"/>
          <w:numId w:val="20"/>
        </w:numPr>
        <w:spacing w:after="80"/>
        <w:contextualSpacing w:val="0"/>
        <w:rPr>
          <w:iCs/>
        </w:rPr>
      </w:pPr>
      <w:r w:rsidRPr="00D2223F">
        <w:rPr>
          <w:iCs/>
        </w:rPr>
        <w:t xml:space="preserve">The rules for determining </w:t>
      </w:r>
      <w:r w:rsidR="009007DF" w:rsidRPr="00D2223F">
        <w:rPr>
          <w:iCs/>
        </w:rPr>
        <w:t xml:space="preserve">any non-apportionable income </w:t>
      </w:r>
      <w:r w:rsidR="00FE2736">
        <w:rPr>
          <w:iCs/>
        </w:rPr>
        <w:t xml:space="preserve">or </w:t>
      </w:r>
      <w:r w:rsidR="009007DF" w:rsidRPr="00D2223F">
        <w:rPr>
          <w:iCs/>
        </w:rPr>
        <w:t>items</w:t>
      </w:r>
      <w:r w:rsidRPr="00D2223F">
        <w:rPr>
          <w:iCs/>
        </w:rPr>
        <w:t xml:space="preserve"> are applied at the entity level</w:t>
      </w:r>
      <w:r w:rsidR="008700E0">
        <w:rPr>
          <w:iCs/>
        </w:rPr>
        <w:t xml:space="preserve">, based on </w:t>
      </w:r>
      <w:r w:rsidR="00D17E7E">
        <w:rPr>
          <w:iCs/>
        </w:rPr>
        <w:t>partnership activities</w:t>
      </w:r>
      <w:r w:rsidR="009007DF" w:rsidRPr="00D2223F">
        <w:rPr>
          <w:iCs/>
        </w:rPr>
        <w:t xml:space="preserve">. </w:t>
      </w:r>
    </w:p>
    <w:p w14:paraId="70313E01" w14:textId="22D8574E" w:rsidR="009007DF" w:rsidRPr="00087D47" w:rsidRDefault="00A214BA" w:rsidP="00E10036">
      <w:pPr>
        <w:pStyle w:val="ListParagraph"/>
        <w:numPr>
          <w:ilvl w:val="0"/>
          <w:numId w:val="20"/>
        </w:numPr>
        <w:spacing w:after="80"/>
        <w:contextualSpacing w:val="0"/>
        <w:rPr>
          <w:iCs/>
          <w:u w:val="single"/>
        </w:rPr>
      </w:pPr>
      <w:r>
        <w:rPr>
          <w:iCs/>
        </w:rPr>
        <w:t xml:space="preserve">The apportionable </w:t>
      </w:r>
      <w:r w:rsidR="001F72F2">
        <w:rPr>
          <w:iCs/>
        </w:rPr>
        <w:t xml:space="preserve">net </w:t>
      </w:r>
      <w:r>
        <w:rPr>
          <w:iCs/>
        </w:rPr>
        <w:t xml:space="preserve">income </w:t>
      </w:r>
      <w:r w:rsidR="00FC0783">
        <w:rPr>
          <w:iCs/>
        </w:rPr>
        <w:t xml:space="preserve">to be attributed to the business(es) </w:t>
      </w:r>
      <w:r>
        <w:rPr>
          <w:iCs/>
        </w:rPr>
        <w:t xml:space="preserve">is </w:t>
      </w:r>
      <w:r w:rsidR="00495086">
        <w:rPr>
          <w:iCs/>
        </w:rPr>
        <w:t>computed</w:t>
      </w:r>
      <w:r>
        <w:rPr>
          <w:iCs/>
        </w:rPr>
        <w:t xml:space="preserve"> based on the character of the items determined at the </w:t>
      </w:r>
      <w:r w:rsidR="002A0447">
        <w:rPr>
          <w:iCs/>
        </w:rPr>
        <w:t>entity level.</w:t>
      </w:r>
    </w:p>
    <w:p w14:paraId="44DB3A62" w14:textId="03A87CB9" w:rsidR="009007DF" w:rsidRPr="00BA70AC" w:rsidRDefault="002A0447" w:rsidP="00E10036">
      <w:pPr>
        <w:pStyle w:val="ListParagraph"/>
        <w:numPr>
          <w:ilvl w:val="0"/>
          <w:numId w:val="20"/>
        </w:numPr>
        <w:spacing w:after="80"/>
        <w:contextualSpacing w:val="0"/>
        <w:rPr>
          <w:iCs/>
          <w:u w:val="single"/>
        </w:rPr>
      </w:pPr>
      <w:r w:rsidRPr="00BA70AC">
        <w:rPr>
          <w:iCs/>
        </w:rPr>
        <w:t xml:space="preserve">The apportionment formula for the </w:t>
      </w:r>
      <w:r w:rsidR="008D559C">
        <w:rPr>
          <w:iCs/>
        </w:rPr>
        <w:t xml:space="preserve">income of </w:t>
      </w:r>
      <w:r w:rsidR="00127B5B">
        <w:rPr>
          <w:iCs/>
        </w:rPr>
        <w:t xml:space="preserve">the </w:t>
      </w:r>
      <w:r w:rsidR="00CC3025">
        <w:rPr>
          <w:iCs/>
        </w:rPr>
        <w:t xml:space="preserve">related </w:t>
      </w:r>
      <w:r w:rsidRPr="00BA70AC">
        <w:rPr>
          <w:iCs/>
        </w:rPr>
        <w:t xml:space="preserve">business </w:t>
      </w:r>
      <w:r w:rsidR="008D559C">
        <w:rPr>
          <w:iCs/>
        </w:rPr>
        <w:t>is</w:t>
      </w:r>
      <w:r w:rsidR="00BA70AC" w:rsidRPr="00BA70AC">
        <w:rPr>
          <w:iCs/>
        </w:rPr>
        <w:t xml:space="preserve"> determined </w:t>
      </w:r>
      <w:r w:rsidR="000D3F56">
        <w:rPr>
          <w:iCs/>
        </w:rPr>
        <w:t xml:space="preserve">by </w:t>
      </w:r>
      <w:r w:rsidR="00BA70AC" w:rsidRPr="00BA70AC">
        <w:rPr>
          <w:iCs/>
        </w:rPr>
        <w:t xml:space="preserve">applying the state’s </w:t>
      </w:r>
      <w:r w:rsidR="001F72F2">
        <w:rPr>
          <w:iCs/>
        </w:rPr>
        <w:t>general rules for</w:t>
      </w:r>
      <w:r w:rsidR="00CC3025">
        <w:rPr>
          <w:iCs/>
        </w:rPr>
        <w:t xml:space="preserve"> </w:t>
      </w:r>
      <w:r w:rsidR="001F72F2">
        <w:rPr>
          <w:iCs/>
        </w:rPr>
        <w:t>determining and locating the</w:t>
      </w:r>
      <w:r w:rsidR="00CC3025">
        <w:rPr>
          <w:iCs/>
        </w:rPr>
        <w:t xml:space="preserve"> partnership</w:t>
      </w:r>
      <w:r w:rsidR="00187CD5">
        <w:rPr>
          <w:iCs/>
        </w:rPr>
        <w:t>’s</w:t>
      </w:r>
      <w:r w:rsidR="00CC3025">
        <w:rPr>
          <w:iCs/>
        </w:rPr>
        <w:t xml:space="preserve"> factors</w:t>
      </w:r>
      <w:r w:rsidR="00BA70AC" w:rsidRPr="00BA70AC">
        <w:rPr>
          <w:iCs/>
        </w:rPr>
        <w:t>.</w:t>
      </w:r>
      <w:r w:rsidR="00BA70AC">
        <w:rPr>
          <w:iCs/>
        </w:rPr>
        <w:t xml:space="preserve"> </w:t>
      </w:r>
    </w:p>
    <w:p w14:paraId="295B9D17" w14:textId="38AADC9F" w:rsidR="009007DF" w:rsidRPr="000D3F56" w:rsidRDefault="00BA70AC" w:rsidP="00E10036">
      <w:pPr>
        <w:pStyle w:val="ListParagraph"/>
        <w:numPr>
          <w:ilvl w:val="0"/>
          <w:numId w:val="20"/>
        </w:numPr>
        <w:spacing w:after="80"/>
        <w:contextualSpacing w:val="0"/>
        <w:rPr>
          <w:iCs/>
        </w:rPr>
      </w:pPr>
      <w:r w:rsidRPr="000D3F56">
        <w:rPr>
          <w:iCs/>
        </w:rPr>
        <w:t xml:space="preserve">The </w:t>
      </w:r>
      <w:r w:rsidR="00FA2A0D" w:rsidRPr="000D3F56">
        <w:rPr>
          <w:iCs/>
        </w:rPr>
        <w:t>a</w:t>
      </w:r>
      <w:r w:rsidR="009007DF" w:rsidRPr="000D3F56">
        <w:rPr>
          <w:iCs/>
        </w:rPr>
        <w:t>pportionment formula</w:t>
      </w:r>
      <w:r w:rsidR="00FA2A0D" w:rsidRPr="000D3F56">
        <w:rPr>
          <w:iCs/>
        </w:rPr>
        <w:t xml:space="preserve"> </w:t>
      </w:r>
      <w:r w:rsidR="008D559C">
        <w:rPr>
          <w:iCs/>
        </w:rPr>
        <w:t>is</w:t>
      </w:r>
      <w:r w:rsidR="000D3F56">
        <w:rPr>
          <w:iCs/>
        </w:rPr>
        <w:t xml:space="preserve"> applied </w:t>
      </w:r>
      <w:r w:rsidR="009007DF" w:rsidRPr="000D3F56">
        <w:rPr>
          <w:iCs/>
        </w:rPr>
        <w:t xml:space="preserve">to the apportionable net income of the </w:t>
      </w:r>
      <w:r w:rsidR="0044651F">
        <w:rPr>
          <w:iCs/>
        </w:rPr>
        <w:t xml:space="preserve">related </w:t>
      </w:r>
      <w:r w:rsidR="009007DF" w:rsidRPr="000D3F56">
        <w:rPr>
          <w:iCs/>
        </w:rPr>
        <w:t xml:space="preserve">business. </w:t>
      </w:r>
    </w:p>
    <w:p w14:paraId="18E01F32" w14:textId="1F3A05B5" w:rsidR="009007DF" w:rsidRPr="00712CEC" w:rsidRDefault="009D502E" w:rsidP="00E10036">
      <w:pPr>
        <w:pStyle w:val="ListParagraph"/>
        <w:numPr>
          <w:ilvl w:val="0"/>
          <w:numId w:val="20"/>
        </w:numPr>
        <w:spacing w:after="80"/>
        <w:contextualSpacing w:val="0"/>
        <w:rPr>
          <w:iCs/>
        </w:rPr>
      </w:pPr>
      <w:r w:rsidRPr="00712CEC">
        <w:rPr>
          <w:iCs/>
        </w:rPr>
        <w:t xml:space="preserve">The appropriate rule of assignment is applied to any non-apportionable income taking into account the </w:t>
      </w:r>
      <w:r w:rsidR="00712CEC" w:rsidRPr="00712CEC">
        <w:rPr>
          <w:iCs/>
        </w:rPr>
        <w:t xml:space="preserve">relevant facts at the </w:t>
      </w:r>
      <w:r w:rsidR="00187CD5">
        <w:rPr>
          <w:iCs/>
        </w:rPr>
        <w:t>partnership</w:t>
      </w:r>
      <w:r w:rsidR="00712CEC" w:rsidRPr="00712CEC">
        <w:rPr>
          <w:iCs/>
        </w:rPr>
        <w:t xml:space="preserve"> level. </w:t>
      </w:r>
    </w:p>
    <w:p w14:paraId="2987CA1A" w14:textId="77777777" w:rsidR="001F72F2" w:rsidRPr="001F72F2" w:rsidRDefault="00B71AC5" w:rsidP="00E10036">
      <w:pPr>
        <w:pStyle w:val="ListParagraph"/>
        <w:numPr>
          <w:ilvl w:val="0"/>
          <w:numId w:val="20"/>
        </w:numPr>
        <w:spacing w:after="40"/>
        <w:contextualSpacing w:val="0"/>
        <w:rPr>
          <w:iCs/>
          <w:u w:val="single"/>
        </w:rPr>
      </w:pPr>
      <w:r>
        <w:rPr>
          <w:iCs/>
        </w:rPr>
        <w:t>The p</w:t>
      </w:r>
      <w:r w:rsidR="00995CE9">
        <w:rPr>
          <w:iCs/>
        </w:rPr>
        <w:t>artners</w:t>
      </w:r>
      <w:r>
        <w:rPr>
          <w:iCs/>
        </w:rPr>
        <w:t>’</w:t>
      </w:r>
      <w:r w:rsidR="00995CE9">
        <w:rPr>
          <w:iCs/>
        </w:rPr>
        <w:t xml:space="preserve"> share</w:t>
      </w:r>
      <w:r>
        <w:rPr>
          <w:iCs/>
        </w:rPr>
        <w:t>s</w:t>
      </w:r>
      <w:r w:rsidR="00995CE9">
        <w:rPr>
          <w:iCs/>
        </w:rPr>
        <w:t xml:space="preserve"> of </w:t>
      </w:r>
      <w:r w:rsidR="0044651F">
        <w:rPr>
          <w:iCs/>
        </w:rPr>
        <w:t xml:space="preserve">all </w:t>
      </w:r>
      <w:r w:rsidR="00995CE9">
        <w:rPr>
          <w:iCs/>
        </w:rPr>
        <w:t xml:space="preserve">state-sourced income and items </w:t>
      </w:r>
      <w:r w:rsidR="004364E7">
        <w:rPr>
          <w:iCs/>
        </w:rPr>
        <w:t>are</w:t>
      </w:r>
      <w:r w:rsidR="00995CE9">
        <w:rPr>
          <w:iCs/>
        </w:rPr>
        <w:t xml:space="preserve"> determined based on the partners’ shares of those items under </w:t>
      </w:r>
      <w:r w:rsidR="001F72F2">
        <w:rPr>
          <w:iCs/>
        </w:rPr>
        <w:t xml:space="preserve">the </w:t>
      </w:r>
      <w:r w:rsidR="00995CE9">
        <w:rPr>
          <w:iCs/>
        </w:rPr>
        <w:t xml:space="preserve">federal </w:t>
      </w:r>
      <w:r w:rsidR="00054B4A">
        <w:rPr>
          <w:iCs/>
        </w:rPr>
        <w:t>rules.</w:t>
      </w:r>
      <w:r w:rsidR="001F72F2">
        <w:rPr>
          <w:iCs/>
        </w:rPr>
        <w:t xml:space="preserve"> So, for example: </w:t>
      </w:r>
    </w:p>
    <w:p w14:paraId="2FD5CA29" w14:textId="720D9223" w:rsidR="001F72F2" w:rsidRDefault="001F72F2" w:rsidP="00E10036">
      <w:pPr>
        <w:pStyle w:val="ListParagraph"/>
        <w:numPr>
          <w:ilvl w:val="0"/>
          <w:numId w:val="48"/>
        </w:numPr>
        <w:spacing w:after="40"/>
        <w:contextualSpacing w:val="0"/>
        <w:rPr>
          <w:iCs/>
        </w:rPr>
      </w:pPr>
      <w:r>
        <w:rPr>
          <w:iCs/>
        </w:rPr>
        <w:t>Partnership has $1 million of ordinary income.</w:t>
      </w:r>
    </w:p>
    <w:p w14:paraId="0334B1CD" w14:textId="02DB969E" w:rsidR="001F72F2" w:rsidRDefault="001F72F2" w:rsidP="00E10036">
      <w:pPr>
        <w:pStyle w:val="ListParagraph"/>
        <w:numPr>
          <w:ilvl w:val="0"/>
          <w:numId w:val="48"/>
        </w:numPr>
        <w:spacing w:after="40"/>
        <w:contextualSpacing w:val="0"/>
        <w:rPr>
          <w:iCs/>
        </w:rPr>
      </w:pPr>
      <w:r w:rsidRPr="001F72F2">
        <w:rPr>
          <w:iCs/>
        </w:rPr>
        <w:t xml:space="preserve">Partner is allocated 20% of the partnership’s ordinary income for federal </w:t>
      </w:r>
      <w:r>
        <w:rPr>
          <w:iCs/>
        </w:rPr>
        <w:t xml:space="preserve">tax </w:t>
      </w:r>
      <w:r w:rsidRPr="001F72F2">
        <w:rPr>
          <w:iCs/>
        </w:rPr>
        <w:t>purposes</w:t>
      </w:r>
      <w:r>
        <w:rPr>
          <w:iCs/>
        </w:rPr>
        <w:t>.</w:t>
      </w:r>
    </w:p>
    <w:p w14:paraId="5F186CE0" w14:textId="77777777" w:rsidR="001F72F2" w:rsidRDefault="001F72F2" w:rsidP="00E10036">
      <w:pPr>
        <w:pStyle w:val="ListParagraph"/>
        <w:numPr>
          <w:ilvl w:val="0"/>
          <w:numId w:val="48"/>
        </w:numPr>
        <w:spacing w:after="40"/>
        <w:contextualSpacing w:val="0"/>
        <w:rPr>
          <w:iCs/>
        </w:rPr>
      </w:pPr>
      <w:r>
        <w:rPr>
          <w:iCs/>
        </w:rPr>
        <w:t>Partnership</w:t>
      </w:r>
      <w:r w:rsidRPr="001F72F2">
        <w:rPr>
          <w:iCs/>
        </w:rPr>
        <w:t xml:space="preserve"> apportions 40% of that</w:t>
      </w:r>
      <w:r>
        <w:rPr>
          <w:iCs/>
        </w:rPr>
        <w:t xml:space="preserve"> ordinary</w:t>
      </w:r>
      <w:r w:rsidRPr="001F72F2">
        <w:rPr>
          <w:iCs/>
        </w:rPr>
        <w:t xml:space="preserve"> income to State A</w:t>
      </w:r>
    </w:p>
    <w:p w14:paraId="101B2F13" w14:textId="7EE2BC68" w:rsidR="009007DF" w:rsidRPr="001F72F2" w:rsidRDefault="001F72F2" w:rsidP="00E10036">
      <w:pPr>
        <w:pStyle w:val="ListParagraph"/>
        <w:numPr>
          <w:ilvl w:val="0"/>
          <w:numId w:val="48"/>
        </w:numPr>
        <w:spacing w:after="80"/>
        <w:contextualSpacing w:val="0"/>
        <w:rPr>
          <w:iCs/>
        </w:rPr>
      </w:pPr>
      <w:r>
        <w:rPr>
          <w:iCs/>
        </w:rPr>
        <w:t xml:space="preserve">Partner’s </w:t>
      </w:r>
      <w:r w:rsidRPr="001F72F2">
        <w:rPr>
          <w:iCs/>
        </w:rPr>
        <w:t xml:space="preserve">State </w:t>
      </w:r>
      <w:proofErr w:type="spellStart"/>
      <w:r w:rsidRPr="001F72F2">
        <w:rPr>
          <w:iCs/>
        </w:rPr>
        <w:t>A</w:t>
      </w:r>
      <w:proofErr w:type="spellEnd"/>
      <w:r w:rsidRPr="001F72F2">
        <w:rPr>
          <w:iCs/>
        </w:rPr>
        <w:t xml:space="preserve"> income is 20% x 40% x </w:t>
      </w:r>
      <w:r>
        <w:rPr>
          <w:iCs/>
        </w:rPr>
        <w:t>$1 million = $80,000</w:t>
      </w:r>
      <w:r w:rsidRPr="001F72F2">
        <w:rPr>
          <w:iCs/>
        </w:rPr>
        <w:t xml:space="preserve">. </w:t>
      </w:r>
      <w:r w:rsidR="00054B4A" w:rsidRPr="001F72F2">
        <w:rPr>
          <w:iCs/>
        </w:rPr>
        <w:t xml:space="preserve"> </w:t>
      </w:r>
    </w:p>
    <w:p w14:paraId="78CC2601" w14:textId="0C3B277E" w:rsidR="00054B4A" w:rsidRPr="00F00040" w:rsidRDefault="00054B4A" w:rsidP="00E10036">
      <w:pPr>
        <w:pStyle w:val="ListParagraph"/>
        <w:numPr>
          <w:ilvl w:val="0"/>
          <w:numId w:val="20"/>
        </w:numPr>
        <w:spacing w:after="80"/>
        <w:contextualSpacing w:val="0"/>
        <w:rPr>
          <w:iCs/>
          <w:u w:val="single"/>
        </w:rPr>
      </w:pPr>
      <w:r>
        <w:rPr>
          <w:iCs/>
        </w:rPr>
        <w:t>Partner</w:t>
      </w:r>
      <w:r w:rsidR="00B71AC5">
        <w:rPr>
          <w:iCs/>
        </w:rPr>
        <w:t>s</w:t>
      </w:r>
      <w:r>
        <w:rPr>
          <w:iCs/>
        </w:rPr>
        <w:t xml:space="preserve"> report their shares of state-sourced income and items</w:t>
      </w:r>
      <w:r w:rsidR="00273C8F">
        <w:rPr>
          <w:iCs/>
        </w:rPr>
        <w:t xml:space="preserve"> on their individual tax returns</w:t>
      </w:r>
      <w:r w:rsidR="00EB385A">
        <w:rPr>
          <w:iCs/>
        </w:rPr>
        <w:t xml:space="preserve">—retaining the </w:t>
      </w:r>
      <w:r w:rsidR="004364E7">
        <w:rPr>
          <w:iCs/>
        </w:rPr>
        <w:t xml:space="preserve">state </w:t>
      </w:r>
      <w:r w:rsidR="00EB385A">
        <w:rPr>
          <w:iCs/>
        </w:rPr>
        <w:t xml:space="preserve">source </w:t>
      </w:r>
      <w:r w:rsidR="000648F0">
        <w:rPr>
          <w:iCs/>
        </w:rPr>
        <w:t xml:space="preserve">information </w:t>
      </w:r>
      <w:r w:rsidR="00EB385A">
        <w:rPr>
          <w:iCs/>
        </w:rPr>
        <w:t>and character of those items</w:t>
      </w:r>
      <w:r w:rsidR="00273C8F">
        <w:rPr>
          <w:iCs/>
        </w:rPr>
        <w:t xml:space="preserve">. </w:t>
      </w:r>
    </w:p>
    <w:p w14:paraId="09038D9E" w14:textId="08E3A1E6" w:rsidR="00DD4148" w:rsidRDefault="00075201" w:rsidP="009007DF">
      <w:pPr>
        <w:spacing w:line="276" w:lineRule="auto"/>
        <w:jc w:val="left"/>
      </w:pPr>
      <w:r>
        <w:t xml:space="preserve"> </w:t>
      </w:r>
      <w:r w:rsidR="00E64D2A">
        <w:t xml:space="preserve"> </w:t>
      </w:r>
    </w:p>
    <w:p w14:paraId="1BA687CC" w14:textId="77777777" w:rsidR="000648F0" w:rsidRDefault="000648F0">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79631662" w14:textId="2AC9AB39" w:rsidR="006A30B9" w:rsidRDefault="00AD7435" w:rsidP="00AD7435">
      <w:pPr>
        <w:pStyle w:val="Heading2"/>
      </w:pPr>
      <w:bookmarkStart w:id="63" w:name="_Toc195435254"/>
      <w:r>
        <w:lastRenderedPageBreak/>
        <w:t>I.</w:t>
      </w:r>
      <w:r w:rsidR="00984725">
        <w:t>G</w:t>
      </w:r>
      <w:r>
        <w:t xml:space="preserve">. </w:t>
      </w:r>
      <w:r w:rsidR="00117319">
        <w:t>Summary</w:t>
      </w:r>
      <w:bookmarkEnd w:id="61"/>
      <w:r w:rsidR="00883EEF">
        <w:t xml:space="preserve"> – Issues &amp; Important Context</w:t>
      </w:r>
      <w:r w:rsidR="000648F0">
        <w:t xml:space="preserve"> - Lessons</w:t>
      </w:r>
      <w:bookmarkEnd w:id="63"/>
    </w:p>
    <w:p w14:paraId="62241757" w14:textId="15BA6A73" w:rsidR="004A2E4A" w:rsidRDefault="00CD1BEB" w:rsidP="00D26602">
      <w:r>
        <w:t xml:space="preserve">This Section I focused on the </w:t>
      </w:r>
      <w:r w:rsidR="00D70C85">
        <w:t xml:space="preserve">larger </w:t>
      </w:r>
      <w:r>
        <w:t>context in which state tax</w:t>
      </w:r>
      <w:r w:rsidR="00AE6BB8">
        <w:t>es</w:t>
      </w:r>
      <w:r>
        <w:t xml:space="preserve"> on partnership income </w:t>
      </w:r>
      <w:r w:rsidR="00AE6BB8">
        <w:t>are</w:t>
      </w:r>
      <w:r>
        <w:t xml:space="preserve"> imposed</w:t>
      </w:r>
      <w:r w:rsidR="006B0C18">
        <w:t xml:space="preserve"> and the implications of this context for </w:t>
      </w:r>
      <w:r w:rsidR="00B4240F">
        <w:t>state sourcing rules in particular</w:t>
      </w:r>
      <w:r w:rsidR="006B0C18">
        <w:t xml:space="preserve">. </w:t>
      </w:r>
      <w:r w:rsidR="008D7ED4">
        <w:t>The</w:t>
      </w:r>
      <w:r w:rsidR="000648F0">
        <w:t xml:space="preserve"> overarching “lessons” from these </w:t>
      </w:r>
      <w:r w:rsidR="008D7ED4">
        <w:t xml:space="preserve">implications are summarized below. </w:t>
      </w:r>
    </w:p>
    <w:p w14:paraId="6AD5626E" w14:textId="730722AE" w:rsidR="004A2E4A" w:rsidRDefault="00DD5AE5" w:rsidP="004A2E4A">
      <w:pPr>
        <w:pStyle w:val="Heading3"/>
      </w:pPr>
      <w:bookmarkStart w:id="64" w:name="_Toc195435255"/>
      <w:r>
        <w:t>Lessons</w:t>
      </w:r>
      <w:r w:rsidR="000E1C20">
        <w:t xml:space="preserve"> for </w:t>
      </w:r>
      <w:r>
        <w:t xml:space="preserve">Applying </w:t>
      </w:r>
      <w:r w:rsidR="004A2E4A">
        <w:t xml:space="preserve">State </w:t>
      </w:r>
      <w:r w:rsidR="000E1C20">
        <w:t>Sourcing</w:t>
      </w:r>
      <w:r>
        <w:t xml:space="preserve"> Rules to Partnership Income</w:t>
      </w:r>
      <w:bookmarkEnd w:id="64"/>
    </w:p>
    <w:p w14:paraId="489139BD" w14:textId="023E7D71" w:rsidR="005E79B3" w:rsidRPr="005E79B3" w:rsidRDefault="00DD5AE5" w:rsidP="005E79B3">
      <w:r>
        <w:t>In general, state sourcing rules</w:t>
      </w:r>
      <w:r w:rsidR="003C7A9A">
        <w:t>:</w:t>
      </w:r>
    </w:p>
    <w:p w14:paraId="1864328E" w14:textId="1BA63D9C" w:rsidR="0011355A" w:rsidRDefault="003C7A9A" w:rsidP="00E10036">
      <w:pPr>
        <w:pStyle w:val="ListParagraph"/>
        <w:numPr>
          <w:ilvl w:val="0"/>
          <w:numId w:val="42"/>
        </w:numPr>
        <w:spacing w:after="120"/>
        <w:contextualSpacing w:val="0"/>
      </w:pPr>
      <w:r>
        <w:t xml:space="preserve">Should use certain general partnership </w:t>
      </w:r>
      <w:r w:rsidR="004A7938">
        <w:t>terminology</w:t>
      </w:r>
      <w:r w:rsidR="000648F0">
        <w:t xml:space="preserve"> </w:t>
      </w:r>
      <w:r>
        <w:t>and</w:t>
      </w:r>
      <w:r w:rsidR="000648F0">
        <w:t xml:space="preserve"> concepts</w:t>
      </w:r>
      <w:r>
        <w:t xml:space="preserve"> consistent with </w:t>
      </w:r>
      <w:r w:rsidR="000648F0">
        <w:t xml:space="preserve">state governing laws or federal </w:t>
      </w:r>
      <w:r w:rsidR="001A14C7">
        <w:t>tax laws</w:t>
      </w:r>
      <w:r w:rsidR="000648F0">
        <w:t xml:space="preserve"> to which the state</w:t>
      </w:r>
      <w:r w:rsidR="001A14C7">
        <w:t xml:space="preserve"> tax rules conform</w:t>
      </w:r>
      <w:r w:rsidR="00DD5AE5">
        <w:t xml:space="preserve"> (</w:t>
      </w:r>
      <w:r>
        <w:t xml:space="preserve">unless </w:t>
      </w:r>
      <w:r w:rsidR="00DD5AE5">
        <w:t xml:space="preserve">state rules separately define them). </w:t>
      </w:r>
    </w:p>
    <w:p w14:paraId="042CDF8B" w14:textId="23719A47" w:rsidR="005E79B3" w:rsidRDefault="003C7A9A" w:rsidP="00E10036">
      <w:pPr>
        <w:pStyle w:val="ListParagraph"/>
        <w:numPr>
          <w:ilvl w:val="0"/>
          <w:numId w:val="42"/>
        </w:numPr>
        <w:spacing w:after="80"/>
        <w:contextualSpacing w:val="0"/>
      </w:pPr>
      <w:r>
        <w:t xml:space="preserve">Should </w:t>
      </w:r>
      <w:r w:rsidR="009B7D91">
        <w:t>NOT</w:t>
      </w:r>
      <w:r w:rsidR="005E79B3">
        <w:t xml:space="preserve"> assume that: </w:t>
      </w:r>
    </w:p>
    <w:p w14:paraId="76D55A88" w14:textId="28B3E731" w:rsidR="000130C6" w:rsidRDefault="000130C6" w:rsidP="00E10036">
      <w:pPr>
        <w:pStyle w:val="ListParagraph"/>
        <w:numPr>
          <w:ilvl w:val="1"/>
          <w:numId w:val="42"/>
        </w:numPr>
        <w:spacing w:after="80"/>
        <w:contextualSpacing w:val="0"/>
      </w:pPr>
      <w:r>
        <w:t>P</w:t>
      </w:r>
      <w:r w:rsidR="004A2E4A">
        <w:t xml:space="preserve">artnerships </w:t>
      </w:r>
      <w:r>
        <w:t xml:space="preserve">are </w:t>
      </w:r>
      <w:r w:rsidR="004A2E4A">
        <w:t>primarily</w:t>
      </w:r>
      <w:r>
        <w:t xml:space="preserve"> treated</w:t>
      </w:r>
      <w:r w:rsidR="004A2E4A">
        <w:t xml:space="preserve"> as aggregates</w:t>
      </w:r>
      <w:r w:rsidR="00AA6524">
        <w:t xml:space="preserve"> under the law or </w:t>
      </w:r>
      <w:r w:rsidR="00DD5AE5">
        <w:t xml:space="preserve">the </w:t>
      </w:r>
      <w:r w:rsidR="00AA6524">
        <w:t>federal tax rules</w:t>
      </w:r>
      <w:r>
        <w:t>.</w:t>
      </w:r>
      <w:r w:rsidR="004A2E4A">
        <w:t xml:space="preserve"> </w:t>
      </w:r>
    </w:p>
    <w:p w14:paraId="620AE947" w14:textId="0BCDD48E" w:rsidR="004A2E4A" w:rsidRDefault="00B24B00" w:rsidP="00E10036">
      <w:pPr>
        <w:pStyle w:val="ListParagraph"/>
        <w:numPr>
          <w:ilvl w:val="1"/>
          <w:numId w:val="42"/>
        </w:numPr>
        <w:spacing w:after="80"/>
        <w:contextualSpacing w:val="0"/>
      </w:pPr>
      <w:r>
        <w:t>All p</w:t>
      </w:r>
      <w:r w:rsidR="004A2E4A" w:rsidRPr="00C03F56">
        <w:t>artnerships a</w:t>
      </w:r>
      <w:r w:rsidR="004A2E4A">
        <w:t>re</w:t>
      </w:r>
      <w:r w:rsidR="004A2E4A" w:rsidRPr="00C03F56">
        <w:t xml:space="preserve"> small, simple, uniform entities</w:t>
      </w:r>
      <w:r w:rsidR="003B7F6C">
        <w:t>.</w:t>
      </w:r>
    </w:p>
    <w:p w14:paraId="21F8D0C8" w14:textId="6C802EB2" w:rsidR="00814100" w:rsidRDefault="003C7A9A" w:rsidP="00E10036">
      <w:pPr>
        <w:pStyle w:val="ListParagraph"/>
        <w:numPr>
          <w:ilvl w:val="1"/>
          <w:numId w:val="42"/>
        </w:numPr>
        <w:spacing w:after="120"/>
        <w:contextualSpacing w:val="0"/>
      </w:pPr>
      <w:r>
        <w:t xml:space="preserve">A partner’s </w:t>
      </w:r>
      <w:proofErr w:type="gramStart"/>
      <w:r>
        <w:t>o</w:t>
      </w:r>
      <w:r w:rsidR="00D52E37">
        <w:t>wnership share</w:t>
      </w:r>
      <w:proofErr w:type="gramEnd"/>
      <w:r w:rsidR="00D52E37">
        <w:t xml:space="preserve"> or limited liability determine </w:t>
      </w:r>
      <w:r>
        <w:t>the</w:t>
      </w:r>
      <w:r w:rsidR="00D52E37">
        <w:t xml:space="preserve"> partner’s role</w:t>
      </w:r>
      <w:r w:rsidR="00CF356D">
        <w:t xml:space="preserve"> or share of income.</w:t>
      </w:r>
      <w:r w:rsidR="00D52E37">
        <w:t xml:space="preserve"> </w:t>
      </w:r>
    </w:p>
    <w:p w14:paraId="2F1CAD5A" w14:textId="44BC14AB" w:rsidR="008F5EFD" w:rsidRDefault="003C7A9A" w:rsidP="00E10036">
      <w:pPr>
        <w:pStyle w:val="ListParagraph"/>
        <w:numPr>
          <w:ilvl w:val="0"/>
          <w:numId w:val="42"/>
        </w:numPr>
        <w:spacing w:after="80"/>
        <w:contextualSpacing w:val="0"/>
      </w:pPr>
      <w:r>
        <w:t xml:space="preserve">Should </w:t>
      </w:r>
      <w:r w:rsidR="00DD5AE5">
        <w:t>recognize critical</w:t>
      </w:r>
      <w:r w:rsidR="00814100">
        <w:t xml:space="preserve"> elements of the </w:t>
      </w:r>
      <w:r>
        <w:t>federal pass-through tax system</w:t>
      </w:r>
      <w:r w:rsidR="00814100">
        <w:t xml:space="preserve"> that have state sourcing implications, </w:t>
      </w:r>
      <w:r>
        <w:t>including:</w:t>
      </w:r>
    </w:p>
    <w:p w14:paraId="4C2BCF6B" w14:textId="669ADD6B" w:rsidR="000E2CA4" w:rsidRDefault="00814100" w:rsidP="00E10036">
      <w:pPr>
        <w:pStyle w:val="ListParagraph"/>
        <w:numPr>
          <w:ilvl w:val="1"/>
          <w:numId w:val="42"/>
        </w:numPr>
        <w:spacing w:after="80"/>
        <w:contextualSpacing w:val="0"/>
      </w:pPr>
      <w:r>
        <w:t>That the t</w:t>
      </w:r>
      <w:r w:rsidR="008F5EFD">
        <w:t>ax</w:t>
      </w:r>
      <w:r w:rsidR="008F5EFD" w:rsidRPr="00133267">
        <w:t xml:space="preserve"> character of items </w:t>
      </w:r>
      <w:r w:rsidR="003C7A9A">
        <w:t>is</w:t>
      </w:r>
      <w:r w:rsidR="001A14C7">
        <w:t xml:space="preserve"> </w:t>
      </w:r>
      <w:r w:rsidR="008F5EFD">
        <w:t>determined at the partnership leve</w:t>
      </w:r>
      <w:r>
        <w:t>l, is a</w:t>
      </w:r>
      <w:r w:rsidR="00763140">
        <w:t>ttributed to direct and indirect partners</w:t>
      </w:r>
      <w:r>
        <w:t>, and includes information that affects</w:t>
      </w:r>
      <w:r w:rsidR="009937DF">
        <w:t xml:space="preserve"> federal sourcing of domestic or foreign income.</w:t>
      </w:r>
    </w:p>
    <w:p w14:paraId="33556EE5" w14:textId="0138A967" w:rsidR="00CE4E8C" w:rsidRDefault="00814100" w:rsidP="00E10036">
      <w:pPr>
        <w:pStyle w:val="ListParagraph"/>
        <w:numPr>
          <w:ilvl w:val="1"/>
          <w:numId w:val="42"/>
        </w:numPr>
        <w:spacing w:after="80"/>
        <w:contextualSpacing w:val="0"/>
      </w:pPr>
      <w:r>
        <w:t>That the t</w:t>
      </w:r>
      <w:r w:rsidR="003B27D2">
        <w:t xml:space="preserve">reatment of </w:t>
      </w:r>
      <w:r>
        <w:t xml:space="preserve">certain </w:t>
      </w:r>
      <w:r w:rsidR="003B27D2">
        <w:t xml:space="preserve">items under the </w:t>
      </w:r>
      <w:r w:rsidR="00381FCB">
        <w:t>pass-through system</w:t>
      </w:r>
      <w:r w:rsidR="003B27D2">
        <w:t xml:space="preserve"> </w:t>
      </w:r>
      <w:r>
        <w:t>may raise sourcing questions</w:t>
      </w:r>
      <w:r w:rsidR="003B27D2">
        <w:t xml:space="preserve">—for example, the </w:t>
      </w:r>
      <w:r w:rsidR="00381FCB">
        <w:t>treatment</w:t>
      </w:r>
      <w:r w:rsidR="003B27D2">
        <w:t xml:space="preserve"> of so-called </w:t>
      </w:r>
      <w:r w:rsidR="00EB3077">
        <w:t>built-in gains</w:t>
      </w:r>
      <w:r w:rsidR="004A35EB">
        <w:t xml:space="preserve"> (losses) on contributed or distributed property</w:t>
      </w:r>
      <w:r w:rsidR="00EB3077">
        <w:t xml:space="preserve">. </w:t>
      </w:r>
    </w:p>
    <w:p w14:paraId="7A332677" w14:textId="4E572A2C" w:rsidR="008F5EFD" w:rsidRDefault="00814100" w:rsidP="00E10036">
      <w:pPr>
        <w:pStyle w:val="ListParagraph"/>
        <w:numPr>
          <w:ilvl w:val="1"/>
          <w:numId w:val="42"/>
        </w:numPr>
        <w:spacing w:after="120"/>
        <w:contextualSpacing w:val="0"/>
      </w:pPr>
      <w:r>
        <w:t>That g</w:t>
      </w:r>
      <w:r w:rsidR="00EC4D9A">
        <w:t xml:space="preserve">uaranteed payments and partner-partnership transactions </w:t>
      </w:r>
      <w:r w:rsidR="008D1BB6">
        <w:t xml:space="preserve">may </w:t>
      </w:r>
      <w:r w:rsidR="00E356CE">
        <w:t>raise questions about the computation of the</w:t>
      </w:r>
      <w:r w:rsidR="00381FCB">
        <w:t xml:space="preserve"> </w:t>
      </w:r>
      <w:r w:rsidR="0003499B">
        <w:t>receipts factor</w:t>
      </w:r>
      <w:r w:rsidR="00E356CE">
        <w:t xml:space="preserve"> use</w:t>
      </w:r>
      <w:r w:rsidR="00D521E2">
        <w:t>d</w:t>
      </w:r>
      <w:r w:rsidR="00E356CE">
        <w:t xml:space="preserve"> to apportion partnership income</w:t>
      </w:r>
      <w:r>
        <w:t xml:space="preserve"> under the blended approach</w:t>
      </w:r>
      <w:r w:rsidR="0003499B">
        <w:t>.</w:t>
      </w:r>
    </w:p>
    <w:p w14:paraId="1A67EA54" w14:textId="315853C2" w:rsidR="000648F0" w:rsidRDefault="00814100" w:rsidP="00E10036">
      <w:pPr>
        <w:pStyle w:val="ListParagraph"/>
        <w:numPr>
          <w:ilvl w:val="0"/>
          <w:numId w:val="42"/>
        </w:numPr>
        <w:spacing w:after="120"/>
        <w:contextualSpacing w:val="0"/>
      </w:pPr>
      <w:r>
        <w:t xml:space="preserve">Should NOT assume that </w:t>
      </w:r>
      <w:r w:rsidR="001A14C7">
        <w:t>the attribution principle</w:t>
      </w:r>
      <w:r>
        <w:t>,</w:t>
      </w:r>
      <w:r w:rsidR="001A14C7">
        <w:t xml:space="preserve"> on which the pass-through tax system is based, depend</w:t>
      </w:r>
      <w:r>
        <w:t>s</w:t>
      </w:r>
      <w:r w:rsidR="001A14C7">
        <w:t xml:space="preserve"> on whether the partnership and partner are unitary. </w:t>
      </w:r>
    </w:p>
    <w:p w14:paraId="4A3777F0" w14:textId="2866E953" w:rsidR="00C10FEF" w:rsidRDefault="00814100" w:rsidP="00E10036">
      <w:pPr>
        <w:pStyle w:val="ListParagraph"/>
        <w:numPr>
          <w:ilvl w:val="0"/>
          <w:numId w:val="42"/>
        </w:numPr>
        <w:spacing w:after="120"/>
        <w:contextualSpacing w:val="0"/>
      </w:pPr>
      <w:r>
        <w:t>Should</w:t>
      </w:r>
      <w:r w:rsidR="000648F0">
        <w:t xml:space="preserve"> consider wh</w:t>
      </w:r>
      <w:r>
        <w:t>en</w:t>
      </w:r>
      <w:r w:rsidR="00DD5AE5">
        <w:t xml:space="preserve"> and to what extent</w:t>
      </w:r>
      <w:r w:rsidR="000648F0">
        <w:t xml:space="preserve"> a partner’s own tax attributes will be taken into account when determining the sourcing of distributive share income.</w:t>
      </w:r>
    </w:p>
    <w:p w14:paraId="3998F280" w14:textId="581E3F34" w:rsidR="00F9322A" w:rsidRDefault="00814100" w:rsidP="00E10036">
      <w:pPr>
        <w:pStyle w:val="ListParagraph"/>
        <w:numPr>
          <w:ilvl w:val="0"/>
          <w:numId w:val="42"/>
        </w:numPr>
        <w:spacing w:after="120"/>
        <w:contextualSpacing w:val="0"/>
      </w:pPr>
      <w:r>
        <w:t>Should recognize the need for</w:t>
      </w:r>
      <w:r w:rsidR="00BC207E">
        <w:t xml:space="preserve"> a</w:t>
      </w:r>
      <w:r w:rsidR="00F9322A">
        <w:t>nti-abuse rules</w:t>
      </w:r>
      <w:r>
        <w:t xml:space="preserve"> </w:t>
      </w:r>
      <w:r w:rsidR="00DD5AE5">
        <w:t xml:space="preserve">that </w:t>
      </w:r>
      <w:r>
        <w:t xml:space="preserve">track the general federal rules or </w:t>
      </w:r>
      <w:r w:rsidR="00DD5AE5">
        <w:t xml:space="preserve">may be </w:t>
      </w:r>
      <w:r>
        <w:t xml:space="preserve">used specifically to prevent shifting of an income’s source. </w:t>
      </w:r>
    </w:p>
    <w:p w14:paraId="7DC48587" w14:textId="3272AFB5" w:rsidR="003D2C43" w:rsidRDefault="00814100" w:rsidP="00E10036">
      <w:pPr>
        <w:pStyle w:val="ListParagraph"/>
        <w:numPr>
          <w:ilvl w:val="0"/>
          <w:numId w:val="42"/>
        </w:numPr>
        <w:spacing w:after="120"/>
        <w:contextualSpacing w:val="0"/>
      </w:pPr>
      <w:r>
        <w:t xml:space="preserve">Should </w:t>
      </w:r>
      <w:r w:rsidR="00DD5AE5">
        <w:t>recognize the general complexity of the pass-through system and make allowances, if possible, to ease compliance and administration</w:t>
      </w:r>
      <w:r w:rsidR="003D2C43">
        <w:t xml:space="preserve">. </w:t>
      </w:r>
    </w:p>
    <w:p w14:paraId="005A97FE" w14:textId="77777777" w:rsidR="00DD5AE5" w:rsidRDefault="00DD5AE5">
      <w:pPr>
        <w:spacing w:line="276" w:lineRule="auto"/>
        <w:jc w:val="left"/>
        <w:rPr>
          <w:rFonts w:asciiTheme="majorHAnsi" w:eastAsiaTheme="majorEastAsia" w:hAnsiTheme="majorHAnsi" w:cstheme="majorBidi"/>
          <w:b/>
          <w:smallCaps/>
          <w:color w:val="851C00" w:themeColor="accent6" w:themeShade="BF"/>
          <w:sz w:val="34"/>
          <w:szCs w:val="32"/>
        </w:rPr>
      </w:pPr>
      <w:bookmarkStart w:id="65" w:name="_Toc153291157"/>
      <w:r>
        <w:br w:type="page"/>
      </w:r>
    </w:p>
    <w:p w14:paraId="2AD9B650" w14:textId="6FA9125E" w:rsidR="00FB4DF9" w:rsidRDefault="00431D25" w:rsidP="00FB4DF9">
      <w:pPr>
        <w:pStyle w:val="Heading1"/>
      </w:pPr>
      <w:bookmarkStart w:id="66" w:name="_Toc195435256"/>
      <w:r>
        <w:lastRenderedPageBreak/>
        <w:t xml:space="preserve">Section </w:t>
      </w:r>
      <w:r w:rsidR="00B5459F">
        <w:t>I</w:t>
      </w:r>
      <w:r w:rsidR="00464AC0">
        <w:t>I</w:t>
      </w:r>
      <w:r w:rsidR="0045272A">
        <w:t xml:space="preserve">: </w:t>
      </w:r>
      <w:bookmarkEnd w:id="62"/>
      <w:bookmarkEnd w:id="65"/>
      <w:r w:rsidR="00DD5AE5">
        <w:t>Sourcing Partnership Income</w:t>
      </w:r>
      <w:r w:rsidR="00CE2D2B">
        <w:t xml:space="preserve"> – </w:t>
      </w:r>
      <w:r w:rsidR="00CE2D2B">
        <w:br/>
      </w:r>
      <w:r w:rsidR="00B409ED">
        <w:t xml:space="preserve">Proposals for </w:t>
      </w:r>
      <w:r w:rsidR="00CE2D2B">
        <w:t>Addressing The Complex Issues</w:t>
      </w:r>
      <w:bookmarkStart w:id="67" w:name="_Toc153291158"/>
      <w:bookmarkEnd w:id="66"/>
    </w:p>
    <w:p w14:paraId="690A417F" w14:textId="77777777" w:rsidR="00867980" w:rsidRDefault="00CE2D2B" w:rsidP="00867980">
      <w:pPr>
        <w:jc w:val="left"/>
      </w:pPr>
      <w:r>
        <w:t xml:space="preserve">This Section II draws on the </w:t>
      </w:r>
      <w:r w:rsidR="00867980">
        <w:t xml:space="preserve">“lessons” from the </w:t>
      </w:r>
      <w:r w:rsidR="009D30C4">
        <w:t xml:space="preserve">important context discussed in Section I </w:t>
      </w:r>
      <w:r w:rsidR="00867980">
        <w:t xml:space="preserve">above, and </w:t>
      </w:r>
      <w:r w:rsidR="00824DF0">
        <w:t xml:space="preserve">the </w:t>
      </w:r>
      <w:r w:rsidR="00CD431D">
        <w:t xml:space="preserve">detailed </w:t>
      </w:r>
      <w:r w:rsidR="00D479AD">
        <w:t xml:space="preserve">research </w:t>
      </w:r>
      <w:r w:rsidR="00B0547B">
        <w:t>into</w:t>
      </w:r>
      <w:r w:rsidR="00D479AD">
        <w:t xml:space="preserve"> existing state </w:t>
      </w:r>
      <w:r w:rsidR="00F74FC0">
        <w:t xml:space="preserve">sourcing </w:t>
      </w:r>
      <w:r w:rsidR="00D479AD">
        <w:t xml:space="preserve">rules </w:t>
      </w:r>
      <w:r w:rsidR="00CD431D">
        <w:t>for complex partnerships summarized</w:t>
      </w:r>
      <w:r w:rsidR="00D479AD">
        <w:t xml:space="preserve"> in </w:t>
      </w:r>
      <w:r w:rsidR="00597169">
        <w:t>Section III</w:t>
      </w:r>
      <w:r w:rsidR="00867980">
        <w:t xml:space="preserve"> below</w:t>
      </w:r>
      <w:r w:rsidR="00D479AD">
        <w:t>.</w:t>
      </w:r>
      <w:r w:rsidR="00867980">
        <w:t xml:space="preserve"> </w:t>
      </w:r>
    </w:p>
    <w:p w14:paraId="583B7FCC" w14:textId="568A7CEB" w:rsidR="00DD5AE5" w:rsidRDefault="00F818CA" w:rsidP="00867980">
      <w:pPr>
        <w:jc w:val="left"/>
      </w:pPr>
      <w:r>
        <w:t xml:space="preserve">First, this Section II </w:t>
      </w:r>
      <w:r w:rsidR="00CE2D2B">
        <w:t>set</w:t>
      </w:r>
      <w:r w:rsidR="009D30C4">
        <w:t>s</w:t>
      </w:r>
      <w:r w:rsidR="00CE2D2B">
        <w:t xml:space="preserve"> out </w:t>
      </w:r>
      <w:r w:rsidR="00CD431D">
        <w:t xml:space="preserve">a general </w:t>
      </w:r>
      <w:r w:rsidR="00287780">
        <w:t xml:space="preserve">framework for </w:t>
      </w:r>
      <w:r w:rsidR="00CD431D">
        <w:t xml:space="preserve">sourcing partnership income, which the </w:t>
      </w:r>
      <w:r>
        <w:t xml:space="preserve">MTC </w:t>
      </w:r>
      <w:r w:rsidR="00CD431D">
        <w:t xml:space="preserve">work group </w:t>
      </w:r>
      <w:r w:rsidR="00970E31">
        <w:t xml:space="preserve">has considered </w:t>
      </w:r>
      <w:r w:rsidR="00CD431D">
        <w:t>and appears to reflect the consensus as to the general application of state sourcing rules</w:t>
      </w:r>
      <w:r w:rsidR="00FD47E1">
        <w:t xml:space="preserve"> to partnerships</w:t>
      </w:r>
      <w:r w:rsidR="00CD431D">
        <w:t xml:space="preserve">. Then, </w:t>
      </w:r>
      <w:r w:rsidR="009D30C4">
        <w:t xml:space="preserve">it </w:t>
      </w:r>
      <w:r w:rsidR="00287780">
        <w:t>address</w:t>
      </w:r>
      <w:r w:rsidR="009D30C4">
        <w:t>es</w:t>
      </w:r>
      <w:r w:rsidR="00287780">
        <w:t xml:space="preserve"> </w:t>
      </w:r>
      <w:r w:rsidR="00CD431D">
        <w:t xml:space="preserve">particular sourcing issues </w:t>
      </w:r>
      <w:r w:rsidR="00DD5AE5">
        <w:t xml:space="preserve">for which rules may need to be </w:t>
      </w:r>
      <w:r w:rsidR="00CE2D2B">
        <w:t xml:space="preserve">more fully </w:t>
      </w:r>
      <w:r w:rsidR="00DD5AE5">
        <w:t>developed</w:t>
      </w:r>
      <w:r w:rsidR="00453670">
        <w:t xml:space="preserve"> and proposes possible approaches</w:t>
      </w:r>
      <w:r w:rsidR="00CD431D">
        <w:t xml:space="preserve"> to these issues</w:t>
      </w:r>
      <w:r w:rsidR="00453670">
        <w:t xml:space="preserve">. </w:t>
      </w:r>
    </w:p>
    <w:p w14:paraId="2207652E" w14:textId="1FF842E0" w:rsidR="00867980" w:rsidRDefault="00867980" w:rsidP="00867980">
      <w:pPr>
        <w:pStyle w:val="Heading4"/>
      </w:pPr>
      <w:r>
        <w:t>Note</w:t>
      </w:r>
      <w:r w:rsidR="00354F90">
        <w:t>:  Balancing the Recognition of C</w:t>
      </w:r>
      <w:r>
        <w:t>omplex</w:t>
      </w:r>
      <w:r w:rsidR="00354F90">
        <w:t xml:space="preserve">ity with the Need to Illustrate the Approaches  </w:t>
      </w:r>
    </w:p>
    <w:p w14:paraId="05CA7F0A" w14:textId="497EE4B0" w:rsidR="00867980" w:rsidRDefault="00867980" w:rsidP="00D479AD">
      <w:r>
        <w:rPr>
          <w:noProof/>
        </w:rPr>
        <w:drawing>
          <wp:anchor distT="0" distB="0" distL="114300" distR="114300" simplePos="0" relativeHeight="251704832" behindDoc="0" locked="0" layoutInCell="1" allowOverlap="1" wp14:anchorId="7C59E8D0" wp14:editId="2352E644">
            <wp:simplePos x="0" y="0"/>
            <wp:positionH relativeFrom="margin">
              <wp:posOffset>887730</wp:posOffset>
            </wp:positionH>
            <wp:positionV relativeFrom="paragraph">
              <wp:posOffset>669925</wp:posOffset>
            </wp:positionV>
            <wp:extent cx="3980180" cy="2933700"/>
            <wp:effectExtent l="0" t="0" r="1270" b="0"/>
            <wp:wrapTopAndBottom/>
            <wp:docPr id="96393506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80180" cy="2933700"/>
                    </a:xfrm>
                    <a:prstGeom prst="rect">
                      <a:avLst/>
                    </a:prstGeom>
                    <a:noFill/>
                  </pic:spPr>
                </pic:pic>
              </a:graphicData>
            </a:graphic>
            <wp14:sizeRelH relativeFrom="margin">
              <wp14:pctWidth>0</wp14:pctWidth>
            </wp14:sizeRelH>
            <wp14:sizeRelV relativeFrom="margin">
              <wp14:pctHeight>0</wp14:pctHeight>
            </wp14:sizeRelV>
          </wp:anchor>
        </w:drawing>
      </w:r>
      <w:r w:rsidR="0013008E">
        <w:t xml:space="preserve">In considering the issues and approaches discussed in this section, it is important not to lose sight of the basic problem of pass-through taxation, which is the potential complexity of partnership structures today. The graphic </w:t>
      </w:r>
      <w:r>
        <w:t>(below)</w:t>
      </w:r>
      <w:r w:rsidR="0013008E">
        <w:t xml:space="preserve"> </w:t>
      </w:r>
      <w:r w:rsidR="00F1420E">
        <w:t xml:space="preserve">depicts a structure that </w:t>
      </w:r>
      <w:r w:rsidR="0013008E">
        <w:t>is not especially complex</w:t>
      </w:r>
      <w:r w:rsidR="00F1420E">
        <w:t xml:space="preserve">, </w:t>
      </w:r>
      <w:r w:rsidR="0013008E">
        <w:t>but demonstrates t</w:t>
      </w:r>
      <w:r w:rsidR="00F1420E">
        <w:t xml:space="preserve">hree </w:t>
      </w:r>
      <w:r w:rsidR="0013008E">
        <w:t xml:space="preserve">very important realities. </w:t>
      </w:r>
    </w:p>
    <w:p w14:paraId="1306EAA4" w14:textId="77777777" w:rsidR="00F1420E" w:rsidRDefault="00F1420E" w:rsidP="00D479AD"/>
    <w:p w14:paraId="5D08E3EA" w14:textId="77777777" w:rsidR="00F1420E" w:rsidRDefault="0013008E" w:rsidP="00FF1104">
      <w:pPr>
        <w:pStyle w:val="ListParagraph"/>
        <w:numPr>
          <w:ilvl w:val="0"/>
          <w:numId w:val="61"/>
        </w:numPr>
        <w:spacing w:after="120"/>
        <w:contextualSpacing w:val="0"/>
      </w:pPr>
      <w:r>
        <w:t xml:space="preserve">First, </w:t>
      </w:r>
      <w:r w:rsidR="00867980">
        <w:t xml:space="preserve">a partnership may have </w:t>
      </w:r>
      <w:r>
        <w:t xml:space="preserve">partners </w:t>
      </w:r>
      <w:r w:rsidR="00867980">
        <w:t xml:space="preserve">that are other partnerships or pass-through entities, or that may be </w:t>
      </w:r>
      <w:r>
        <w:t>corporations</w:t>
      </w:r>
      <w:r w:rsidR="00867980">
        <w:t xml:space="preserve">, including foreign corporations, </w:t>
      </w:r>
      <w:r>
        <w:t>or individuals</w:t>
      </w:r>
      <w:r w:rsidR="00F1420E">
        <w:t>, or (</w:t>
      </w:r>
      <w:r w:rsidR="00867980">
        <w:t>not shown here</w:t>
      </w:r>
      <w:r w:rsidR="00F1420E">
        <w:t>)</w:t>
      </w:r>
      <w:r w:rsidR="00867980">
        <w:t xml:space="preserve"> non-profits or government</w:t>
      </w:r>
      <w:r w:rsidR="00F1420E">
        <w:t>al organizations</w:t>
      </w:r>
      <w:r>
        <w:t xml:space="preserve">. </w:t>
      </w:r>
    </w:p>
    <w:p w14:paraId="109AB6BE" w14:textId="77777777" w:rsidR="00F1420E" w:rsidRDefault="0013008E" w:rsidP="00FF1104">
      <w:pPr>
        <w:pStyle w:val="ListParagraph"/>
        <w:numPr>
          <w:ilvl w:val="0"/>
          <w:numId w:val="61"/>
        </w:numPr>
        <w:spacing w:after="120"/>
        <w:contextualSpacing w:val="0"/>
      </w:pPr>
      <w:r>
        <w:t xml:space="preserve">Second, </w:t>
      </w:r>
      <w:r w:rsidR="00F1420E">
        <w:t xml:space="preserve">the distributive share income of a partnership may be allocated through a number of upper-tier partnerships before shares of that income (along with the distributive share income of those other partnerships) is allocated to the ultimate partners. </w:t>
      </w:r>
    </w:p>
    <w:p w14:paraId="63BF3FD7" w14:textId="391C5FF9" w:rsidR="0013008E" w:rsidRDefault="00F1420E" w:rsidP="00FF1104">
      <w:pPr>
        <w:pStyle w:val="ListParagraph"/>
        <w:numPr>
          <w:ilvl w:val="0"/>
          <w:numId w:val="61"/>
        </w:numPr>
      </w:pPr>
      <w:r>
        <w:t xml:space="preserve">Third, as shown by the dotted green lines here, partners and their partnerships and other commonly owned partnerships may engage in transactions with each other, which go into the determination of the entities own tax items and income. </w:t>
      </w:r>
    </w:p>
    <w:p w14:paraId="1CE9D165" w14:textId="0CE83399" w:rsidR="00F1420E" w:rsidRDefault="00F1420E" w:rsidP="00F1420E">
      <w:r>
        <w:t>While</w:t>
      </w:r>
      <w:r w:rsidR="00FD47E1">
        <w:t xml:space="preserve"> it is important to keep this reality in mind, it would not be possible to discuss different approaches in this section without using examples that simplify the factual scenarios, or focus on particular aspects of the approach and its application. Any implementation of these approaches will inevitably require considering other scenarios not illustrated in the examples used. </w:t>
      </w:r>
    </w:p>
    <w:p w14:paraId="37411B37" w14:textId="1DA04772" w:rsidR="00287780" w:rsidRDefault="00FD47E1" w:rsidP="00FD47E1">
      <w:pPr>
        <w:pStyle w:val="Heading4"/>
      </w:pPr>
      <w:r>
        <w:lastRenderedPageBreak/>
        <w:t xml:space="preserve">Note: </w:t>
      </w:r>
      <w:r w:rsidR="00287780">
        <w:t>Assumptions</w:t>
      </w:r>
      <w:r w:rsidR="00386C0F">
        <w:t xml:space="preserve"> that are Essential to this Section</w:t>
      </w:r>
    </w:p>
    <w:p w14:paraId="2CBCC769" w14:textId="7B094FEF" w:rsidR="00287780" w:rsidRPr="00287780" w:rsidRDefault="00FD47E1" w:rsidP="00287780">
      <w:r>
        <w:t>T</w:t>
      </w:r>
      <w:r w:rsidR="00AD1A4B">
        <w:t xml:space="preserve">his </w:t>
      </w:r>
      <w:r w:rsidR="00287780">
        <w:t xml:space="preserve">Section II </w:t>
      </w:r>
      <w:r w:rsidR="00AD1A4B">
        <w:t xml:space="preserve">recognizes </w:t>
      </w:r>
      <w:r w:rsidR="00386C0F">
        <w:t xml:space="preserve">that </w:t>
      </w:r>
      <w:r w:rsidR="00970E31">
        <w:t xml:space="preserve">the </w:t>
      </w:r>
      <w:r w:rsidR="00386C0F">
        <w:t xml:space="preserve">pass-through </w:t>
      </w:r>
      <w:r w:rsidR="00970E31">
        <w:t>tax system</w:t>
      </w:r>
      <w:r w:rsidR="00386C0F">
        <w:t xml:space="preserve"> poses certain </w:t>
      </w:r>
      <w:r w:rsidR="00366422">
        <w:t>jurisdiction</w:t>
      </w:r>
      <w:r w:rsidR="00F818CA">
        <w:t>al</w:t>
      </w:r>
      <w:r w:rsidR="00366422">
        <w:t xml:space="preserve"> and nexus </w:t>
      </w:r>
      <w:r w:rsidR="00386C0F">
        <w:t xml:space="preserve">questions </w:t>
      </w:r>
      <w:r w:rsidR="00970E31">
        <w:t xml:space="preserve">that </w:t>
      </w:r>
      <w:r w:rsidR="00386C0F">
        <w:t>may not have clear answers</w:t>
      </w:r>
      <w:r w:rsidR="00150DA7">
        <w:t xml:space="preserve"> and are beyond the scope of this white paper</w:t>
      </w:r>
      <w:r w:rsidR="00386C0F">
        <w:t xml:space="preserve">. This is especially true </w:t>
      </w:r>
      <w:r w:rsidR="00366422">
        <w:t xml:space="preserve">for </w:t>
      </w:r>
      <w:r w:rsidR="00386C0F">
        <w:t xml:space="preserve">complex partnership structures. Therefore, the following assumptions </w:t>
      </w:r>
      <w:r>
        <w:t>are made</w:t>
      </w:r>
      <w:r w:rsidR="00366422">
        <w:t>:</w:t>
      </w:r>
      <w:r w:rsidR="00287780">
        <w:t xml:space="preserve"> </w:t>
      </w:r>
    </w:p>
    <w:p w14:paraId="4B5238C1" w14:textId="75ACE21E" w:rsidR="006A609E" w:rsidRDefault="006A609E" w:rsidP="00FF1104">
      <w:pPr>
        <w:pStyle w:val="Heading5"/>
        <w:numPr>
          <w:ilvl w:val="0"/>
          <w:numId w:val="62"/>
        </w:numPr>
        <w:ind w:left="648"/>
      </w:pPr>
      <w:r>
        <w:t xml:space="preserve">States have </w:t>
      </w:r>
      <w:r w:rsidRPr="00FD47E1">
        <w:t>jurisdiction</w:t>
      </w:r>
      <w:r>
        <w:t xml:space="preserve"> to </w:t>
      </w:r>
      <w:r w:rsidR="00FD47E1">
        <w:t xml:space="preserve">impose tax information-reporting requirements on </w:t>
      </w:r>
      <w:r>
        <w:t>tiered partnerships.</w:t>
      </w:r>
    </w:p>
    <w:p w14:paraId="125B8E6A" w14:textId="77777777" w:rsidR="00417A50" w:rsidRDefault="00572689" w:rsidP="006A609E">
      <w:pPr>
        <w:ind w:left="720"/>
      </w:pPr>
      <w:r>
        <w:t xml:space="preserve">As with the </w:t>
      </w:r>
      <w:r w:rsidR="00386C0F">
        <w:t xml:space="preserve">proper </w:t>
      </w:r>
      <w:r>
        <w:t>tax characterization of partnership income generally, s</w:t>
      </w:r>
      <w:r w:rsidR="009D30C4">
        <w:t xml:space="preserve">tate sourcing of </w:t>
      </w:r>
      <w:r>
        <w:t xml:space="preserve">that income requires </w:t>
      </w:r>
      <w:r w:rsidR="00970E31">
        <w:t xml:space="preserve">partnerships to </w:t>
      </w:r>
      <w:r w:rsidR="00417A50">
        <w:t xml:space="preserve">properly </w:t>
      </w:r>
      <w:r w:rsidR="00970E31">
        <w:t xml:space="preserve">track </w:t>
      </w:r>
      <w:r>
        <w:t>information</w:t>
      </w:r>
      <w:r w:rsidR="00970E31">
        <w:t xml:space="preserve"> </w:t>
      </w:r>
      <w:r w:rsidR="00417A50">
        <w:t xml:space="preserve">and report it </w:t>
      </w:r>
      <w:r>
        <w:t>to the partners.</w:t>
      </w:r>
      <w:r w:rsidR="009D30C4">
        <w:t xml:space="preserve"> </w:t>
      </w:r>
      <w:r>
        <w:t xml:space="preserve">This is true whether </w:t>
      </w:r>
      <w:r w:rsidR="009D30C4">
        <w:t xml:space="preserve">states </w:t>
      </w:r>
      <w:r w:rsidR="00417A50">
        <w:t>source income using</w:t>
      </w:r>
      <w:r w:rsidR="009D30C4">
        <w:t xml:space="preserve"> formulary apportionment</w:t>
      </w:r>
      <w:r>
        <w:t xml:space="preserve"> or rules of assignment</w:t>
      </w:r>
      <w:r w:rsidR="009D30C4">
        <w:t xml:space="preserve">. </w:t>
      </w:r>
      <w:r>
        <w:t>And</w:t>
      </w:r>
      <w:r w:rsidR="00970E31">
        <w:t>,</w:t>
      </w:r>
      <w:r>
        <w:t xml:space="preserve"> as with </w:t>
      </w:r>
      <w:r w:rsidR="00417A50">
        <w:t>other tax information</w:t>
      </w:r>
      <w:r>
        <w:t xml:space="preserve">, </w:t>
      </w:r>
      <w:r w:rsidR="00417A50">
        <w:t>ensuring that sourcing information is properly tracked and reported is more</w:t>
      </w:r>
      <w:r w:rsidR="00DA7AF2">
        <w:t xml:space="preserve"> difficult in complex partnership structures</w:t>
      </w:r>
      <w:r w:rsidR="00150DA7">
        <w:t xml:space="preserve"> with tiered partners</w:t>
      </w:r>
      <w:r w:rsidR="00DA7AF2">
        <w:t>.</w:t>
      </w:r>
      <w:r w:rsidR="00417A50">
        <w:t xml:space="preserve"> Today, s</w:t>
      </w:r>
      <w:r w:rsidR="00DA7AF2">
        <w:t xml:space="preserve">tate </w:t>
      </w:r>
      <w:r w:rsidR="006A609E">
        <w:t xml:space="preserve">reporting requirements may not </w:t>
      </w:r>
      <w:r w:rsidR="00417A50">
        <w:t>fully address the</w:t>
      </w:r>
      <w:r w:rsidR="006A609E">
        <w:t xml:space="preserve"> </w:t>
      </w:r>
      <w:r w:rsidR="00DA7AF2">
        <w:t>information</w:t>
      </w:r>
      <w:r w:rsidR="00FC7F2B">
        <w:t xml:space="preserve"> </w:t>
      </w:r>
      <w:r w:rsidR="00150DA7">
        <w:t>necessary for sourcing partnership income</w:t>
      </w:r>
      <w:r w:rsidR="00F818CA">
        <w:t>, especially where blended apportionment is used.</w:t>
      </w:r>
    </w:p>
    <w:p w14:paraId="2EACA489" w14:textId="77777777" w:rsidR="00417A50" w:rsidRDefault="00417A50" w:rsidP="00417A50">
      <w:pPr>
        <w:ind w:left="720"/>
      </w:pPr>
      <w:r>
        <w:t>In c</w:t>
      </w:r>
      <w:r w:rsidR="00C535EA">
        <w:t xml:space="preserve">omplex tiered structures, partnership income from a lower tier may pass through several partnerships before it is allocated to a taxpaying partner. Some of these partnerships may have only an indirect connection to the state in which the income was initially derived. </w:t>
      </w:r>
      <w:r>
        <w:t xml:space="preserve">This raises questions as to whether states have jurisdiction to impose information reporting requirements on partnerships whose only connection with the state may be an indirect partner. </w:t>
      </w:r>
    </w:p>
    <w:p w14:paraId="56837A3F" w14:textId="1718734A" w:rsidR="00CE2D2B" w:rsidRDefault="00417A50" w:rsidP="00417A50">
      <w:pPr>
        <w:ind w:left="720"/>
      </w:pPr>
      <w:r>
        <w:t>These questions have</w:t>
      </w:r>
      <w:r w:rsidR="00150DA7">
        <w:t xml:space="preserve"> not be</w:t>
      </w:r>
      <w:r w:rsidR="00F469BC">
        <w:t>en</w:t>
      </w:r>
      <w:r w:rsidR="00150DA7">
        <w:t xml:space="preserve"> fully answered by the courts.</w:t>
      </w:r>
      <w:r w:rsidR="00C535EA">
        <w:t xml:space="preserve"> </w:t>
      </w:r>
      <w:r w:rsidR="006A609E">
        <w:t>And c</w:t>
      </w:r>
      <w:r w:rsidR="00150DA7">
        <w:t>ases that deal with state regulatory jurisdiction more generally may be of limited application</w:t>
      </w:r>
      <w:r w:rsidR="00C535EA">
        <w:t xml:space="preserve"> because of the unique nature of the pass-through tax system and the attribution principle </w:t>
      </w:r>
      <w:r w:rsidR="006520FD">
        <w:t>on which it relies</w:t>
      </w:r>
      <w:r w:rsidR="00C535EA">
        <w:t>.</w:t>
      </w:r>
      <w:r w:rsidR="00150DA7">
        <w:t xml:space="preserve"> </w:t>
      </w:r>
      <w:r w:rsidR="00C535EA">
        <w:t xml:space="preserve">(See </w:t>
      </w:r>
      <w:r w:rsidR="00366422">
        <w:t>subs</w:t>
      </w:r>
      <w:r w:rsidR="00C535EA">
        <w:t xml:space="preserve">ection I.E. above.) Partnerships </w:t>
      </w:r>
      <w:r>
        <w:t xml:space="preserve">and their partners </w:t>
      </w:r>
      <w:r w:rsidR="00C535EA">
        <w:t xml:space="preserve">are on notice that the </w:t>
      </w:r>
      <w:r w:rsidR="00150DA7">
        <w:t xml:space="preserve">tax </w:t>
      </w:r>
      <w:r w:rsidR="00C535EA">
        <w:t xml:space="preserve">benefits </w:t>
      </w:r>
      <w:r w:rsidR="006A609E">
        <w:t xml:space="preserve">supplied by </w:t>
      </w:r>
      <w:r w:rsidR="00C535EA">
        <w:t>th</w:t>
      </w:r>
      <w:r w:rsidR="006520FD">
        <w:t>is</w:t>
      </w:r>
      <w:r w:rsidR="00C535EA">
        <w:t xml:space="preserve"> </w:t>
      </w:r>
      <w:r>
        <w:t xml:space="preserve">pass-through </w:t>
      </w:r>
      <w:r w:rsidR="00C535EA">
        <w:t xml:space="preserve">system </w:t>
      </w:r>
      <w:r w:rsidR="006520FD">
        <w:t xml:space="preserve">will apply </w:t>
      </w:r>
      <w:r w:rsidR="00C535EA">
        <w:t xml:space="preserve">only to the extent that </w:t>
      </w:r>
      <w:r w:rsidR="001512C8">
        <w:t>they</w:t>
      </w:r>
      <w:r w:rsidR="006A609E">
        <w:t xml:space="preserve"> </w:t>
      </w:r>
      <w:r w:rsidR="001512C8">
        <w:t xml:space="preserve">properly </w:t>
      </w:r>
      <w:r w:rsidR="00C535EA">
        <w:t xml:space="preserve">comply with the </w:t>
      </w:r>
      <w:r w:rsidR="001512C8">
        <w:t>system’s requirements</w:t>
      </w:r>
      <w:r w:rsidR="00C535EA">
        <w:t xml:space="preserve">. </w:t>
      </w:r>
      <w:r w:rsidR="00150DA7">
        <w:t xml:space="preserve">And this, in </w:t>
      </w:r>
      <w:proofErr w:type="gramStart"/>
      <w:r w:rsidR="00150DA7">
        <w:t>turn</w:t>
      </w:r>
      <w:proofErr w:type="gramEnd"/>
      <w:r w:rsidR="00150DA7">
        <w:t xml:space="preserve"> provides the basis for imposing state reporting requirements.</w:t>
      </w:r>
    </w:p>
    <w:p w14:paraId="757CC0EF" w14:textId="6500F0B4" w:rsidR="00310FB9" w:rsidRDefault="00077E52" w:rsidP="00FF1104">
      <w:pPr>
        <w:pStyle w:val="Heading5"/>
        <w:numPr>
          <w:ilvl w:val="0"/>
          <w:numId w:val="62"/>
        </w:numPr>
        <w:ind w:left="648"/>
      </w:pPr>
      <w:r>
        <w:t>States may assert n</w:t>
      </w:r>
      <w:r w:rsidR="00B409ED">
        <w:t xml:space="preserve">exus </w:t>
      </w:r>
      <w:r w:rsidR="006520FD">
        <w:t>over partners</w:t>
      </w:r>
      <w:r>
        <w:t xml:space="preserve"> for their state-sourced partnership income</w:t>
      </w:r>
      <w:r w:rsidR="006520FD">
        <w:t>.</w:t>
      </w:r>
      <w:r w:rsidR="00A72F38">
        <w:t xml:space="preserve"> </w:t>
      </w:r>
    </w:p>
    <w:p w14:paraId="1CD1D59F" w14:textId="6605124C" w:rsidR="00366422" w:rsidRDefault="00A72F38" w:rsidP="001512C8">
      <w:pPr>
        <w:spacing w:line="276" w:lineRule="auto"/>
        <w:ind w:left="720"/>
      </w:pPr>
      <w:r>
        <w:t xml:space="preserve">A few </w:t>
      </w:r>
      <w:r w:rsidR="0006523C">
        <w:t xml:space="preserve">state tax </w:t>
      </w:r>
      <w:r>
        <w:t>cases have held</w:t>
      </w:r>
      <w:r w:rsidR="00CE2D2B">
        <w:t xml:space="preserve"> </w:t>
      </w:r>
      <w:r>
        <w:t xml:space="preserve">that nonresident partners cannot be subjected to tax on their state-sourced </w:t>
      </w:r>
      <w:r w:rsidR="00470604">
        <w:t xml:space="preserve">partnership </w:t>
      </w:r>
      <w:r>
        <w:t>income</w:t>
      </w:r>
      <w:r w:rsidR="00B54CE0">
        <w:t>, whether</w:t>
      </w:r>
      <w:r>
        <w:t xml:space="preserve"> </w:t>
      </w:r>
      <w:r w:rsidR="001512C8">
        <w:t>due to a</w:t>
      </w:r>
      <w:r>
        <w:t xml:space="preserve"> lack </w:t>
      </w:r>
      <w:r w:rsidR="001512C8">
        <w:t xml:space="preserve">of </w:t>
      </w:r>
      <w:r w:rsidR="00077E52">
        <w:t xml:space="preserve">constitutional </w:t>
      </w:r>
      <w:r>
        <w:t xml:space="preserve">nexus </w:t>
      </w:r>
      <w:r w:rsidR="001512C8">
        <w:t>or</w:t>
      </w:r>
      <w:r w:rsidR="0006523C">
        <w:t xml:space="preserve"> </w:t>
      </w:r>
      <w:r w:rsidR="001512C8">
        <w:t xml:space="preserve">because </w:t>
      </w:r>
      <w:r w:rsidR="00B54CE0">
        <w:t>the</w:t>
      </w:r>
      <w:r w:rsidR="00B409ED">
        <w:t xml:space="preserve"> </w:t>
      </w:r>
      <w:r>
        <w:t>state</w:t>
      </w:r>
      <w:r w:rsidR="00B54CE0">
        <w:t>’s</w:t>
      </w:r>
      <w:r>
        <w:t xml:space="preserve"> </w:t>
      </w:r>
      <w:r w:rsidR="00077E52">
        <w:t xml:space="preserve">statutory </w:t>
      </w:r>
      <w:r>
        <w:t xml:space="preserve">“doing business” </w:t>
      </w:r>
      <w:r w:rsidR="00B54CE0">
        <w:t>standard was not met</w:t>
      </w:r>
      <w:r w:rsidR="00CE2D2B">
        <w:t xml:space="preserve">. </w:t>
      </w:r>
      <w:r w:rsidR="00B54CE0">
        <w:t>Most of t</w:t>
      </w:r>
      <w:r w:rsidR="006520FD">
        <w:t xml:space="preserve">hese decisions </w:t>
      </w:r>
      <w:r w:rsidR="00B54CE0">
        <w:t xml:space="preserve">appear to have been </w:t>
      </w:r>
      <w:r w:rsidR="006520FD">
        <w:t xml:space="preserve">based on the partner’s </w:t>
      </w:r>
      <w:r w:rsidR="00B54CE0">
        <w:t xml:space="preserve">passive </w:t>
      </w:r>
      <w:r w:rsidR="006520FD">
        <w:t>role on in the partnership.</w:t>
      </w:r>
      <w:r w:rsidR="00B54CE0">
        <w:rPr>
          <w:rStyle w:val="FootnoteReference"/>
        </w:rPr>
        <w:footnoteReference w:id="26"/>
      </w:r>
      <w:r w:rsidR="006520FD">
        <w:t xml:space="preserve"> </w:t>
      </w:r>
      <w:r w:rsidR="00CE2D2B">
        <w:t>However, the basis for some of these cases is now questionable</w:t>
      </w:r>
      <w:r w:rsidR="00F65D57">
        <w:t>.</w:t>
      </w:r>
      <w:r w:rsidR="00B409ED">
        <w:t xml:space="preserve"> </w:t>
      </w:r>
      <w:r w:rsidR="00F65D57">
        <w:t>T</w:t>
      </w:r>
      <w:r w:rsidR="00B409ED">
        <w:t xml:space="preserve">oday, most states </w:t>
      </w:r>
      <w:r w:rsidR="00B54CE0">
        <w:t xml:space="preserve">appear to </w:t>
      </w:r>
      <w:r w:rsidR="00B409ED">
        <w:t xml:space="preserve">assert </w:t>
      </w:r>
      <w:r w:rsidR="001512C8">
        <w:t>nexus</w:t>
      </w:r>
      <w:r w:rsidR="00B409ED">
        <w:t xml:space="preserve"> </w:t>
      </w:r>
      <w:r w:rsidR="001512C8">
        <w:t>over</w:t>
      </w:r>
      <w:r w:rsidR="00B409ED">
        <w:t xml:space="preserve"> partners </w:t>
      </w:r>
      <w:r w:rsidR="001512C8">
        <w:t xml:space="preserve">to tax </w:t>
      </w:r>
      <w:r w:rsidR="00B409ED">
        <w:t>the</w:t>
      </w:r>
      <w:r w:rsidR="0006523C">
        <w:t xml:space="preserve">ir </w:t>
      </w:r>
      <w:r w:rsidR="00B409ED">
        <w:t xml:space="preserve">distributive share </w:t>
      </w:r>
      <w:r w:rsidR="0006523C">
        <w:t xml:space="preserve">income </w:t>
      </w:r>
      <w:r w:rsidR="001512C8">
        <w:t>from a partnership doing business in the state</w:t>
      </w:r>
      <w:r w:rsidR="00B409ED">
        <w:t>, regardless of the nature or role of the partner</w:t>
      </w:r>
      <w:r w:rsidR="00CE2D2B">
        <w:t>.</w:t>
      </w:r>
      <w:r w:rsidR="00310FB9">
        <w:rPr>
          <w:rStyle w:val="FootnoteReference"/>
        </w:rPr>
        <w:footnoteReference w:id="27"/>
      </w:r>
      <w:r w:rsidR="00CE2D2B">
        <w:t xml:space="preserve"> </w:t>
      </w:r>
      <w:r w:rsidR="001512C8">
        <w:t>Like the potential jurisdictional limits discussed above, it</w:t>
      </w:r>
      <w:r w:rsidR="00B54CE0">
        <w:t xml:space="preserve"> </w:t>
      </w:r>
      <w:r w:rsidR="00366422">
        <w:t>would be inconsistent with the attribution principle</w:t>
      </w:r>
      <w:r w:rsidR="001512C8">
        <w:t xml:space="preserve"> to assert that while the partnership itself has nexus with the state, the partners do not</w:t>
      </w:r>
      <w:r w:rsidR="00B54CE0">
        <w:t>.</w:t>
      </w:r>
      <w:r w:rsidR="00366422">
        <w:t xml:space="preserve"> </w:t>
      </w:r>
      <w:r w:rsidR="00B54CE0">
        <w:t xml:space="preserve">Under the attribution principle, the partners are deemed to have engaged in the activity of the partnership which </w:t>
      </w:r>
      <w:r w:rsidR="00324369">
        <w:t xml:space="preserve">generated the tax items regardless of the partner’s role in the partnership. </w:t>
      </w:r>
    </w:p>
    <w:p w14:paraId="5E14E7E7" w14:textId="3D893D1E" w:rsidR="00366422" w:rsidRDefault="00366422" w:rsidP="00FF1104">
      <w:pPr>
        <w:pStyle w:val="Heading5"/>
        <w:numPr>
          <w:ilvl w:val="0"/>
          <w:numId w:val="62"/>
        </w:numPr>
        <w:ind w:left="648"/>
      </w:pPr>
      <w:r>
        <w:t>To the extent necessary, states may impose entity-level tax or withholding.</w:t>
      </w:r>
    </w:p>
    <w:p w14:paraId="04DDF86F" w14:textId="42BC6A43" w:rsidR="00C106AE" w:rsidRPr="00B409ED" w:rsidRDefault="00A72F38" w:rsidP="00C106AE">
      <w:pPr>
        <w:spacing w:line="276" w:lineRule="auto"/>
        <w:ind w:left="720"/>
      </w:pPr>
      <w:r>
        <w:t xml:space="preserve">To the extent states </w:t>
      </w:r>
      <w:r w:rsidR="00F469BC">
        <w:t xml:space="preserve">are concerned that their jurisdiction or nexus authority </w:t>
      </w:r>
      <w:r w:rsidR="00324369">
        <w:t>may be</w:t>
      </w:r>
      <w:r w:rsidR="00F469BC">
        <w:t xml:space="preserve"> limited</w:t>
      </w:r>
      <w:r>
        <w:t>,</w:t>
      </w:r>
      <w:r w:rsidR="00F469BC">
        <w:t xml:space="preserve"> they may impose</w:t>
      </w:r>
      <w:r>
        <w:t xml:space="preserve"> </w:t>
      </w:r>
      <w:r w:rsidR="00F469BC">
        <w:t xml:space="preserve">entity-level taxes or </w:t>
      </w:r>
      <w:r>
        <w:t xml:space="preserve">withholding requirements </w:t>
      </w:r>
      <w:r w:rsidR="00F469BC">
        <w:t>on</w:t>
      </w:r>
      <w:r>
        <w:t xml:space="preserve"> partnerships with activities in the state</w:t>
      </w:r>
      <w:r w:rsidR="00F469BC">
        <w:t xml:space="preserve">. These requirements may ease administrative burdens in addition to </w:t>
      </w:r>
      <w:r>
        <w:t>ensur</w:t>
      </w:r>
      <w:r w:rsidR="00F469BC">
        <w:t>ing</w:t>
      </w:r>
      <w:r>
        <w:t xml:space="preserve"> that </w:t>
      </w:r>
      <w:r w:rsidR="0006523C">
        <w:t xml:space="preserve">tax is paid on </w:t>
      </w:r>
      <w:r>
        <w:t>distributive share income allocated to out-of-state partners</w:t>
      </w:r>
      <w:r w:rsidR="00F469BC">
        <w:t xml:space="preserve">. However, as with information reporting requirements, the entity-level taxes or withholding requirements </w:t>
      </w:r>
      <w:r w:rsidR="001512C8">
        <w:t xml:space="preserve">used by states today </w:t>
      </w:r>
      <w:r w:rsidR="00F469BC">
        <w:t xml:space="preserve">may need to be modified to ensure that </w:t>
      </w:r>
      <w:r w:rsidR="00324369">
        <w:t xml:space="preserve">they also work for complex </w:t>
      </w:r>
      <w:r w:rsidR="00F469BC">
        <w:t xml:space="preserve">partnership </w:t>
      </w:r>
      <w:r w:rsidR="00324369">
        <w:t xml:space="preserve">structures. </w:t>
      </w:r>
    </w:p>
    <w:p w14:paraId="24A0BC9C" w14:textId="5B718B5D" w:rsidR="00D479AD" w:rsidRDefault="00DD5AE5" w:rsidP="00453670">
      <w:pPr>
        <w:pStyle w:val="Heading2"/>
      </w:pPr>
      <w:bookmarkStart w:id="68" w:name="_Toc195435257"/>
      <w:r>
        <w:lastRenderedPageBreak/>
        <w:t xml:space="preserve">II. A. </w:t>
      </w:r>
      <w:r w:rsidR="000245DB">
        <w:t xml:space="preserve">General </w:t>
      </w:r>
      <w:r w:rsidR="0006523C">
        <w:t>Framework for Sourcing Partnership Income</w:t>
      </w:r>
      <w:bookmarkEnd w:id="68"/>
    </w:p>
    <w:p w14:paraId="4190618E" w14:textId="3CF46B22" w:rsidR="00DD5AE5" w:rsidRDefault="001D7F3E" w:rsidP="00DD5AE5">
      <w:r>
        <w:t>While this</w:t>
      </w:r>
      <w:r w:rsidR="00701EE6">
        <w:t xml:space="preserve"> white paper </w:t>
      </w:r>
      <w:r w:rsidR="00B47BD8">
        <w:t>is</w:t>
      </w:r>
      <w:r w:rsidR="00701EE6">
        <w:t xml:space="preserve"> </w:t>
      </w:r>
      <w:r w:rsidR="00B47BD8">
        <w:t>primarily</w:t>
      </w:r>
      <w:r w:rsidR="00701EE6">
        <w:t xml:space="preserve"> </w:t>
      </w:r>
      <w:r>
        <w:t xml:space="preserve">focused </w:t>
      </w:r>
      <w:r w:rsidR="00701EE6">
        <w:t xml:space="preserve">on </w:t>
      </w:r>
      <w:r w:rsidR="000245DB">
        <w:t xml:space="preserve">sourcing issues </w:t>
      </w:r>
      <w:r w:rsidR="00701EE6">
        <w:t xml:space="preserve">raised by </w:t>
      </w:r>
      <w:r w:rsidR="000245DB">
        <w:t>complex partnership structures</w:t>
      </w:r>
      <w:r>
        <w:t>,</w:t>
      </w:r>
      <w:r w:rsidR="000245DB">
        <w:t xml:space="preserve"> </w:t>
      </w:r>
      <w:r>
        <w:t>b</w:t>
      </w:r>
      <w:r w:rsidR="00F469BC">
        <w:t>efore turning to those issues</w:t>
      </w:r>
      <w:r w:rsidR="00B47BD8">
        <w:t xml:space="preserve">, </w:t>
      </w:r>
      <w:r w:rsidR="00F469BC">
        <w:t xml:space="preserve">this subsection II.A. </w:t>
      </w:r>
      <w:r w:rsidR="00B47BD8">
        <w:t>set</w:t>
      </w:r>
      <w:r w:rsidR="00F469BC">
        <w:t>s</w:t>
      </w:r>
      <w:r w:rsidR="00B47BD8">
        <w:t xml:space="preserve"> out </w:t>
      </w:r>
      <w:r w:rsidR="001E36D2">
        <w:t>the</w:t>
      </w:r>
      <w:r w:rsidR="0006523C">
        <w:t xml:space="preserve"> general framework </w:t>
      </w:r>
      <w:r w:rsidR="000A2DCD">
        <w:t>for sourcing partnership income which has been presented to and discussed by the work group.</w:t>
      </w:r>
      <w:r w:rsidR="00B47BD8">
        <w:t xml:space="preserve"> </w:t>
      </w:r>
      <w:r w:rsidR="00C266A7">
        <w:t xml:space="preserve"> </w:t>
      </w:r>
    </w:p>
    <w:p w14:paraId="416AD7B8" w14:textId="00932C4A" w:rsidR="007E664D" w:rsidRDefault="0004029B" w:rsidP="007E664D">
      <w:pPr>
        <w:pStyle w:val="Heading4"/>
        <w:ind w:left="360"/>
      </w:pPr>
      <w:r>
        <w:t xml:space="preserve">General </w:t>
      </w:r>
      <w:r w:rsidR="007E664D">
        <w:t>Framework</w:t>
      </w:r>
    </w:p>
    <w:p w14:paraId="472FB872" w14:textId="586E8374" w:rsidR="001F2341" w:rsidRDefault="001D7F3E" w:rsidP="00FF1104">
      <w:pPr>
        <w:pStyle w:val="Heading5"/>
        <w:numPr>
          <w:ilvl w:val="0"/>
          <w:numId w:val="63"/>
        </w:numPr>
      </w:pPr>
      <w:r>
        <w:t>Partnership</w:t>
      </w:r>
      <w:r w:rsidR="00532302">
        <w:t xml:space="preserve"> Determines Whether Items are</w:t>
      </w:r>
      <w:r w:rsidR="00C13E6A">
        <w:t xml:space="preserve"> </w:t>
      </w:r>
      <w:r w:rsidR="00532302">
        <w:t xml:space="preserve">Apportionable or </w:t>
      </w:r>
      <w:r w:rsidR="009B6DD2">
        <w:t>non</w:t>
      </w:r>
      <w:r w:rsidR="00C106AE">
        <w:t>-Apportionable</w:t>
      </w:r>
      <w:r w:rsidR="009B6DD2">
        <w:t xml:space="preserve"> </w:t>
      </w:r>
    </w:p>
    <w:p w14:paraId="302D22EB" w14:textId="72259530" w:rsidR="001D7F3E" w:rsidRDefault="001D7F3E" w:rsidP="00B82C45">
      <w:pPr>
        <w:spacing w:after="120"/>
        <w:ind w:left="720"/>
      </w:pPr>
      <w:r>
        <w:t>S</w:t>
      </w:r>
      <w:r w:rsidR="00726CA9">
        <w:t>tate r</w:t>
      </w:r>
      <w:r w:rsidR="00980FFE">
        <w:t xml:space="preserve">ules for determining whether items are </w:t>
      </w:r>
      <w:r w:rsidR="00B82C45">
        <w:t xml:space="preserve">apportionable or </w:t>
      </w:r>
      <w:r w:rsidR="00980FFE">
        <w:t>non-apportionable will be applied</w:t>
      </w:r>
      <w:r w:rsidR="00C106AE">
        <w:t xml:space="preserve"> </w:t>
      </w:r>
      <w:r>
        <w:t>to items recognized or incurred by directly by the partnership. This “</w:t>
      </w:r>
      <w:r w:rsidR="000A2DCD">
        <w:t>partnership</w:t>
      </w:r>
      <w:r>
        <w:t>-</w:t>
      </w:r>
      <w:r w:rsidR="000A2DCD">
        <w:t>level</w:t>
      </w:r>
      <w:r>
        <w:t>” determination will then become part of the character of the item and, like the other tax characteristics of the item, is attributed to any direct or indirect partner that receives a distributive share of that item</w:t>
      </w:r>
      <w:r w:rsidR="00980FFE">
        <w:t>.</w:t>
      </w:r>
      <w:r w:rsidR="000A2DCD">
        <w:t xml:space="preserve"> </w:t>
      </w:r>
    </w:p>
    <w:p w14:paraId="6C1F1900" w14:textId="66E5DB43" w:rsidR="001D7F3E" w:rsidRDefault="001D7F3E" w:rsidP="00FF1104">
      <w:pPr>
        <w:pStyle w:val="Heading5"/>
        <w:numPr>
          <w:ilvl w:val="0"/>
          <w:numId w:val="63"/>
        </w:numPr>
      </w:pPr>
      <w:r>
        <w:t>Partnership</w:t>
      </w:r>
      <w:r w:rsidR="00532302">
        <w:t xml:space="preserve"> Sources </w:t>
      </w:r>
      <w:r>
        <w:t>non-Apportionable Items</w:t>
      </w:r>
    </w:p>
    <w:p w14:paraId="647A38E3" w14:textId="3FA51AC7" w:rsidR="00092423" w:rsidRDefault="00B82C45" w:rsidP="00B82C45">
      <w:pPr>
        <w:spacing w:after="120"/>
        <w:ind w:left="720"/>
      </w:pPr>
      <w:r>
        <w:t>If t</w:t>
      </w:r>
      <w:r w:rsidR="00C106AE">
        <w:t xml:space="preserve">he item </w:t>
      </w:r>
      <w:r>
        <w:t xml:space="preserve">is </w:t>
      </w:r>
      <w:r w:rsidR="00C106AE">
        <w:t>determined to be non-apportionable</w:t>
      </w:r>
      <w:r>
        <w:t>, it will be sourced applying state rules</w:t>
      </w:r>
      <w:r w:rsidR="001D7F3E">
        <w:t xml:space="preserve"> of assignment</w:t>
      </w:r>
      <w:r>
        <w:t xml:space="preserve"> based on the partnership’s activities and information. This source</w:t>
      </w:r>
      <w:r w:rsidR="00C106AE">
        <w:t xml:space="preserve"> will then </w:t>
      </w:r>
      <w:r w:rsidR="00980FFE">
        <w:t xml:space="preserve">be </w:t>
      </w:r>
      <w:r w:rsidR="00C13E6A">
        <w:t xml:space="preserve">attributed to any direct or indirect partner </w:t>
      </w:r>
      <w:r w:rsidR="00980FFE" w:rsidRPr="00980FFE">
        <w:t xml:space="preserve">that receives a distributive share of that item </w:t>
      </w:r>
      <w:r w:rsidR="00092423">
        <w:t xml:space="preserve">and will control the sourcing of the item, </w:t>
      </w:r>
      <w:r w:rsidR="00980FFE" w:rsidRPr="00980FFE">
        <w:t>regardless of whether the partner’s distributive share of th</w:t>
      </w:r>
      <w:r w:rsidR="00092423">
        <w:t>e</w:t>
      </w:r>
      <w:r w:rsidR="00980FFE" w:rsidRPr="00980FFE">
        <w:t xml:space="preserve"> partnership’s income would generally be considered apportionable or non-apportionable income to th</w:t>
      </w:r>
      <w:r w:rsidR="00092423">
        <w:t>at</w:t>
      </w:r>
      <w:r w:rsidR="00980FFE" w:rsidRPr="00980FFE">
        <w:t xml:space="preserve"> partner</w:t>
      </w:r>
      <w:r w:rsidR="00980FFE">
        <w:t>.</w:t>
      </w:r>
    </w:p>
    <w:p w14:paraId="15C07EC8" w14:textId="569EF1EB" w:rsidR="000A2DCD" w:rsidRPr="006136E4" w:rsidRDefault="001D7F3E" w:rsidP="00FF1104">
      <w:pPr>
        <w:pStyle w:val="Heading5"/>
        <w:numPr>
          <w:ilvl w:val="0"/>
          <w:numId w:val="63"/>
        </w:numPr>
      </w:pPr>
      <w:r>
        <w:t>Partnership</w:t>
      </w:r>
      <w:r w:rsidR="00532302">
        <w:t xml:space="preserve"> Sources</w:t>
      </w:r>
      <w:r>
        <w:t xml:space="preserve"> Apportionable Items</w:t>
      </w:r>
      <w:r w:rsidR="00980FFE">
        <w:t xml:space="preserve"> and Exception</w:t>
      </w:r>
      <w:r w:rsidR="001F2341" w:rsidRPr="006136E4">
        <w:t xml:space="preserve"> </w:t>
      </w:r>
    </w:p>
    <w:p w14:paraId="5849EAA6" w14:textId="0D652312" w:rsidR="00145CD9" w:rsidRDefault="009B6DD2" w:rsidP="004F7B95">
      <w:pPr>
        <w:spacing w:after="120"/>
        <w:ind w:left="648"/>
      </w:pPr>
      <w:r>
        <w:t xml:space="preserve">If the item is determined to be apportionable, it will be sourced </w:t>
      </w:r>
      <w:r w:rsidR="001D7F3E">
        <w:t xml:space="preserve">applying </w:t>
      </w:r>
      <w:r>
        <w:t xml:space="preserve">state apportionment rules based on the partnership’s activities and information. </w:t>
      </w:r>
      <w:r w:rsidR="00980FFE">
        <w:t>Th</w:t>
      </w:r>
      <w:r>
        <w:t xml:space="preserve">is </w:t>
      </w:r>
      <w:r w:rsidR="00C106AE">
        <w:t>source will then</w:t>
      </w:r>
      <w:r w:rsidR="00C13E6A">
        <w:t xml:space="preserve"> </w:t>
      </w:r>
      <w:r w:rsidR="00980FFE">
        <w:t xml:space="preserve">be </w:t>
      </w:r>
      <w:r w:rsidR="00C13E6A">
        <w:t xml:space="preserve">attributed to any direct or indirect partner that receives a distributive share of that item </w:t>
      </w:r>
      <w:r w:rsidR="00C106AE">
        <w:t xml:space="preserve">and will control the sourcing of the item, </w:t>
      </w:r>
      <w:r w:rsidR="00C13E6A">
        <w:t>regardless of whether the partner’s distributive share of the partnership’s income would generally be considered apportionable or non-apportionable income to th</w:t>
      </w:r>
      <w:r>
        <w:t>at</w:t>
      </w:r>
      <w:r w:rsidR="00C13E6A">
        <w:t xml:space="preserve"> partner, </w:t>
      </w:r>
      <w:r w:rsidR="00C106AE">
        <w:t>EXCEPT</w:t>
      </w:r>
      <w:r w:rsidR="00980FFE">
        <w:t xml:space="preserve"> if</w:t>
      </w:r>
      <w:r w:rsidR="00C13E6A">
        <w:t>:</w:t>
      </w:r>
    </w:p>
    <w:p w14:paraId="31575B35" w14:textId="19FD1B17" w:rsidR="00C13E6A" w:rsidRDefault="00C13E6A" w:rsidP="004F7B95">
      <w:pPr>
        <w:pStyle w:val="ListParagraph"/>
        <w:numPr>
          <w:ilvl w:val="1"/>
          <w:numId w:val="49"/>
        </w:numPr>
        <w:spacing w:after="120"/>
        <w:ind w:left="1368"/>
        <w:contextualSpacing w:val="0"/>
      </w:pPr>
      <w:r>
        <w:t xml:space="preserve">The </w:t>
      </w:r>
      <w:r w:rsidR="00532302">
        <w:t xml:space="preserve">item would properly be included in the </w:t>
      </w:r>
      <w:r>
        <w:t>partner</w:t>
      </w:r>
      <w:r w:rsidR="00532302">
        <w:t>’s</w:t>
      </w:r>
      <w:r>
        <w:t xml:space="preserve"> </w:t>
      </w:r>
      <w:r w:rsidR="00980FFE">
        <w:t>own apportionable income; and</w:t>
      </w:r>
    </w:p>
    <w:p w14:paraId="6F9CEDF9" w14:textId="12094A97" w:rsidR="004F7B95" w:rsidRDefault="00980FFE" w:rsidP="001D7F3E">
      <w:pPr>
        <w:pStyle w:val="ListParagraph"/>
        <w:numPr>
          <w:ilvl w:val="1"/>
          <w:numId w:val="49"/>
        </w:numPr>
        <w:spacing w:after="120"/>
        <w:ind w:left="1368"/>
        <w:contextualSpacing w:val="0"/>
      </w:pPr>
      <w:r>
        <w:t>The state rules provide for the use of blended apportionment</w:t>
      </w:r>
      <w:r w:rsidR="001D7F3E">
        <w:t xml:space="preserve"> under the circumstances</w:t>
      </w:r>
      <w:r>
        <w:t xml:space="preserve">. </w:t>
      </w:r>
    </w:p>
    <w:p w14:paraId="4F5418BC" w14:textId="285AAA70" w:rsidR="007E664D" w:rsidRDefault="007E664D" w:rsidP="00D55145">
      <w:pPr>
        <w:pStyle w:val="Heading4"/>
        <w:ind w:left="720"/>
      </w:pPr>
      <w:r>
        <w:t>Example</w:t>
      </w:r>
      <w:r w:rsidR="004F7B95">
        <w:t xml:space="preserve"> 1</w:t>
      </w:r>
    </w:p>
    <w:p w14:paraId="5375B03C" w14:textId="77777777" w:rsidR="007E664D" w:rsidRDefault="007E664D" w:rsidP="00D55145">
      <w:pPr>
        <w:spacing w:after="120"/>
        <w:ind w:left="1080"/>
      </w:pPr>
      <w:r>
        <w:t xml:space="preserve">Assume: </w:t>
      </w:r>
    </w:p>
    <w:p w14:paraId="761C571B" w14:textId="34646943" w:rsidR="00EC4377" w:rsidRDefault="007E664D" w:rsidP="00D55145">
      <w:pPr>
        <w:pStyle w:val="ListParagraph"/>
        <w:numPr>
          <w:ilvl w:val="0"/>
          <w:numId w:val="50"/>
        </w:numPr>
        <w:spacing w:after="60"/>
        <w:ind w:left="1800"/>
        <w:contextualSpacing w:val="0"/>
      </w:pPr>
      <w:r>
        <w:t xml:space="preserve">Corp X </w:t>
      </w:r>
      <w:r w:rsidR="00EC4377">
        <w:t>operates entirely in State 1</w:t>
      </w:r>
    </w:p>
    <w:p w14:paraId="4D4384DE" w14:textId="3C73635A" w:rsidR="007E664D" w:rsidRDefault="00EC4377" w:rsidP="00D55145">
      <w:pPr>
        <w:pStyle w:val="ListParagraph"/>
        <w:numPr>
          <w:ilvl w:val="0"/>
          <w:numId w:val="50"/>
        </w:numPr>
        <w:spacing w:after="60"/>
        <w:ind w:left="1800"/>
        <w:contextualSpacing w:val="0"/>
      </w:pPr>
      <w:r>
        <w:t xml:space="preserve">Corp X </w:t>
      </w:r>
      <w:r w:rsidR="007E664D">
        <w:t>is a partner in Partnership Y.</w:t>
      </w:r>
    </w:p>
    <w:p w14:paraId="47974F34" w14:textId="3A1AF921" w:rsidR="007E664D" w:rsidRDefault="007E664D" w:rsidP="00D55145">
      <w:pPr>
        <w:pStyle w:val="ListParagraph"/>
        <w:numPr>
          <w:ilvl w:val="0"/>
          <w:numId w:val="50"/>
        </w:numPr>
        <w:spacing w:after="60"/>
        <w:ind w:left="1800"/>
        <w:contextualSpacing w:val="0"/>
      </w:pPr>
      <w:r>
        <w:t xml:space="preserve">Corp X has </w:t>
      </w:r>
      <w:r w:rsidR="00EC4377">
        <w:t>a</w:t>
      </w:r>
      <w:r>
        <w:t xml:space="preserve"> 10% interest in Y and is allocated 10% of Y’s income.</w:t>
      </w:r>
    </w:p>
    <w:p w14:paraId="1BAD5914" w14:textId="70480188" w:rsidR="007E664D" w:rsidRDefault="007E664D" w:rsidP="00D55145">
      <w:pPr>
        <w:pStyle w:val="ListParagraph"/>
        <w:numPr>
          <w:ilvl w:val="0"/>
          <w:numId w:val="50"/>
        </w:numPr>
        <w:spacing w:after="60"/>
        <w:ind w:left="1800"/>
        <w:contextualSpacing w:val="0"/>
      </w:pPr>
      <w:r>
        <w:t xml:space="preserve">Partnership Y apportions 50% of its $1 million income to State </w:t>
      </w:r>
      <w:r w:rsidR="00EC4377">
        <w:t>2</w:t>
      </w:r>
    </w:p>
    <w:p w14:paraId="2984CD89" w14:textId="3546619F" w:rsidR="00EC4377" w:rsidRDefault="00EC4377" w:rsidP="00D55145">
      <w:pPr>
        <w:pStyle w:val="ListParagraph"/>
        <w:numPr>
          <w:ilvl w:val="0"/>
          <w:numId w:val="50"/>
        </w:numPr>
        <w:spacing w:after="120"/>
        <w:ind w:left="1800"/>
        <w:contextualSpacing w:val="0"/>
      </w:pPr>
      <w:r>
        <w:t>Corp X’s distributive share of Y’s income would generally be considered non-apportionable income to X</w:t>
      </w:r>
    </w:p>
    <w:p w14:paraId="453CE18D" w14:textId="414EFCB3" w:rsidR="004F7B95" w:rsidRDefault="004F7B95" w:rsidP="001D7F3E">
      <w:pPr>
        <w:ind w:left="1080"/>
      </w:pPr>
      <w:r>
        <w:t>C</w:t>
      </w:r>
      <w:r w:rsidR="007E664D">
        <w:t xml:space="preserve">orp X would source </w:t>
      </w:r>
      <w:r w:rsidR="00EC4377">
        <w:t xml:space="preserve">50% of </w:t>
      </w:r>
      <w:r w:rsidR="007E664D">
        <w:t>its 10% share of the $1 million</w:t>
      </w:r>
      <w:r w:rsidR="00EC4377">
        <w:t xml:space="preserve"> to State 2</w:t>
      </w:r>
    </w:p>
    <w:p w14:paraId="38319356" w14:textId="1318764B" w:rsidR="00EC4377" w:rsidRDefault="00EC4377" w:rsidP="00D55145">
      <w:pPr>
        <w:pStyle w:val="Heading4"/>
        <w:ind w:left="720"/>
      </w:pPr>
      <w:r>
        <w:t>Example 2</w:t>
      </w:r>
    </w:p>
    <w:p w14:paraId="0251E409" w14:textId="79BB570E" w:rsidR="00D55145" w:rsidRDefault="00EC4377" w:rsidP="001D7F3E">
      <w:pPr>
        <w:ind w:left="1080"/>
      </w:pPr>
      <w:r>
        <w:t xml:space="preserve">Assume the same facts as Example 1 except that Corp X’s distributive share of Y’s income would generally be considered apportionable income to X. In that case, </w:t>
      </w:r>
      <w:r w:rsidR="00A36738">
        <w:t xml:space="preserve">X might use blended apportionment to source X’s share of Y’s income, provided </w:t>
      </w:r>
      <w:r>
        <w:t xml:space="preserve">State 2 </w:t>
      </w:r>
      <w:r w:rsidR="00A36738">
        <w:t>allows</w:t>
      </w:r>
      <w:r>
        <w:t xml:space="preserve"> blended apportionment and would apply that approach to X</w:t>
      </w:r>
      <w:r w:rsidR="00A36738">
        <w:t xml:space="preserve"> here</w:t>
      </w:r>
      <w:r>
        <w:t xml:space="preserve">. </w:t>
      </w:r>
    </w:p>
    <w:p w14:paraId="658F94E2" w14:textId="6B97B3A8" w:rsidR="00D55145" w:rsidRDefault="00532302" w:rsidP="00532302">
      <w:pPr>
        <w:spacing w:line="276" w:lineRule="auto"/>
      </w:pPr>
      <w:r>
        <w:t>Note that under this general framework a partner would not simply apply state sourcing rules to the distributive share income based on the partner’s own activities or information, nor would a partner simply source the income to the partner’s domicile or residence under any circumstances.</w:t>
      </w:r>
    </w:p>
    <w:p w14:paraId="63F3198C" w14:textId="5928C782" w:rsidR="00925E90" w:rsidRDefault="00F56481" w:rsidP="00E80F48">
      <w:pPr>
        <w:pStyle w:val="Heading2"/>
      </w:pPr>
      <w:bookmarkStart w:id="69" w:name="_Toc195435258"/>
      <w:r>
        <w:lastRenderedPageBreak/>
        <w:t>II.</w:t>
      </w:r>
      <w:r w:rsidR="00E80F48">
        <w:t>B</w:t>
      </w:r>
      <w:r>
        <w:t xml:space="preserve">. </w:t>
      </w:r>
      <w:r w:rsidR="00E10036">
        <w:t>Use of Blended Apportionment</w:t>
      </w:r>
      <w:bookmarkEnd w:id="69"/>
      <w:r w:rsidR="00E10036">
        <w:t xml:space="preserve"> </w:t>
      </w:r>
    </w:p>
    <w:p w14:paraId="0A52235F" w14:textId="77777777" w:rsidR="000B7884" w:rsidRDefault="004D00C2" w:rsidP="00E80F48">
      <w:r>
        <w:t xml:space="preserve">In general, </w:t>
      </w:r>
      <w:r w:rsidR="00532302">
        <w:t>“</w:t>
      </w:r>
      <w:r>
        <w:t>blended apportionment</w:t>
      </w:r>
      <w:r w:rsidR="00532302">
        <w:t>”</w:t>
      </w:r>
      <w:r>
        <w:t xml:space="preserve"> </w:t>
      </w:r>
      <w:r w:rsidR="004F7B95">
        <w:t xml:space="preserve">uses </w:t>
      </w:r>
      <w:r w:rsidR="00532302">
        <w:t xml:space="preserve">an apportionment formula that combines the partner’s share of the </w:t>
      </w:r>
      <w:r>
        <w:t>partnership</w:t>
      </w:r>
      <w:r w:rsidR="00532302">
        <w:t>’s apportionment factors</w:t>
      </w:r>
      <w:r w:rsidR="00F34D39">
        <w:t xml:space="preserve"> with the partner’s own factors</w:t>
      </w:r>
      <w:r w:rsidR="00532302">
        <w:t xml:space="preserve">. This blended formula is then applied to the partner’s </w:t>
      </w:r>
      <w:r w:rsidR="00F34D39">
        <w:t>total apportionable</w:t>
      </w:r>
      <w:r w:rsidR="00532302">
        <w:t xml:space="preserve"> income</w:t>
      </w:r>
      <w:r w:rsidR="00F34D39">
        <w:t xml:space="preserve">, including its </w:t>
      </w:r>
      <w:r w:rsidR="00532302">
        <w:t xml:space="preserve">share of </w:t>
      </w:r>
      <w:r w:rsidR="00F34D39">
        <w:t>the partnership’s apportionable income</w:t>
      </w:r>
      <w:r>
        <w:t xml:space="preserve">. </w:t>
      </w:r>
      <w:r w:rsidR="00F34D39">
        <w:t>Discussion of this blended apportionment method will</w:t>
      </w:r>
      <w:r>
        <w:t xml:space="preserve"> generally focus on the receipts factor, </w:t>
      </w:r>
      <w:r w:rsidR="00F34D39">
        <w:t>but its application to</w:t>
      </w:r>
      <w:r>
        <w:t xml:space="preserve"> property and payroll factors would be similar. </w:t>
      </w:r>
    </w:p>
    <w:p w14:paraId="4B9FBDA1" w14:textId="773A155A" w:rsidR="00E80F48" w:rsidRDefault="004D00C2" w:rsidP="00E80F48">
      <w:r>
        <w:t xml:space="preserve">Importantly, </w:t>
      </w:r>
      <w:r w:rsidR="00F34D39">
        <w:t xml:space="preserve">the sourcing results will vary depending on whether income of the partner and partnership is apportioned separately or whether blended apportionment is used. Therefore, states should clearly specify the use of blended apportionment. </w:t>
      </w:r>
    </w:p>
    <w:p w14:paraId="438FCEE6" w14:textId="237926F6" w:rsidR="007D7E35" w:rsidRDefault="005E665C" w:rsidP="007D7E35">
      <w:pPr>
        <w:pStyle w:val="Heading3"/>
      </w:pPr>
      <w:bookmarkStart w:id="70" w:name="_Toc195435259"/>
      <w:r>
        <w:t xml:space="preserve">Effect of </w:t>
      </w:r>
      <w:r w:rsidR="007D7E35">
        <w:t>Blended Apportionment – Simple Example</w:t>
      </w:r>
      <w:bookmarkEnd w:id="70"/>
    </w:p>
    <w:p w14:paraId="42C1E644" w14:textId="3CFD4CBE" w:rsidR="00E80F48" w:rsidRDefault="00E80F48" w:rsidP="00E80F48">
      <w:r>
        <w:t xml:space="preserve">For example, assume Corporation is a partner in Partnership and is allocated </w:t>
      </w:r>
      <w:r w:rsidR="00F31935">
        <w:t>2</w:t>
      </w:r>
      <w:r>
        <w:t xml:space="preserve">0% of </w:t>
      </w:r>
      <w:r w:rsidR="00F31935">
        <w:t xml:space="preserve">the </w:t>
      </w:r>
      <w:r>
        <w:t xml:space="preserve">Partnership’s income. For State X, </w:t>
      </w:r>
      <w:r w:rsidR="00F34D39">
        <w:t xml:space="preserve">the </w:t>
      </w:r>
      <w:r>
        <w:t>income and apportionment factors are as follows:</w:t>
      </w:r>
    </w:p>
    <w:tbl>
      <w:tblPr>
        <w:tblStyle w:val="TableGrid"/>
        <w:tblW w:w="0" w:type="auto"/>
        <w:tblInd w:w="805" w:type="dxa"/>
        <w:tblCellMar>
          <w:top w:w="29" w:type="dxa"/>
          <w:bottom w:w="29" w:type="dxa"/>
        </w:tblCellMar>
        <w:tblLook w:val="04A0" w:firstRow="1" w:lastRow="0" w:firstColumn="1" w:lastColumn="0" w:noHBand="0" w:noVBand="1"/>
      </w:tblPr>
      <w:tblGrid>
        <w:gridCol w:w="3420"/>
        <w:gridCol w:w="2070"/>
        <w:gridCol w:w="2070"/>
      </w:tblGrid>
      <w:tr w:rsidR="00E80F48" w14:paraId="12817ECE" w14:textId="77777777" w:rsidTr="005E665C">
        <w:tc>
          <w:tcPr>
            <w:tcW w:w="3420" w:type="dxa"/>
          </w:tcPr>
          <w:p w14:paraId="21F2C39F" w14:textId="77777777" w:rsidR="00E80F48" w:rsidRPr="00F34D39" w:rsidRDefault="00E80F48" w:rsidP="00E80F48">
            <w:pPr>
              <w:rPr>
                <w:sz w:val="18"/>
                <w:szCs w:val="18"/>
              </w:rPr>
            </w:pPr>
          </w:p>
        </w:tc>
        <w:tc>
          <w:tcPr>
            <w:tcW w:w="2070" w:type="dxa"/>
          </w:tcPr>
          <w:p w14:paraId="79476461" w14:textId="09CB9032" w:rsidR="00E80F48" w:rsidRPr="00F34D39" w:rsidRDefault="00E80F48" w:rsidP="00E80F48">
            <w:pPr>
              <w:jc w:val="center"/>
              <w:rPr>
                <w:sz w:val="18"/>
                <w:szCs w:val="18"/>
              </w:rPr>
            </w:pPr>
            <w:r w:rsidRPr="00F34D39">
              <w:rPr>
                <w:sz w:val="18"/>
                <w:szCs w:val="18"/>
              </w:rPr>
              <w:t>Corporation</w:t>
            </w:r>
          </w:p>
        </w:tc>
        <w:tc>
          <w:tcPr>
            <w:tcW w:w="2070" w:type="dxa"/>
          </w:tcPr>
          <w:p w14:paraId="42E2D13A" w14:textId="73E6ECDE" w:rsidR="00E80F48" w:rsidRPr="00F34D39" w:rsidRDefault="00E80F48" w:rsidP="00E80F48">
            <w:pPr>
              <w:jc w:val="center"/>
              <w:rPr>
                <w:sz w:val="18"/>
                <w:szCs w:val="18"/>
              </w:rPr>
            </w:pPr>
            <w:r w:rsidRPr="00F34D39">
              <w:rPr>
                <w:sz w:val="18"/>
                <w:szCs w:val="18"/>
              </w:rPr>
              <w:t>Partnership</w:t>
            </w:r>
          </w:p>
        </w:tc>
      </w:tr>
      <w:tr w:rsidR="00E80F48" w14:paraId="7EB358DD" w14:textId="77777777" w:rsidTr="005E665C">
        <w:tc>
          <w:tcPr>
            <w:tcW w:w="3420" w:type="dxa"/>
          </w:tcPr>
          <w:p w14:paraId="0CEA6B6C" w14:textId="36082648" w:rsidR="00E80F48" w:rsidRPr="00F34D39" w:rsidRDefault="00E80F48" w:rsidP="00E80F48">
            <w:pPr>
              <w:rPr>
                <w:sz w:val="18"/>
                <w:szCs w:val="18"/>
              </w:rPr>
            </w:pPr>
            <w:r w:rsidRPr="00F34D39">
              <w:rPr>
                <w:sz w:val="18"/>
                <w:szCs w:val="18"/>
              </w:rPr>
              <w:t>Income (Apportionable)</w:t>
            </w:r>
          </w:p>
        </w:tc>
        <w:tc>
          <w:tcPr>
            <w:tcW w:w="2070" w:type="dxa"/>
          </w:tcPr>
          <w:p w14:paraId="1827C5C2" w14:textId="36C47053" w:rsidR="00E80F48" w:rsidRPr="00F34D39" w:rsidRDefault="00E80F48" w:rsidP="00E80F48">
            <w:pPr>
              <w:jc w:val="right"/>
              <w:rPr>
                <w:sz w:val="18"/>
                <w:szCs w:val="18"/>
              </w:rPr>
            </w:pPr>
            <w:r w:rsidRPr="00F34D39">
              <w:rPr>
                <w:sz w:val="18"/>
                <w:szCs w:val="18"/>
              </w:rPr>
              <w:t>$ 1</w:t>
            </w:r>
            <w:r w:rsidR="00F31935" w:rsidRPr="00F34D39">
              <w:rPr>
                <w:sz w:val="18"/>
                <w:szCs w:val="18"/>
              </w:rPr>
              <w:t>0</w:t>
            </w:r>
            <w:r w:rsidRPr="00F34D39">
              <w:rPr>
                <w:sz w:val="18"/>
                <w:szCs w:val="18"/>
              </w:rPr>
              <w:t>,000,000</w:t>
            </w:r>
          </w:p>
        </w:tc>
        <w:tc>
          <w:tcPr>
            <w:tcW w:w="2070" w:type="dxa"/>
          </w:tcPr>
          <w:p w14:paraId="48DA6DCE" w14:textId="7B681443" w:rsidR="00E80F48" w:rsidRPr="00F34D39" w:rsidRDefault="00E80F48" w:rsidP="00E80F48">
            <w:pPr>
              <w:jc w:val="right"/>
              <w:rPr>
                <w:sz w:val="18"/>
                <w:szCs w:val="18"/>
              </w:rPr>
            </w:pPr>
            <w:r w:rsidRPr="00F34D39">
              <w:rPr>
                <w:sz w:val="18"/>
                <w:szCs w:val="18"/>
              </w:rPr>
              <w:t>$</w:t>
            </w:r>
            <w:r w:rsidR="000A5DEB" w:rsidRPr="00F34D39">
              <w:rPr>
                <w:sz w:val="18"/>
                <w:szCs w:val="18"/>
              </w:rPr>
              <w:t>2</w:t>
            </w:r>
            <w:r w:rsidRPr="00F34D39">
              <w:rPr>
                <w:sz w:val="18"/>
                <w:szCs w:val="18"/>
              </w:rPr>
              <w:t>,000,000</w:t>
            </w:r>
          </w:p>
        </w:tc>
      </w:tr>
      <w:tr w:rsidR="00E80F48" w14:paraId="53942F24" w14:textId="77777777" w:rsidTr="005E665C">
        <w:tc>
          <w:tcPr>
            <w:tcW w:w="3420" w:type="dxa"/>
          </w:tcPr>
          <w:p w14:paraId="41651F1B" w14:textId="4D198970" w:rsidR="00E80F48" w:rsidRPr="00F34D39" w:rsidRDefault="00E80F48" w:rsidP="00E80F48">
            <w:pPr>
              <w:rPr>
                <w:sz w:val="18"/>
                <w:szCs w:val="18"/>
              </w:rPr>
            </w:pPr>
            <w:r w:rsidRPr="00F34D39">
              <w:rPr>
                <w:sz w:val="18"/>
                <w:szCs w:val="18"/>
              </w:rPr>
              <w:t>Receipts in State X</w:t>
            </w:r>
          </w:p>
        </w:tc>
        <w:tc>
          <w:tcPr>
            <w:tcW w:w="2070" w:type="dxa"/>
          </w:tcPr>
          <w:p w14:paraId="5F671C5C" w14:textId="08D3A41C" w:rsidR="00E80F48" w:rsidRPr="00F34D39" w:rsidRDefault="00E80F48" w:rsidP="00E80F48">
            <w:pPr>
              <w:jc w:val="right"/>
              <w:rPr>
                <w:sz w:val="18"/>
                <w:szCs w:val="18"/>
              </w:rPr>
            </w:pPr>
            <w:r w:rsidRPr="00F34D39">
              <w:rPr>
                <w:sz w:val="18"/>
                <w:szCs w:val="18"/>
              </w:rPr>
              <w:t>$10,000,000</w:t>
            </w:r>
          </w:p>
        </w:tc>
        <w:tc>
          <w:tcPr>
            <w:tcW w:w="2070" w:type="dxa"/>
          </w:tcPr>
          <w:p w14:paraId="11B7CF30" w14:textId="3E9404C6" w:rsidR="00E80F48" w:rsidRPr="00F34D39" w:rsidRDefault="00E80F48" w:rsidP="00E80F48">
            <w:pPr>
              <w:jc w:val="right"/>
              <w:rPr>
                <w:sz w:val="18"/>
                <w:szCs w:val="18"/>
              </w:rPr>
            </w:pPr>
            <w:r w:rsidRPr="00F34D39">
              <w:rPr>
                <w:sz w:val="18"/>
                <w:szCs w:val="18"/>
              </w:rPr>
              <w:t>$</w:t>
            </w:r>
            <w:r w:rsidR="00D15078" w:rsidRPr="00F34D39">
              <w:rPr>
                <w:sz w:val="18"/>
                <w:szCs w:val="18"/>
              </w:rPr>
              <w:t>5</w:t>
            </w:r>
            <w:r w:rsidRPr="00F34D39">
              <w:rPr>
                <w:sz w:val="18"/>
                <w:szCs w:val="18"/>
              </w:rPr>
              <w:t>0,000,000</w:t>
            </w:r>
          </w:p>
        </w:tc>
      </w:tr>
      <w:tr w:rsidR="00E80F48" w14:paraId="199FEF1C" w14:textId="77777777" w:rsidTr="005E665C">
        <w:tc>
          <w:tcPr>
            <w:tcW w:w="3420" w:type="dxa"/>
          </w:tcPr>
          <w:p w14:paraId="6656DFDC" w14:textId="7D31506B" w:rsidR="00E80F48" w:rsidRPr="00F34D39" w:rsidRDefault="00E80F48" w:rsidP="00E80F48">
            <w:pPr>
              <w:rPr>
                <w:sz w:val="18"/>
                <w:szCs w:val="18"/>
              </w:rPr>
            </w:pPr>
            <w:r w:rsidRPr="00F34D39">
              <w:rPr>
                <w:sz w:val="18"/>
                <w:szCs w:val="18"/>
              </w:rPr>
              <w:t>Receipts Everywhere</w:t>
            </w:r>
          </w:p>
        </w:tc>
        <w:tc>
          <w:tcPr>
            <w:tcW w:w="2070" w:type="dxa"/>
          </w:tcPr>
          <w:p w14:paraId="2DD6FB0D" w14:textId="2AF225E3" w:rsidR="00E80F48" w:rsidRPr="00F34D39" w:rsidRDefault="00E80F48" w:rsidP="00E80F48">
            <w:pPr>
              <w:jc w:val="right"/>
              <w:rPr>
                <w:sz w:val="18"/>
                <w:szCs w:val="18"/>
              </w:rPr>
            </w:pPr>
            <w:r w:rsidRPr="00F34D39">
              <w:rPr>
                <w:sz w:val="18"/>
                <w:szCs w:val="18"/>
              </w:rPr>
              <w:t>$100,000,000</w:t>
            </w:r>
          </w:p>
        </w:tc>
        <w:tc>
          <w:tcPr>
            <w:tcW w:w="2070" w:type="dxa"/>
          </w:tcPr>
          <w:p w14:paraId="2B69EC6E" w14:textId="11D5D11E" w:rsidR="00E80F48" w:rsidRPr="00F34D39" w:rsidRDefault="00E80F48" w:rsidP="00E80F48">
            <w:pPr>
              <w:jc w:val="right"/>
              <w:rPr>
                <w:sz w:val="18"/>
                <w:szCs w:val="18"/>
              </w:rPr>
            </w:pPr>
            <w:r w:rsidRPr="00F34D39">
              <w:rPr>
                <w:sz w:val="18"/>
                <w:szCs w:val="18"/>
              </w:rPr>
              <w:t>$100,000,000</w:t>
            </w:r>
          </w:p>
        </w:tc>
      </w:tr>
      <w:tr w:rsidR="00E80F48" w14:paraId="5E5DB90E" w14:textId="77777777" w:rsidTr="005E665C">
        <w:tc>
          <w:tcPr>
            <w:tcW w:w="3420" w:type="dxa"/>
          </w:tcPr>
          <w:p w14:paraId="3D3EA30E" w14:textId="076B0C7C" w:rsidR="00E80F48" w:rsidRPr="00F34D39" w:rsidRDefault="00E80F48" w:rsidP="00E80F48">
            <w:pPr>
              <w:rPr>
                <w:sz w:val="18"/>
                <w:szCs w:val="18"/>
              </w:rPr>
            </w:pPr>
            <w:r w:rsidRPr="00F34D39">
              <w:rPr>
                <w:sz w:val="18"/>
                <w:szCs w:val="18"/>
              </w:rPr>
              <w:t>State X Receipts Factor</w:t>
            </w:r>
          </w:p>
        </w:tc>
        <w:tc>
          <w:tcPr>
            <w:tcW w:w="2070" w:type="dxa"/>
          </w:tcPr>
          <w:p w14:paraId="27023790" w14:textId="2DDEF8A8" w:rsidR="00E80F48" w:rsidRPr="00F34D39" w:rsidRDefault="000A5DEB" w:rsidP="00E80F48">
            <w:pPr>
              <w:jc w:val="right"/>
              <w:rPr>
                <w:sz w:val="18"/>
                <w:szCs w:val="18"/>
              </w:rPr>
            </w:pPr>
            <w:r w:rsidRPr="00F34D39">
              <w:rPr>
                <w:sz w:val="18"/>
                <w:szCs w:val="18"/>
              </w:rPr>
              <w:t>10%</w:t>
            </w:r>
          </w:p>
        </w:tc>
        <w:tc>
          <w:tcPr>
            <w:tcW w:w="2070" w:type="dxa"/>
          </w:tcPr>
          <w:p w14:paraId="1B1A633C" w14:textId="2D85F7C0" w:rsidR="00E80F48" w:rsidRPr="00F34D39" w:rsidRDefault="00D15078" w:rsidP="00E80F48">
            <w:pPr>
              <w:jc w:val="right"/>
              <w:rPr>
                <w:sz w:val="18"/>
                <w:szCs w:val="18"/>
              </w:rPr>
            </w:pPr>
            <w:r w:rsidRPr="00F34D39">
              <w:rPr>
                <w:sz w:val="18"/>
                <w:szCs w:val="18"/>
              </w:rPr>
              <w:t>5</w:t>
            </w:r>
            <w:r w:rsidR="000A5DEB" w:rsidRPr="00F34D39">
              <w:rPr>
                <w:sz w:val="18"/>
                <w:szCs w:val="18"/>
              </w:rPr>
              <w:t>0%</w:t>
            </w:r>
          </w:p>
        </w:tc>
      </w:tr>
    </w:tbl>
    <w:p w14:paraId="5254CD71" w14:textId="4D8B33F7" w:rsidR="000A5DEB" w:rsidRDefault="000A5DEB" w:rsidP="000A5DEB">
      <w:pPr>
        <w:spacing w:after="0"/>
      </w:pPr>
    </w:p>
    <w:p w14:paraId="52CF3452" w14:textId="77777777" w:rsidR="000B7884" w:rsidRDefault="000B7884" w:rsidP="00E80F48">
      <w:r>
        <w:t xml:space="preserve">If </w:t>
      </w:r>
      <w:r w:rsidR="000A5DEB">
        <w:t>Corporation and Partnership separately apportion their income</w:t>
      </w:r>
      <w:r w:rsidR="00747804">
        <w:t xml:space="preserve"> using their own factors</w:t>
      </w:r>
      <w:r w:rsidR="000A5DEB">
        <w:t xml:space="preserve">, </w:t>
      </w:r>
      <w:r>
        <w:t xml:space="preserve">the result would be: </w:t>
      </w:r>
    </w:p>
    <w:tbl>
      <w:tblPr>
        <w:tblStyle w:val="TableGrid"/>
        <w:tblW w:w="0" w:type="auto"/>
        <w:tblInd w:w="985" w:type="dxa"/>
        <w:tblCellMar>
          <w:top w:w="29" w:type="dxa"/>
          <w:bottom w:w="29" w:type="dxa"/>
        </w:tblCellMar>
        <w:tblLook w:val="04A0" w:firstRow="1" w:lastRow="0" w:firstColumn="1" w:lastColumn="0" w:noHBand="0" w:noVBand="1"/>
      </w:tblPr>
      <w:tblGrid>
        <w:gridCol w:w="6030"/>
        <w:gridCol w:w="1260"/>
      </w:tblGrid>
      <w:tr w:rsidR="000B7884" w:rsidRPr="00F34D39" w14:paraId="340358BB" w14:textId="77777777" w:rsidTr="005E665C">
        <w:tc>
          <w:tcPr>
            <w:tcW w:w="6030" w:type="dxa"/>
          </w:tcPr>
          <w:p w14:paraId="4B3B9454" w14:textId="77777777" w:rsidR="000B7884" w:rsidRPr="00F34D39" w:rsidRDefault="000B7884" w:rsidP="00F33047">
            <w:pPr>
              <w:rPr>
                <w:sz w:val="18"/>
                <w:szCs w:val="18"/>
              </w:rPr>
            </w:pPr>
          </w:p>
        </w:tc>
        <w:tc>
          <w:tcPr>
            <w:tcW w:w="1260" w:type="dxa"/>
          </w:tcPr>
          <w:p w14:paraId="47B6345B" w14:textId="5D86E683" w:rsidR="000B7884" w:rsidRPr="00F34D39" w:rsidRDefault="000B7884" w:rsidP="00F33047">
            <w:pPr>
              <w:jc w:val="center"/>
              <w:rPr>
                <w:sz w:val="18"/>
                <w:szCs w:val="18"/>
              </w:rPr>
            </w:pPr>
            <w:r>
              <w:rPr>
                <w:sz w:val="18"/>
                <w:szCs w:val="18"/>
              </w:rPr>
              <w:t>Result</w:t>
            </w:r>
          </w:p>
        </w:tc>
      </w:tr>
      <w:tr w:rsidR="000B7884" w:rsidRPr="00F34D39" w14:paraId="3C05A9FE" w14:textId="77777777" w:rsidTr="005E665C">
        <w:tc>
          <w:tcPr>
            <w:tcW w:w="6030" w:type="dxa"/>
          </w:tcPr>
          <w:p w14:paraId="7F6FD752" w14:textId="064AD8EA" w:rsidR="000B7884" w:rsidRPr="00F34D39" w:rsidRDefault="000B7884" w:rsidP="00F33047">
            <w:pPr>
              <w:rPr>
                <w:sz w:val="18"/>
                <w:szCs w:val="18"/>
              </w:rPr>
            </w:pPr>
            <w:r>
              <w:rPr>
                <w:sz w:val="18"/>
                <w:szCs w:val="18"/>
              </w:rPr>
              <w:t>Corporation’s own State X income (10% of $10 million)</w:t>
            </w:r>
          </w:p>
        </w:tc>
        <w:tc>
          <w:tcPr>
            <w:tcW w:w="1260" w:type="dxa"/>
          </w:tcPr>
          <w:p w14:paraId="00A45962" w14:textId="15B67C91" w:rsidR="000B7884" w:rsidRPr="00F34D39" w:rsidRDefault="000B7884" w:rsidP="00F33047">
            <w:pPr>
              <w:jc w:val="right"/>
              <w:rPr>
                <w:sz w:val="18"/>
                <w:szCs w:val="18"/>
              </w:rPr>
            </w:pPr>
            <w:r w:rsidRPr="00F34D39">
              <w:rPr>
                <w:sz w:val="18"/>
                <w:szCs w:val="18"/>
              </w:rPr>
              <w:t>$ 1,000,000</w:t>
            </w:r>
          </w:p>
        </w:tc>
      </w:tr>
      <w:tr w:rsidR="000B7884" w:rsidRPr="00F34D39" w14:paraId="38425A16" w14:textId="77777777" w:rsidTr="005E665C">
        <w:tc>
          <w:tcPr>
            <w:tcW w:w="6030" w:type="dxa"/>
          </w:tcPr>
          <w:p w14:paraId="40574141" w14:textId="6C3CFEED" w:rsidR="000B7884" w:rsidRPr="00F34D39" w:rsidRDefault="000B7884" w:rsidP="00F33047">
            <w:pPr>
              <w:rPr>
                <w:sz w:val="18"/>
                <w:szCs w:val="18"/>
              </w:rPr>
            </w:pPr>
            <w:r>
              <w:rPr>
                <w:sz w:val="18"/>
                <w:szCs w:val="18"/>
              </w:rPr>
              <w:t>Corporation’s 20% share of Partnership’s State X income (50% of $2 million)</w:t>
            </w:r>
          </w:p>
        </w:tc>
        <w:tc>
          <w:tcPr>
            <w:tcW w:w="1260" w:type="dxa"/>
          </w:tcPr>
          <w:p w14:paraId="6E6F2098" w14:textId="33C84895" w:rsidR="000B7884" w:rsidRPr="00F34D39" w:rsidRDefault="000B7884" w:rsidP="00F33047">
            <w:pPr>
              <w:jc w:val="right"/>
              <w:rPr>
                <w:sz w:val="18"/>
                <w:szCs w:val="18"/>
              </w:rPr>
            </w:pPr>
            <w:r w:rsidRPr="00F34D39">
              <w:rPr>
                <w:sz w:val="18"/>
                <w:szCs w:val="18"/>
              </w:rPr>
              <w:t>$</w:t>
            </w:r>
            <w:r>
              <w:rPr>
                <w:sz w:val="18"/>
                <w:szCs w:val="18"/>
              </w:rPr>
              <w:t>2</w:t>
            </w:r>
            <w:r w:rsidRPr="00F34D39">
              <w:rPr>
                <w:sz w:val="18"/>
                <w:szCs w:val="18"/>
              </w:rPr>
              <w:t>00,000</w:t>
            </w:r>
          </w:p>
        </w:tc>
      </w:tr>
      <w:tr w:rsidR="000B7884" w:rsidRPr="00F34D39" w14:paraId="41804682" w14:textId="77777777" w:rsidTr="005E665C">
        <w:tc>
          <w:tcPr>
            <w:tcW w:w="6030" w:type="dxa"/>
          </w:tcPr>
          <w:p w14:paraId="6486C300" w14:textId="4850F0A1" w:rsidR="000B7884" w:rsidRPr="00F34D39" w:rsidRDefault="000B7884" w:rsidP="00F33047">
            <w:pPr>
              <w:rPr>
                <w:sz w:val="18"/>
                <w:szCs w:val="18"/>
              </w:rPr>
            </w:pPr>
            <w:r>
              <w:rPr>
                <w:sz w:val="18"/>
                <w:szCs w:val="18"/>
              </w:rPr>
              <w:t>Total State X income</w:t>
            </w:r>
          </w:p>
        </w:tc>
        <w:tc>
          <w:tcPr>
            <w:tcW w:w="1260" w:type="dxa"/>
          </w:tcPr>
          <w:p w14:paraId="20F3BC01" w14:textId="01664C00" w:rsidR="000B7884" w:rsidRPr="000B7884" w:rsidRDefault="000B7884" w:rsidP="00F33047">
            <w:pPr>
              <w:jc w:val="right"/>
              <w:rPr>
                <w:b/>
                <w:bCs/>
                <w:sz w:val="18"/>
                <w:szCs w:val="18"/>
              </w:rPr>
            </w:pPr>
            <w:r w:rsidRPr="000B7884">
              <w:rPr>
                <w:b/>
                <w:bCs/>
                <w:sz w:val="18"/>
                <w:szCs w:val="18"/>
              </w:rPr>
              <w:t>$1,200,000</w:t>
            </w:r>
          </w:p>
        </w:tc>
      </w:tr>
    </w:tbl>
    <w:p w14:paraId="2E5DA7A9" w14:textId="7267AF7D" w:rsidR="000A5DEB" w:rsidRDefault="000A5DEB" w:rsidP="000B7884">
      <w:pPr>
        <w:spacing w:before="240"/>
      </w:pPr>
      <w:r>
        <w:t>But if Corporation</w:t>
      </w:r>
      <w:r w:rsidR="00F31935">
        <w:t xml:space="preserve"> uses blended apportionment, it would include </w:t>
      </w:r>
      <w:r>
        <w:t xml:space="preserve">its </w:t>
      </w:r>
      <w:r w:rsidR="00F31935">
        <w:t xml:space="preserve">total </w:t>
      </w:r>
      <w:r>
        <w:t xml:space="preserve">share of </w:t>
      </w:r>
      <w:r w:rsidR="00F65D57">
        <w:t xml:space="preserve">Partnership’s </w:t>
      </w:r>
      <w:r>
        <w:t>income in its apportionable income and also include its share of Partnership’s factors</w:t>
      </w:r>
      <w:r w:rsidR="00F31935">
        <w:t xml:space="preserve"> in the apportionment formula. </w:t>
      </w:r>
      <w:r w:rsidR="000B7884">
        <w:t>So the result would be</w:t>
      </w:r>
      <w:r>
        <w:t>:</w:t>
      </w:r>
    </w:p>
    <w:tbl>
      <w:tblPr>
        <w:tblStyle w:val="TableGrid"/>
        <w:tblW w:w="0" w:type="auto"/>
        <w:tblInd w:w="265" w:type="dxa"/>
        <w:tblCellMar>
          <w:top w:w="29" w:type="dxa"/>
          <w:bottom w:w="29" w:type="dxa"/>
        </w:tblCellMar>
        <w:tblLook w:val="04A0" w:firstRow="1" w:lastRow="0" w:firstColumn="1" w:lastColumn="0" w:noHBand="0" w:noVBand="1"/>
      </w:tblPr>
      <w:tblGrid>
        <w:gridCol w:w="5040"/>
        <w:gridCol w:w="1710"/>
        <w:gridCol w:w="1620"/>
      </w:tblGrid>
      <w:tr w:rsidR="0010241B" w14:paraId="482C60AE" w14:textId="7ADAC181" w:rsidTr="005E665C">
        <w:tc>
          <w:tcPr>
            <w:tcW w:w="5040" w:type="dxa"/>
          </w:tcPr>
          <w:p w14:paraId="42174677" w14:textId="77777777" w:rsidR="0010241B" w:rsidRPr="00F34D39" w:rsidRDefault="0010241B" w:rsidP="0000304D">
            <w:pPr>
              <w:rPr>
                <w:sz w:val="18"/>
                <w:szCs w:val="18"/>
              </w:rPr>
            </w:pPr>
          </w:p>
        </w:tc>
        <w:tc>
          <w:tcPr>
            <w:tcW w:w="1710" w:type="dxa"/>
          </w:tcPr>
          <w:p w14:paraId="11F72218" w14:textId="3AADAB1C" w:rsidR="0010241B" w:rsidRPr="00F34D39" w:rsidRDefault="0010241B" w:rsidP="0000304D">
            <w:pPr>
              <w:jc w:val="center"/>
              <w:rPr>
                <w:sz w:val="18"/>
                <w:szCs w:val="18"/>
              </w:rPr>
            </w:pPr>
            <w:r w:rsidRPr="00F34D39">
              <w:rPr>
                <w:sz w:val="18"/>
                <w:szCs w:val="18"/>
              </w:rPr>
              <w:t xml:space="preserve">Separate </w:t>
            </w:r>
            <w:r w:rsidR="00F34D39">
              <w:rPr>
                <w:sz w:val="18"/>
                <w:szCs w:val="18"/>
              </w:rPr>
              <w:t>A</w:t>
            </w:r>
            <w:r w:rsidRPr="00F34D39">
              <w:rPr>
                <w:sz w:val="18"/>
                <w:szCs w:val="18"/>
              </w:rPr>
              <w:t>mounts</w:t>
            </w:r>
          </w:p>
        </w:tc>
        <w:tc>
          <w:tcPr>
            <w:tcW w:w="1620" w:type="dxa"/>
          </w:tcPr>
          <w:p w14:paraId="353E7A4F" w14:textId="01964A2A" w:rsidR="0010241B" w:rsidRPr="00F34D39" w:rsidRDefault="0010241B" w:rsidP="0000304D">
            <w:pPr>
              <w:jc w:val="center"/>
              <w:rPr>
                <w:sz w:val="18"/>
                <w:szCs w:val="18"/>
              </w:rPr>
            </w:pPr>
            <w:r w:rsidRPr="00F34D39">
              <w:rPr>
                <w:sz w:val="18"/>
                <w:szCs w:val="18"/>
              </w:rPr>
              <w:t>Blended Amounts</w:t>
            </w:r>
          </w:p>
        </w:tc>
      </w:tr>
      <w:tr w:rsidR="0010241B" w14:paraId="5D5BC95A" w14:textId="52969E20" w:rsidTr="005E665C">
        <w:tc>
          <w:tcPr>
            <w:tcW w:w="5040" w:type="dxa"/>
          </w:tcPr>
          <w:p w14:paraId="6985DA89" w14:textId="493300B6" w:rsidR="0010241B" w:rsidRPr="00F34D39" w:rsidRDefault="0010241B" w:rsidP="0000304D">
            <w:pPr>
              <w:rPr>
                <w:sz w:val="18"/>
                <w:szCs w:val="18"/>
              </w:rPr>
            </w:pPr>
            <w:r w:rsidRPr="00F34D39">
              <w:rPr>
                <w:sz w:val="18"/>
                <w:szCs w:val="18"/>
              </w:rPr>
              <w:t>Corporation’s Own Income</w:t>
            </w:r>
          </w:p>
        </w:tc>
        <w:tc>
          <w:tcPr>
            <w:tcW w:w="1710" w:type="dxa"/>
          </w:tcPr>
          <w:p w14:paraId="4F1DA61E" w14:textId="6B0570EA" w:rsidR="0010241B" w:rsidRPr="00F34D39" w:rsidRDefault="0010241B" w:rsidP="0000304D">
            <w:pPr>
              <w:jc w:val="right"/>
              <w:rPr>
                <w:sz w:val="18"/>
                <w:szCs w:val="18"/>
              </w:rPr>
            </w:pPr>
            <w:r w:rsidRPr="00F34D39">
              <w:rPr>
                <w:sz w:val="18"/>
                <w:szCs w:val="18"/>
              </w:rPr>
              <w:t>$10,000,000</w:t>
            </w:r>
          </w:p>
        </w:tc>
        <w:tc>
          <w:tcPr>
            <w:tcW w:w="1620" w:type="dxa"/>
          </w:tcPr>
          <w:p w14:paraId="773D205E" w14:textId="77777777" w:rsidR="0010241B" w:rsidRPr="00F34D39" w:rsidRDefault="0010241B" w:rsidP="0000304D">
            <w:pPr>
              <w:jc w:val="right"/>
              <w:rPr>
                <w:sz w:val="18"/>
                <w:szCs w:val="18"/>
              </w:rPr>
            </w:pPr>
          </w:p>
        </w:tc>
      </w:tr>
      <w:tr w:rsidR="0010241B" w14:paraId="7603116B" w14:textId="7A96B570" w:rsidTr="005E665C">
        <w:tc>
          <w:tcPr>
            <w:tcW w:w="5040" w:type="dxa"/>
          </w:tcPr>
          <w:p w14:paraId="228908AD" w14:textId="349ECF1A" w:rsidR="0010241B" w:rsidRPr="00F34D39" w:rsidRDefault="0010241B" w:rsidP="0000304D">
            <w:pPr>
              <w:rPr>
                <w:sz w:val="18"/>
                <w:szCs w:val="18"/>
              </w:rPr>
            </w:pPr>
            <w:r w:rsidRPr="00F34D39">
              <w:rPr>
                <w:sz w:val="18"/>
                <w:szCs w:val="18"/>
              </w:rPr>
              <w:t>Corporation’s Share of Partnership Income (20%)</w:t>
            </w:r>
          </w:p>
        </w:tc>
        <w:tc>
          <w:tcPr>
            <w:tcW w:w="1710" w:type="dxa"/>
          </w:tcPr>
          <w:p w14:paraId="7E1E99EE" w14:textId="126627F7" w:rsidR="0010241B" w:rsidRPr="00F34D39" w:rsidRDefault="0010241B" w:rsidP="0000304D">
            <w:pPr>
              <w:jc w:val="right"/>
              <w:rPr>
                <w:sz w:val="18"/>
                <w:szCs w:val="18"/>
              </w:rPr>
            </w:pPr>
            <w:r w:rsidRPr="00F34D39">
              <w:rPr>
                <w:sz w:val="18"/>
                <w:szCs w:val="18"/>
              </w:rPr>
              <w:t>$400,000</w:t>
            </w:r>
          </w:p>
        </w:tc>
        <w:tc>
          <w:tcPr>
            <w:tcW w:w="1620" w:type="dxa"/>
          </w:tcPr>
          <w:p w14:paraId="02BB8D91" w14:textId="238621D8" w:rsidR="0010241B" w:rsidRPr="00F34D39" w:rsidRDefault="0010241B" w:rsidP="0000304D">
            <w:pPr>
              <w:jc w:val="right"/>
              <w:rPr>
                <w:sz w:val="18"/>
                <w:szCs w:val="18"/>
              </w:rPr>
            </w:pPr>
            <w:r w:rsidRPr="00F34D39">
              <w:rPr>
                <w:b/>
                <w:bCs/>
                <w:sz w:val="18"/>
                <w:szCs w:val="18"/>
              </w:rPr>
              <w:t>$10,400,000</w:t>
            </w:r>
          </w:p>
        </w:tc>
      </w:tr>
      <w:tr w:rsidR="0010241B" w14:paraId="2EB698A2" w14:textId="40630FFE" w:rsidTr="005E665C">
        <w:tc>
          <w:tcPr>
            <w:tcW w:w="5040" w:type="dxa"/>
          </w:tcPr>
          <w:p w14:paraId="25485FBB" w14:textId="7B341F65" w:rsidR="0010241B" w:rsidRPr="00F34D39" w:rsidRDefault="0010241B" w:rsidP="0000304D">
            <w:pPr>
              <w:rPr>
                <w:sz w:val="18"/>
                <w:szCs w:val="18"/>
              </w:rPr>
            </w:pPr>
            <w:r w:rsidRPr="00F34D39">
              <w:rPr>
                <w:sz w:val="18"/>
                <w:szCs w:val="18"/>
              </w:rPr>
              <w:t>Corporation’s Receipts in State X</w:t>
            </w:r>
          </w:p>
        </w:tc>
        <w:tc>
          <w:tcPr>
            <w:tcW w:w="1710" w:type="dxa"/>
          </w:tcPr>
          <w:p w14:paraId="648D6132" w14:textId="53D01B44" w:rsidR="0010241B" w:rsidRPr="00F34D39" w:rsidRDefault="0010241B" w:rsidP="0000304D">
            <w:pPr>
              <w:jc w:val="right"/>
              <w:rPr>
                <w:sz w:val="18"/>
                <w:szCs w:val="18"/>
              </w:rPr>
            </w:pPr>
            <w:r w:rsidRPr="00F34D39">
              <w:rPr>
                <w:sz w:val="18"/>
                <w:szCs w:val="18"/>
              </w:rPr>
              <w:t>$10,000,000</w:t>
            </w:r>
          </w:p>
        </w:tc>
        <w:tc>
          <w:tcPr>
            <w:tcW w:w="1620" w:type="dxa"/>
          </w:tcPr>
          <w:p w14:paraId="33695818" w14:textId="77777777" w:rsidR="0010241B" w:rsidRPr="00F34D39" w:rsidRDefault="0010241B" w:rsidP="0000304D">
            <w:pPr>
              <w:jc w:val="right"/>
              <w:rPr>
                <w:sz w:val="18"/>
                <w:szCs w:val="18"/>
              </w:rPr>
            </w:pPr>
          </w:p>
        </w:tc>
      </w:tr>
      <w:tr w:rsidR="0010241B" w14:paraId="5E0CCA56" w14:textId="65E8B7BB" w:rsidTr="005E665C">
        <w:tc>
          <w:tcPr>
            <w:tcW w:w="5040" w:type="dxa"/>
          </w:tcPr>
          <w:p w14:paraId="2E0A4536" w14:textId="0A34D40D" w:rsidR="0010241B" w:rsidRPr="00F34D39" w:rsidRDefault="0010241B" w:rsidP="0000304D">
            <w:pPr>
              <w:rPr>
                <w:sz w:val="18"/>
                <w:szCs w:val="18"/>
              </w:rPr>
            </w:pPr>
            <w:r w:rsidRPr="00F34D39">
              <w:rPr>
                <w:sz w:val="18"/>
                <w:szCs w:val="18"/>
              </w:rPr>
              <w:t>Corporation’s Share of Partnership Receipts in State X (20%)</w:t>
            </w:r>
          </w:p>
        </w:tc>
        <w:tc>
          <w:tcPr>
            <w:tcW w:w="1710" w:type="dxa"/>
          </w:tcPr>
          <w:p w14:paraId="5B0DF199" w14:textId="48F98AD3" w:rsidR="0010241B" w:rsidRPr="00F34D39" w:rsidRDefault="0010241B" w:rsidP="0000304D">
            <w:pPr>
              <w:jc w:val="right"/>
              <w:rPr>
                <w:sz w:val="18"/>
                <w:szCs w:val="18"/>
              </w:rPr>
            </w:pPr>
            <w:r w:rsidRPr="00F34D39">
              <w:rPr>
                <w:sz w:val="18"/>
                <w:szCs w:val="18"/>
              </w:rPr>
              <w:t>$10,000,000</w:t>
            </w:r>
          </w:p>
        </w:tc>
        <w:tc>
          <w:tcPr>
            <w:tcW w:w="1620" w:type="dxa"/>
          </w:tcPr>
          <w:p w14:paraId="2BDD6065" w14:textId="3749F9D5" w:rsidR="0010241B" w:rsidRPr="00F34D39" w:rsidRDefault="0010241B" w:rsidP="0000304D">
            <w:pPr>
              <w:jc w:val="right"/>
              <w:rPr>
                <w:sz w:val="18"/>
                <w:szCs w:val="18"/>
              </w:rPr>
            </w:pPr>
            <w:r w:rsidRPr="00F34D39">
              <w:rPr>
                <w:b/>
                <w:bCs/>
                <w:sz w:val="18"/>
                <w:szCs w:val="18"/>
              </w:rPr>
              <w:t>$20,000,000</w:t>
            </w:r>
          </w:p>
        </w:tc>
      </w:tr>
      <w:tr w:rsidR="0010241B" w14:paraId="47BC72EB" w14:textId="58B362E1" w:rsidTr="005E665C">
        <w:tc>
          <w:tcPr>
            <w:tcW w:w="5040" w:type="dxa"/>
          </w:tcPr>
          <w:p w14:paraId="2BBB3244" w14:textId="0E0DD398" w:rsidR="0010241B" w:rsidRPr="00F34D39" w:rsidRDefault="0010241B" w:rsidP="0000304D">
            <w:pPr>
              <w:rPr>
                <w:sz w:val="18"/>
                <w:szCs w:val="18"/>
              </w:rPr>
            </w:pPr>
            <w:r w:rsidRPr="00F34D39">
              <w:rPr>
                <w:sz w:val="18"/>
                <w:szCs w:val="18"/>
              </w:rPr>
              <w:t>Corporation’s Everywhere Receipts</w:t>
            </w:r>
          </w:p>
        </w:tc>
        <w:tc>
          <w:tcPr>
            <w:tcW w:w="1710" w:type="dxa"/>
          </w:tcPr>
          <w:p w14:paraId="47841931" w14:textId="14EF4CF7" w:rsidR="0010241B" w:rsidRPr="00F34D39" w:rsidRDefault="0010241B" w:rsidP="0000304D">
            <w:pPr>
              <w:jc w:val="right"/>
              <w:rPr>
                <w:sz w:val="18"/>
                <w:szCs w:val="18"/>
              </w:rPr>
            </w:pPr>
            <w:r w:rsidRPr="00F34D39">
              <w:rPr>
                <w:sz w:val="18"/>
                <w:szCs w:val="18"/>
              </w:rPr>
              <w:t>$100,000,000</w:t>
            </w:r>
          </w:p>
        </w:tc>
        <w:tc>
          <w:tcPr>
            <w:tcW w:w="1620" w:type="dxa"/>
          </w:tcPr>
          <w:p w14:paraId="74E53DC8" w14:textId="77777777" w:rsidR="0010241B" w:rsidRPr="00F34D39" w:rsidRDefault="0010241B" w:rsidP="0000304D">
            <w:pPr>
              <w:jc w:val="right"/>
              <w:rPr>
                <w:sz w:val="18"/>
                <w:szCs w:val="18"/>
              </w:rPr>
            </w:pPr>
          </w:p>
        </w:tc>
      </w:tr>
      <w:tr w:rsidR="0010241B" w14:paraId="7601B695" w14:textId="2521B6A3" w:rsidTr="005E665C">
        <w:tc>
          <w:tcPr>
            <w:tcW w:w="5040" w:type="dxa"/>
          </w:tcPr>
          <w:p w14:paraId="349D2B8F" w14:textId="4BCFBAC9" w:rsidR="0010241B" w:rsidRPr="00F34D39" w:rsidRDefault="0010241B" w:rsidP="0000304D">
            <w:pPr>
              <w:rPr>
                <w:sz w:val="18"/>
                <w:szCs w:val="18"/>
              </w:rPr>
            </w:pPr>
            <w:r w:rsidRPr="00F34D39">
              <w:rPr>
                <w:sz w:val="18"/>
                <w:szCs w:val="18"/>
              </w:rPr>
              <w:t xml:space="preserve">Corporation’s Share of Partnership Everywhere Receipts (20%) </w:t>
            </w:r>
          </w:p>
        </w:tc>
        <w:tc>
          <w:tcPr>
            <w:tcW w:w="1710" w:type="dxa"/>
          </w:tcPr>
          <w:p w14:paraId="0C9CCA18" w14:textId="428EB655" w:rsidR="0010241B" w:rsidRPr="00F34D39" w:rsidRDefault="0010241B" w:rsidP="0000304D">
            <w:pPr>
              <w:jc w:val="right"/>
              <w:rPr>
                <w:sz w:val="18"/>
                <w:szCs w:val="18"/>
              </w:rPr>
            </w:pPr>
            <w:r w:rsidRPr="00F34D39">
              <w:rPr>
                <w:sz w:val="18"/>
                <w:szCs w:val="18"/>
              </w:rPr>
              <w:t>$20,000,000</w:t>
            </w:r>
          </w:p>
        </w:tc>
        <w:tc>
          <w:tcPr>
            <w:tcW w:w="1620" w:type="dxa"/>
          </w:tcPr>
          <w:p w14:paraId="19684716" w14:textId="28F7D005" w:rsidR="0010241B" w:rsidRPr="00F34D39" w:rsidRDefault="0010241B" w:rsidP="0000304D">
            <w:pPr>
              <w:jc w:val="right"/>
              <w:rPr>
                <w:sz w:val="18"/>
                <w:szCs w:val="18"/>
              </w:rPr>
            </w:pPr>
            <w:r w:rsidRPr="00F34D39">
              <w:rPr>
                <w:b/>
                <w:bCs/>
                <w:sz w:val="18"/>
                <w:szCs w:val="18"/>
              </w:rPr>
              <w:t>$120,000,000</w:t>
            </w:r>
          </w:p>
        </w:tc>
      </w:tr>
      <w:tr w:rsidR="0010241B" w14:paraId="0DDFF4B5" w14:textId="2337580E" w:rsidTr="005E665C">
        <w:tc>
          <w:tcPr>
            <w:tcW w:w="5040" w:type="dxa"/>
          </w:tcPr>
          <w:p w14:paraId="605BCAE2" w14:textId="0393180E" w:rsidR="0010241B" w:rsidRPr="00F34D39" w:rsidRDefault="0010241B" w:rsidP="0000304D">
            <w:pPr>
              <w:rPr>
                <w:sz w:val="18"/>
                <w:szCs w:val="18"/>
              </w:rPr>
            </w:pPr>
            <w:r w:rsidRPr="00F34D39">
              <w:rPr>
                <w:sz w:val="18"/>
                <w:szCs w:val="18"/>
              </w:rPr>
              <w:t>State X Blended Receipts Factor</w:t>
            </w:r>
          </w:p>
        </w:tc>
        <w:tc>
          <w:tcPr>
            <w:tcW w:w="1710" w:type="dxa"/>
          </w:tcPr>
          <w:p w14:paraId="3C8322EF" w14:textId="7E37BD2B" w:rsidR="0010241B" w:rsidRPr="00F34D39" w:rsidRDefault="0010241B" w:rsidP="0000304D">
            <w:pPr>
              <w:jc w:val="right"/>
              <w:rPr>
                <w:sz w:val="18"/>
                <w:szCs w:val="18"/>
              </w:rPr>
            </w:pPr>
          </w:p>
        </w:tc>
        <w:tc>
          <w:tcPr>
            <w:tcW w:w="1620" w:type="dxa"/>
          </w:tcPr>
          <w:p w14:paraId="1D39E6E2" w14:textId="3B61216B" w:rsidR="0010241B" w:rsidRPr="00F34D39" w:rsidRDefault="0010241B" w:rsidP="0000304D">
            <w:pPr>
              <w:jc w:val="right"/>
              <w:rPr>
                <w:b/>
                <w:bCs/>
                <w:sz w:val="18"/>
                <w:szCs w:val="18"/>
              </w:rPr>
            </w:pPr>
            <w:r w:rsidRPr="00F34D39">
              <w:rPr>
                <w:b/>
                <w:bCs/>
                <w:sz w:val="18"/>
                <w:szCs w:val="18"/>
              </w:rPr>
              <w:t>16.666%</w:t>
            </w:r>
          </w:p>
        </w:tc>
      </w:tr>
      <w:tr w:rsidR="0010241B" w:rsidRPr="00D15078" w14:paraId="412026C3" w14:textId="33160F48" w:rsidTr="005E665C">
        <w:tc>
          <w:tcPr>
            <w:tcW w:w="5040" w:type="dxa"/>
          </w:tcPr>
          <w:p w14:paraId="10274B92" w14:textId="64050B65" w:rsidR="0010241B" w:rsidRPr="00F34D39" w:rsidRDefault="0010241B" w:rsidP="0000304D">
            <w:pPr>
              <w:rPr>
                <w:sz w:val="18"/>
                <w:szCs w:val="18"/>
              </w:rPr>
            </w:pPr>
            <w:r w:rsidRPr="00F34D39">
              <w:rPr>
                <w:sz w:val="18"/>
                <w:szCs w:val="18"/>
              </w:rPr>
              <w:t>Corporation’s Income Soured to State X</w:t>
            </w:r>
          </w:p>
        </w:tc>
        <w:tc>
          <w:tcPr>
            <w:tcW w:w="1710" w:type="dxa"/>
          </w:tcPr>
          <w:p w14:paraId="4E8AE280" w14:textId="22C03F25" w:rsidR="0010241B" w:rsidRPr="00F34D39" w:rsidRDefault="0010241B" w:rsidP="0000304D">
            <w:pPr>
              <w:jc w:val="right"/>
              <w:rPr>
                <w:b/>
                <w:bCs/>
                <w:sz w:val="18"/>
                <w:szCs w:val="18"/>
              </w:rPr>
            </w:pPr>
          </w:p>
        </w:tc>
        <w:tc>
          <w:tcPr>
            <w:tcW w:w="1620" w:type="dxa"/>
          </w:tcPr>
          <w:p w14:paraId="70550742" w14:textId="444335C6" w:rsidR="0010241B" w:rsidRPr="00F34D39" w:rsidRDefault="0010241B" w:rsidP="0000304D">
            <w:pPr>
              <w:jc w:val="right"/>
              <w:rPr>
                <w:b/>
                <w:bCs/>
                <w:sz w:val="18"/>
                <w:szCs w:val="18"/>
              </w:rPr>
            </w:pPr>
            <w:r w:rsidRPr="00F34D39">
              <w:rPr>
                <w:b/>
                <w:bCs/>
                <w:sz w:val="18"/>
                <w:szCs w:val="18"/>
              </w:rPr>
              <w:t>$1,733,333</w:t>
            </w:r>
          </w:p>
        </w:tc>
      </w:tr>
    </w:tbl>
    <w:p w14:paraId="34A264C1" w14:textId="511F74E6" w:rsidR="00E80F48" w:rsidRDefault="000A5DEB" w:rsidP="00D15078">
      <w:pPr>
        <w:spacing w:after="0"/>
      </w:pPr>
      <w:r>
        <w:tab/>
        <w:t xml:space="preserve"> </w:t>
      </w:r>
    </w:p>
    <w:p w14:paraId="79CD7CA9" w14:textId="377504F0" w:rsidR="00D15078" w:rsidRDefault="00747804" w:rsidP="00E80F48">
      <w:r>
        <w:t xml:space="preserve">So, in this case, the income sourced to State X using blended apportionment would be 44% greater than using separate apportionment. </w:t>
      </w:r>
      <w:r w:rsidR="0010241B">
        <w:t xml:space="preserve">In different scenarios, the amount sourced to State might be less than with separate apportionment. </w:t>
      </w:r>
      <w:r w:rsidR="00D15078">
        <w:t>While the relative amount</w:t>
      </w:r>
      <w:r w:rsidR="004D00C2">
        <w:t>s</w:t>
      </w:r>
      <w:r w:rsidR="00D15078">
        <w:t xml:space="preserve"> </w:t>
      </w:r>
      <w:r w:rsidR="004D00C2">
        <w:t>of any</w:t>
      </w:r>
      <w:r w:rsidR="00D15078">
        <w:t xml:space="preserve"> difference</w:t>
      </w:r>
      <w:r w:rsidR="004D00C2">
        <w:t>s</w:t>
      </w:r>
      <w:r w:rsidR="00D15078">
        <w:t xml:space="preserve"> may vary, the </w:t>
      </w:r>
      <w:r w:rsidR="004D00C2">
        <w:t xml:space="preserve">extent of the </w:t>
      </w:r>
      <w:r w:rsidR="00D15078">
        <w:t>variation may be significant in some cases.</w:t>
      </w:r>
      <w:r w:rsidR="004D00C2">
        <w:t xml:space="preserve"> One reason the effect may be significant is that the blended apportionment factor is not simply applied to the </w:t>
      </w:r>
      <w:r w:rsidR="00F31935">
        <w:t xml:space="preserve">partner’s </w:t>
      </w:r>
      <w:r w:rsidR="004D00C2">
        <w:t xml:space="preserve">distributive share income </w:t>
      </w:r>
      <w:r w:rsidR="00F31935">
        <w:t>from the partnership</w:t>
      </w:r>
      <w:r w:rsidR="004D00C2">
        <w:t>, but to th</w:t>
      </w:r>
      <w:r w:rsidR="00F31935">
        <w:t>at</w:t>
      </w:r>
      <w:r w:rsidR="004D00C2">
        <w:t xml:space="preserve"> partner’s other income as well.  </w:t>
      </w:r>
    </w:p>
    <w:p w14:paraId="2B6D6C8E" w14:textId="3401AE5A" w:rsidR="00E80F48" w:rsidRDefault="007D7E35" w:rsidP="007D7E35">
      <w:pPr>
        <w:pStyle w:val="Heading3"/>
      </w:pPr>
      <w:bookmarkStart w:id="71" w:name="_Toc195435260"/>
      <w:r>
        <w:lastRenderedPageBreak/>
        <w:t>Current State Use of Blended Apportionment</w:t>
      </w:r>
      <w:bookmarkEnd w:id="71"/>
    </w:p>
    <w:p w14:paraId="220E99BF" w14:textId="3F8A7AED" w:rsidR="007D7E35" w:rsidRDefault="00B837B7" w:rsidP="007D7E35">
      <w:r>
        <w:rPr>
          <w:noProof/>
        </w:rPr>
        <w:drawing>
          <wp:anchor distT="0" distB="0" distL="114300" distR="114300" simplePos="0" relativeHeight="251679232" behindDoc="0" locked="0" layoutInCell="1" allowOverlap="1" wp14:anchorId="75D9E73C" wp14:editId="78E644D3">
            <wp:simplePos x="0" y="0"/>
            <wp:positionH relativeFrom="margin">
              <wp:posOffset>-339725</wp:posOffset>
            </wp:positionH>
            <wp:positionV relativeFrom="paragraph">
              <wp:posOffset>107315</wp:posOffset>
            </wp:positionV>
            <wp:extent cx="3686810" cy="2213610"/>
            <wp:effectExtent l="0" t="0" r="8890" b="0"/>
            <wp:wrapSquare wrapText="bothSides"/>
            <wp:docPr id="3826766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6810" cy="2213610"/>
                    </a:xfrm>
                    <a:prstGeom prst="rect">
                      <a:avLst/>
                    </a:prstGeom>
                    <a:noFill/>
                  </pic:spPr>
                </pic:pic>
              </a:graphicData>
            </a:graphic>
            <wp14:sizeRelH relativeFrom="margin">
              <wp14:pctWidth>0</wp14:pctWidth>
            </wp14:sizeRelH>
            <wp14:sizeRelV relativeFrom="margin">
              <wp14:pctHeight>0</wp14:pctHeight>
            </wp14:sizeRelV>
          </wp:anchor>
        </w:drawing>
      </w:r>
    </w:p>
    <w:p w14:paraId="2E6B5296" w14:textId="77777777" w:rsidR="00B837B7" w:rsidRDefault="00B837B7" w:rsidP="007D7E35">
      <w:pPr>
        <w:rPr>
          <w:b/>
          <w:bCs/>
        </w:rPr>
      </w:pPr>
    </w:p>
    <w:p w14:paraId="4BC141AA" w14:textId="0017DC4E" w:rsidR="007D7E35" w:rsidRPr="00B837B7" w:rsidRDefault="00DD3E0E" w:rsidP="007D7E35">
      <w:pPr>
        <w:rPr>
          <w:b/>
          <w:bCs/>
        </w:rPr>
      </w:pPr>
      <w:r w:rsidRPr="00B837B7">
        <w:rPr>
          <w:b/>
          <w:bCs/>
        </w:rPr>
        <w:t>Corporate</w:t>
      </w:r>
      <w:r w:rsidR="00B837B7" w:rsidRPr="00B837B7">
        <w:rPr>
          <w:b/>
          <w:bCs/>
        </w:rPr>
        <w:t xml:space="preserve"> Partners</w:t>
      </w:r>
    </w:p>
    <w:p w14:paraId="5B5E9AF1" w14:textId="35626EC7" w:rsidR="007D7E35" w:rsidRPr="006D0936" w:rsidRDefault="007D7E35" w:rsidP="000876DE">
      <w:pPr>
        <w:jc w:val="left"/>
        <w:rPr>
          <w:sz w:val="18"/>
          <w:szCs w:val="20"/>
        </w:rPr>
      </w:pPr>
      <w:r w:rsidRPr="006D0936">
        <w:rPr>
          <w:sz w:val="18"/>
          <w:szCs w:val="20"/>
        </w:rPr>
        <w:t>Th</w:t>
      </w:r>
      <w:r w:rsidR="00AA0F8A">
        <w:rPr>
          <w:sz w:val="18"/>
          <w:szCs w:val="20"/>
        </w:rPr>
        <w:t>is</w:t>
      </w:r>
      <w:r w:rsidRPr="006D0936">
        <w:rPr>
          <w:sz w:val="18"/>
          <w:szCs w:val="20"/>
        </w:rPr>
        <w:t xml:space="preserve"> map shows the states (in green) that have explicitly  adopted some form of blended apportionment for use in sourcing income where the partner is a corporation.</w:t>
      </w:r>
    </w:p>
    <w:p w14:paraId="434D7442" w14:textId="77777777" w:rsidR="00E80F48" w:rsidRPr="00E80F48" w:rsidRDefault="00E80F48" w:rsidP="00E80F48"/>
    <w:p w14:paraId="73137013" w14:textId="2AD935FB" w:rsidR="007D7E35" w:rsidRDefault="007D7E35" w:rsidP="007D7E35"/>
    <w:p w14:paraId="392CB3B7" w14:textId="57C31FE6" w:rsidR="007D7E35" w:rsidRDefault="00917948" w:rsidP="007D7E35">
      <w:r>
        <w:rPr>
          <w:noProof/>
        </w:rPr>
        <w:drawing>
          <wp:anchor distT="0" distB="0" distL="114300" distR="114300" simplePos="0" relativeHeight="251658240" behindDoc="0" locked="0" layoutInCell="1" allowOverlap="1" wp14:anchorId="1C3411B5" wp14:editId="4B685969">
            <wp:simplePos x="0" y="0"/>
            <wp:positionH relativeFrom="column">
              <wp:posOffset>-316230</wp:posOffset>
            </wp:positionH>
            <wp:positionV relativeFrom="paragraph">
              <wp:posOffset>310515</wp:posOffset>
            </wp:positionV>
            <wp:extent cx="3682365" cy="2023745"/>
            <wp:effectExtent l="0" t="0" r="0" b="0"/>
            <wp:wrapSquare wrapText="bothSides"/>
            <wp:docPr id="15816977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2365" cy="2023745"/>
                    </a:xfrm>
                    <a:prstGeom prst="rect">
                      <a:avLst/>
                    </a:prstGeom>
                    <a:noFill/>
                  </pic:spPr>
                </pic:pic>
              </a:graphicData>
            </a:graphic>
          </wp:anchor>
        </w:drawing>
      </w:r>
    </w:p>
    <w:p w14:paraId="6C9FB760" w14:textId="2461D207" w:rsidR="002905CB" w:rsidRDefault="002905CB" w:rsidP="000876DE">
      <w:pPr>
        <w:jc w:val="left"/>
        <w:rPr>
          <w:noProof/>
          <w:sz w:val="18"/>
          <w:szCs w:val="20"/>
        </w:rPr>
      </w:pPr>
    </w:p>
    <w:p w14:paraId="0E6022C8" w14:textId="5106659A" w:rsidR="00B837B7" w:rsidRPr="00B837B7" w:rsidRDefault="00B837B7" w:rsidP="000876DE">
      <w:pPr>
        <w:jc w:val="left"/>
        <w:rPr>
          <w:b/>
          <w:bCs/>
          <w:noProof/>
          <w:sz w:val="18"/>
          <w:szCs w:val="20"/>
        </w:rPr>
      </w:pPr>
      <w:r w:rsidRPr="00B837B7">
        <w:rPr>
          <w:b/>
          <w:bCs/>
          <w:noProof/>
          <w:sz w:val="18"/>
          <w:szCs w:val="20"/>
        </w:rPr>
        <w:t>Tiered Partners</w:t>
      </w:r>
    </w:p>
    <w:p w14:paraId="0B535413" w14:textId="3FCC607D" w:rsidR="00D03796" w:rsidRPr="006D0936" w:rsidRDefault="002905CB" w:rsidP="000876DE">
      <w:pPr>
        <w:jc w:val="left"/>
        <w:rPr>
          <w:sz w:val="18"/>
          <w:szCs w:val="20"/>
        </w:rPr>
      </w:pPr>
      <w:r>
        <w:rPr>
          <w:noProof/>
          <w:sz w:val="18"/>
          <w:szCs w:val="20"/>
        </w:rPr>
        <w:t>This</w:t>
      </w:r>
      <w:r w:rsidR="00D03796" w:rsidRPr="006D0936">
        <w:rPr>
          <w:sz w:val="18"/>
          <w:szCs w:val="20"/>
        </w:rPr>
        <w:t xml:space="preserve"> map shows the states (in green) that have explicitly  adopted some form of blended apportionment for use in sourcing income where the partner is a tiered (partnership</w:t>
      </w:r>
      <w:r w:rsidR="000876DE">
        <w:rPr>
          <w:sz w:val="18"/>
          <w:szCs w:val="20"/>
        </w:rPr>
        <w:t>)</w:t>
      </w:r>
      <w:r w:rsidR="00D03796" w:rsidRPr="006D0936">
        <w:rPr>
          <w:sz w:val="18"/>
          <w:szCs w:val="20"/>
        </w:rPr>
        <w:t xml:space="preserve"> partner.</w:t>
      </w:r>
    </w:p>
    <w:p w14:paraId="0B1323FB" w14:textId="46EBDEB0" w:rsidR="007D7E35" w:rsidRDefault="007D7E35" w:rsidP="007D7E35">
      <w:r>
        <w:t xml:space="preserve"> </w:t>
      </w:r>
    </w:p>
    <w:p w14:paraId="0E97EDFC" w14:textId="77777777" w:rsidR="00E51122" w:rsidRDefault="00E51122" w:rsidP="00D03796"/>
    <w:p w14:paraId="0255F137" w14:textId="77777777" w:rsidR="00AA0F8A" w:rsidRDefault="00AA0F8A" w:rsidP="00E51122"/>
    <w:p w14:paraId="703EDCC1" w14:textId="0B6D7CB5" w:rsidR="00BB4E8D" w:rsidRDefault="00BB4E8D" w:rsidP="00E51122">
      <w:r>
        <w:t>The use of blended apportionment involves both “how” and “when” questions</w:t>
      </w:r>
      <w:r w:rsidR="006D0936">
        <w:t xml:space="preserve">—that is—how should the method be applied and when should it be applied? </w:t>
      </w:r>
      <w:r>
        <w:t xml:space="preserve"> These questions are considered here, starting with </w:t>
      </w:r>
      <w:r w:rsidR="006D0936">
        <w:t xml:space="preserve">the </w:t>
      </w:r>
      <w:r>
        <w:t>how</w:t>
      </w:r>
      <w:r w:rsidR="006D0936">
        <w:t xml:space="preserve"> questions</w:t>
      </w:r>
    </w:p>
    <w:p w14:paraId="77783CD8" w14:textId="48D61D92" w:rsidR="00BB4E8D" w:rsidRDefault="00BB4E8D" w:rsidP="00E51122">
      <w:pPr>
        <w:pStyle w:val="Heading3"/>
      </w:pPr>
      <w:bookmarkStart w:id="72" w:name="_Toc195435261"/>
      <w:r>
        <w:t>How does blended apportionment work</w:t>
      </w:r>
      <w:r w:rsidR="005E665C">
        <w:t xml:space="preserve"> generally</w:t>
      </w:r>
      <w:r>
        <w:t>?</w:t>
      </w:r>
      <w:bookmarkEnd w:id="72"/>
      <w:r>
        <w:t xml:space="preserve">  </w:t>
      </w:r>
    </w:p>
    <w:p w14:paraId="753E2416" w14:textId="270697C0" w:rsidR="00BB4E8D" w:rsidRDefault="00E51122" w:rsidP="00E51122">
      <w:pPr>
        <w:spacing w:after="80"/>
      </w:pPr>
      <w:r>
        <w:t>The</w:t>
      </w:r>
      <w:r w:rsidR="00BB4E8D">
        <w:t xml:space="preserve"> steps for using blended apportionment in its simplest form are as follows:</w:t>
      </w:r>
    </w:p>
    <w:p w14:paraId="10FB1A06" w14:textId="77777777" w:rsidR="00BB4E8D" w:rsidRDefault="00BB4E8D" w:rsidP="00E51122">
      <w:pPr>
        <w:pStyle w:val="ListParagraph"/>
        <w:numPr>
          <w:ilvl w:val="3"/>
          <w:numId w:val="51"/>
        </w:numPr>
        <w:spacing w:after="80"/>
        <w:contextualSpacing w:val="0"/>
      </w:pPr>
      <w:r>
        <w:t>Determine the partner’s share of partnership income or items that will be included in apportionable income of the partner.</w:t>
      </w:r>
    </w:p>
    <w:p w14:paraId="1AFA1267" w14:textId="77777777" w:rsidR="00BB4E8D" w:rsidRDefault="00BB4E8D" w:rsidP="00E51122">
      <w:pPr>
        <w:pStyle w:val="ListParagraph"/>
        <w:numPr>
          <w:ilvl w:val="3"/>
          <w:numId w:val="51"/>
        </w:numPr>
        <w:spacing w:after="80"/>
        <w:contextualSpacing w:val="0"/>
      </w:pPr>
      <w:r>
        <w:t>Combine the partner’s share of partnership income with the partner’s own apportionable income.</w:t>
      </w:r>
    </w:p>
    <w:p w14:paraId="008B7D67" w14:textId="77777777" w:rsidR="00BB4E8D" w:rsidRDefault="00BB4E8D" w:rsidP="00E51122">
      <w:pPr>
        <w:pStyle w:val="ListParagraph"/>
        <w:numPr>
          <w:ilvl w:val="3"/>
          <w:numId w:val="51"/>
        </w:numPr>
        <w:spacing w:after="80"/>
        <w:contextualSpacing w:val="0"/>
      </w:pPr>
      <w:r>
        <w:t>Determine the partner’s share of partnership factors that will be included in the apportionment factor of the partner.</w:t>
      </w:r>
    </w:p>
    <w:p w14:paraId="197EADF2" w14:textId="3895F436" w:rsidR="00BB4E8D" w:rsidRDefault="00BB4E8D" w:rsidP="00E51122">
      <w:pPr>
        <w:pStyle w:val="ListParagraph"/>
        <w:numPr>
          <w:ilvl w:val="3"/>
          <w:numId w:val="51"/>
        </w:numPr>
        <w:spacing w:after="80"/>
        <w:contextualSpacing w:val="0"/>
      </w:pPr>
      <w:r>
        <w:t>Combine the partner’s share of partnership factors with the partner’s own apportionment factors and compute the blended factor</w:t>
      </w:r>
      <w:r w:rsidR="008F56FB">
        <w:t>—eliminat</w:t>
      </w:r>
      <w:r w:rsidR="00E51122">
        <w:t>ing</w:t>
      </w:r>
      <w:r w:rsidR="006171B3">
        <w:t xml:space="preserve"> from the </w:t>
      </w:r>
      <w:r w:rsidR="00E51122">
        <w:t xml:space="preserve">receipts </w:t>
      </w:r>
      <w:r w:rsidR="006171B3">
        <w:t>factor</w:t>
      </w:r>
      <w:r w:rsidR="00E51122">
        <w:t xml:space="preserve"> the effects of partnership-partner transactions</w:t>
      </w:r>
      <w:r w:rsidR="008F56FB">
        <w:t>.</w:t>
      </w:r>
    </w:p>
    <w:p w14:paraId="5757F62E" w14:textId="77777777" w:rsidR="00E06E28" w:rsidRDefault="00E06E28" w:rsidP="00E51122">
      <w:pPr>
        <w:pStyle w:val="ListParagraph"/>
        <w:numPr>
          <w:ilvl w:val="3"/>
          <w:numId w:val="51"/>
        </w:numPr>
        <w:spacing w:after="120"/>
        <w:contextualSpacing w:val="0"/>
      </w:pPr>
      <w:r>
        <w:t>Use the blended factor to apportion the total apportionable income.</w:t>
      </w:r>
    </w:p>
    <w:p w14:paraId="280550B5" w14:textId="5399DC73" w:rsidR="00E06E28" w:rsidRDefault="00E51122" w:rsidP="00C16757">
      <w:pPr>
        <w:spacing w:after="80"/>
      </w:pPr>
      <w:r>
        <w:t>Use of b</w:t>
      </w:r>
      <w:r w:rsidR="00C95B9C">
        <w:t>lended</w:t>
      </w:r>
      <w:r w:rsidR="00E06E28">
        <w:t xml:space="preserve"> apportionment </w:t>
      </w:r>
      <w:r>
        <w:t xml:space="preserve">may vary somewhat in complex structures and may have effects on the state-sourced income of </w:t>
      </w:r>
      <w:r w:rsidR="00E06E28">
        <w:t>multiple entities</w:t>
      </w:r>
      <w:r w:rsidR="00C16757">
        <w:t xml:space="preserve">. </w:t>
      </w:r>
    </w:p>
    <w:p w14:paraId="623C5FC2" w14:textId="756EA56A" w:rsidR="00651A6A" w:rsidRDefault="009853FA" w:rsidP="00C16757">
      <w:pPr>
        <w:pStyle w:val="Heading4"/>
        <w:ind w:left="360"/>
      </w:pPr>
      <w:r>
        <w:lastRenderedPageBreak/>
        <w:t xml:space="preserve">Application of blended apportionment in various scenarios. </w:t>
      </w:r>
    </w:p>
    <w:p w14:paraId="2B258580" w14:textId="6636E311" w:rsidR="00E06E28" w:rsidRDefault="00C16757" w:rsidP="00C16757">
      <w:pPr>
        <w:ind w:left="360"/>
      </w:pPr>
      <w:r>
        <w:t xml:space="preserve">The following examples give an overview of how blended apportionment would generally apply in </w:t>
      </w:r>
      <w:r w:rsidR="009853FA">
        <w:t>in certain common scenarios</w:t>
      </w:r>
      <w:r>
        <w:t>:</w:t>
      </w:r>
      <w:r w:rsidR="00E06E28">
        <w:t xml:space="preserve"> </w:t>
      </w:r>
    </w:p>
    <w:p w14:paraId="3A89F098" w14:textId="0C38DB08" w:rsidR="00E06E28" w:rsidRDefault="00E06E28" w:rsidP="00480F3C">
      <w:pPr>
        <w:spacing w:after="60"/>
        <w:ind w:left="1080"/>
      </w:pPr>
      <w:r>
        <w:rPr>
          <w:u w:val="single"/>
        </w:rPr>
        <w:t xml:space="preserve">Example </w:t>
      </w:r>
      <w:r w:rsidR="006D0936">
        <w:rPr>
          <w:u w:val="single"/>
        </w:rPr>
        <w:t>1 – Combined</w:t>
      </w:r>
      <w:r w:rsidR="00993C03">
        <w:rPr>
          <w:u w:val="single"/>
        </w:rPr>
        <w:t xml:space="preserve"> Corporate</w:t>
      </w:r>
      <w:r w:rsidR="006D0936">
        <w:rPr>
          <w:u w:val="single"/>
        </w:rPr>
        <w:t xml:space="preserve"> Filing - Joyce</w:t>
      </w:r>
      <w:r>
        <w:t>:</w:t>
      </w:r>
    </w:p>
    <w:p w14:paraId="2E350ED3" w14:textId="06B76568" w:rsidR="00E06E28" w:rsidRDefault="00E06E28" w:rsidP="00FF1104">
      <w:pPr>
        <w:pStyle w:val="ListParagraph"/>
        <w:numPr>
          <w:ilvl w:val="0"/>
          <w:numId w:val="52"/>
        </w:numPr>
        <w:spacing w:after="60"/>
        <w:contextualSpacing w:val="0"/>
      </w:pPr>
      <w:r>
        <w:t>Corp X files in State 1 as part of a combined corporate group</w:t>
      </w:r>
      <w:r w:rsidR="00CE7CBE">
        <w:t xml:space="preserve"> along with Corp Y</w:t>
      </w:r>
      <w:r>
        <w:t>.</w:t>
      </w:r>
    </w:p>
    <w:p w14:paraId="5281C3F8" w14:textId="2420C983" w:rsidR="00E06E28" w:rsidRDefault="00C16757" w:rsidP="00FF1104">
      <w:pPr>
        <w:pStyle w:val="ListParagraph"/>
        <w:numPr>
          <w:ilvl w:val="0"/>
          <w:numId w:val="52"/>
        </w:numPr>
        <w:spacing w:after="60"/>
        <w:contextualSpacing w:val="0"/>
      </w:pPr>
      <w:r>
        <w:t>The</w:t>
      </w:r>
      <w:r w:rsidR="00E06E28">
        <w:t xml:space="preserve"> group files on the so-called “Joyce” basis—with each entity using its own factors </w:t>
      </w:r>
      <w:r w:rsidR="00F65D57">
        <w:t xml:space="preserve">to </w:t>
      </w:r>
      <w:r w:rsidR="00E06E28">
        <w:t>apportion the combined income of the group.</w:t>
      </w:r>
    </w:p>
    <w:p w14:paraId="1C37155A" w14:textId="05D3954C" w:rsidR="00E06E28" w:rsidRDefault="00E06E28" w:rsidP="00FF1104">
      <w:pPr>
        <w:pStyle w:val="ListParagraph"/>
        <w:numPr>
          <w:ilvl w:val="0"/>
          <w:numId w:val="52"/>
        </w:numPr>
      </w:pPr>
      <w:r>
        <w:t xml:space="preserve">Corp X is a partner in Partnership </w:t>
      </w:r>
      <w:r w:rsidR="00CE7CBE">
        <w:t>Z.</w:t>
      </w:r>
    </w:p>
    <w:p w14:paraId="09D46791" w14:textId="157CA754" w:rsidR="00651A6A" w:rsidRDefault="00CE7CBE" w:rsidP="00480F3C">
      <w:pPr>
        <w:ind w:left="1440"/>
      </w:pPr>
      <w:r>
        <w:t xml:space="preserve">In this example, the combined group apportionable income would include X’s distributive share of Z’s apportionable income. So both X and Y would use their </w:t>
      </w:r>
      <w:r w:rsidR="00C16757">
        <w:t xml:space="preserve">own </w:t>
      </w:r>
      <w:r>
        <w:t>apportionment factors to apportion this combined group income including. But only X would include a share of Partnership Z’s factors in its own factors.</w:t>
      </w:r>
      <w:r>
        <w:rPr>
          <w:rStyle w:val="FootnoteReference"/>
        </w:rPr>
        <w:footnoteReference w:id="28"/>
      </w:r>
    </w:p>
    <w:p w14:paraId="29521577" w14:textId="55232E6A" w:rsidR="006D0936" w:rsidRDefault="006D0936" w:rsidP="00480F3C">
      <w:pPr>
        <w:spacing w:after="60"/>
        <w:ind w:left="1080"/>
      </w:pPr>
      <w:r>
        <w:rPr>
          <w:u w:val="single"/>
        </w:rPr>
        <w:t>Example 2 – Combined Filing - Finnigan</w:t>
      </w:r>
      <w:r>
        <w:t>:</w:t>
      </w:r>
    </w:p>
    <w:p w14:paraId="4D0E41E8" w14:textId="791F1860" w:rsidR="006D0936" w:rsidRDefault="006D0936" w:rsidP="00FF1104">
      <w:pPr>
        <w:pStyle w:val="ListParagraph"/>
        <w:numPr>
          <w:ilvl w:val="0"/>
          <w:numId w:val="52"/>
        </w:numPr>
        <w:spacing w:after="60"/>
        <w:contextualSpacing w:val="0"/>
      </w:pPr>
      <w:r>
        <w:t>Corp X files in State 1 as part of a combined corporate group along with Corp Y.</w:t>
      </w:r>
    </w:p>
    <w:p w14:paraId="37034CA8" w14:textId="7496A2E0" w:rsidR="006D0936" w:rsidRDefault="006D0936" w:rsidP="00FF1104">
      <w:pPr>
        <w:pStyle w:val="ListParagraph"/>
        <w:numPr>
          <w:ilvl w:val="0"/>
          <w:numId w:val="52"/>
        </w:numPr>
        <w:spacing w:after="60"/>
        <w:contextualSpacing w:val="0"/>
      </w:pPr>
      <w:r>
        <w:t>Th</w:t>
      </w:r>
      <w:r w:rsidR="00C16757">
        <w:t>e</w:t>
      </w:r>
      <w:r>
        <w:t xml:space="preserve"> group files on the so-called “Finnigan” basis—</w:t>
      </w:r>
      <w:r w:rsidR="00C16757">
        <w:t>using</w:t>
      </w:r>
      <w:r>
        <w:t xml:space="preserve"> a single combined apportionment formula to apportion combined income.</w:t>
      </w:r>
    </w:p>
    <w:p w14:paraId="14A087AD" w14:textId="38F72472" w:rsidR="006D0936" w:rsidRDefault="006D0936" w:rsidP="00FF1104">
      <w:pPr>
        <w:pStyle w:val="ListParagraph"/>
        <w:numPr>
          <w:ilvl w:val="0"/>
          <w:numId w:val="52"/>
        </w:numPr>
      </w:pPr>
      <w:r>
        <w:t>Corp X is a partner in Partnership Z.</w:t>
      </w:r>
    </w:p>
    <w:p w14:paraId="7425B9EC" w14:textId="47999EC2" w:rsidR="00651A6A" w:rsidRDefault="006D0936" w:rsidP="00480F3C">
      <w:pPr>
        <w:ind w:left="1440"/>
      </w:pPr>
      <w:r>
        <w:t>In this example, the combined group apportionable income would include X’s distributive share of Z’s apportionable income. The group’s apportionment factor would also include a share of Partnership Z’s factors.</w:t>
      </w:r>
      <w:r>
        <w:rPr>
          <w:rStyle w:val="FootnoteReference"/>
        </w:rPr>
        <w:footnoteReference w:id="29"/>
      </w:r>
    </w:p>
    <w:p w14:paraId="418A7DC6" w14:textId="7061DC22" w:rsidR="008F56FB" w:rsidRDefault="008F56FB" w:rsidP="00480F3C">
      <w:pPr>
        <w:spacing w:after="60"/>
        <w:ind w:left="1080"/>
      </w:pPr>
      <w:r>
        <w:rPr>
          <w:u w:val="single"/>
        </w:rPr>
        <w:t xml:space="preserve">Example 3 – Combined </w:t>
      </w:r>
      <w:r w:rsidR="00993C03">
        <w:rPr>
          <w:u w:val="single"/>
        </w:rPr>
        <w:t xml:space="preserve">Corporate </w:t>
      </w:r>
      <w:r>
        <w:rPr>
          <w:u w:val="single"/>
        </w:rPr>
        <w:t>Filing – Joyce or Finnigan – Multiple Group Partners</w:t>
      </w:r>
      <w:r>
        <w:t>:</w:t>
      </w:r>
    </w:p>
    <w:p w14:paraId="7907DAC2" w14:textId="6F2447E8" w:rsidR="008F56FB" w:rsidRDefault="008F56FB" w:rsidP="00FF1104">
      <w:pPr>
        <w:pStyle w:val="ListParagraph"/>
        <w:numPr>
          <w:ilvl w:val="0"/>
          <w:numId w:val="52"/>
        </w:numPr>
        <w:spacing w:after="60"/>
        <w:contextualSpacing w:val="0"/>
      </w:pPr>
      <w:r>
        <w:t>Corp X files in State 1 as part of a combined corporate group along with Corp Y.</w:t>
      </w:r>
    </w:p>
    <w:p w14:paraId="32E105D2" w14:textId="17055EF8" w:rsidR="008F56FB" w:rsidRDefault="008F56FB" w:rsidP="00FF1104">
      <w:pPr>
        <w:pStyle w:val="ListParagraph"/>
        <w:numPr>
          <w:ilvl w:val="0"/>
          <w:numId w:val="52"/>
        </w:numPr>
      </w:pPr>
      <w:r>
        <w:t>Both Corp X and Corp Y are partners in Partnership Z.</w:t>
      </w:r>
    </w:p>
    <w:p w14:paraId="3B39D924" w14:textId="2F986FF1" w:rsidR="00651A6A" w:rsidRPr="00480F3C" w:rsidRDefault="008F56FB" w:rsidP="00480F3C">
      <w:pPr>
        <w:ind w:left="1440"/>
      </w:pPr>
      <w:r>
        <w:t>In this example, the Joyce or Finnigan approach above would be used (depending on the state’s rule) but the combined group apportionable income would also include Y’s distributive share of Z’s apportionable income and Y’s (or the group</w:t>
      </w:r>
      <w:r w:rsidR="00993C03">
        <w:t>’</w:t>
      </w:r>
      <w:r>
        <w:t>s) apportionment factor would also include Y’s share of Partnership Z’s factors.</w:t>
      </w:r>
    </w:p>
    <w:p w14:paraId="43B65D7E" w14:textId="665A8F57" w:rsidR="008F56FB" w:rsidRDefault="008F56FB" w:rsidP="00480F3C">
      <w:pPr>
        <w:spacing w:after="60"/>
        <w:ind w:left="1080"/>
      </w:pPr>
      <w:r>
        <w:rPr>
          <w:u w:val="single"/>
        </w:rPr>
        <w:t>Example 4 – Combined Filing – Joyce or Finnigan – Partner-Partnership Transactions</w:t>
      </w:r>
      <w:r>
        <w:t>:</w:t>
      </w:r>
    </w:p>
    <w:p w14:paraId="462D88F5" w14:textId="61583BFF" w:rsidR="008F56FB" w:rsidRDefault="008F56FB" w:rsidP="00FF1104">
      <w:pPr>
        <w:pStyle w:val="ListParagraph"/>
        <w:numPr>
          <w:ilvl w:val="0"/>
          <w:numId w:val="52"/>
        </w:numPr>
        <w:spacing w:after="60"/>
        <w:contextualSpacing w:val="0"/>
      </w:pPr>
      <w:r>
        <w:t>Corp X files in State 1 as part of a combined corporate group along with Corp Y.</w:t>
      </w:r>
    </w:p>
    <w:p w14:paraId="089092CE" w14:textId="11028D91" w:rsidR="008F56FB" w:rsidRDefault="008F56FB" w:rsidP="00FF1104">
      <w:pPr>
        <w:pStyle w:val="ListParagraph"/>
        <w:numPr>
          <w:ilvl w:val="0"/>
          <w:numId w:val="52"/>
        </w:numPr>
        <w:spacing w:after="60"/>
        <w:contextualSpacing w:val="0"/>
      </w:pPr>
      <w:r>
        <w:t>Corp X is a partner in Partnership Z.</w:t>
      </w:r>
    </w:p>
    <w:p w14:paraId="2E08F7EE" w14:textId="29FDA4AE" w:rsidR="008F56FB" w:rsidRDefault="008F56FB" w:rsidP="00FF1104">
      <w:pPr>
        <w:pStyle w:val="ListParagraph"/>
        <w:numPr>
          <w:ilvl w:val="0"/>
          <w:numId w:val="52"/>
        </w:numPr>
      </w:pPr>
      <w:r>
        <w:t>Corp X charges Partnership Z a fee which is treated as an IRC § 707(a) transaction between unrelated parties.</w:t>
      </w:r>
    </w:p>
    <w:p w14:paraId="3A18EBBB" w14:textId="77777777" w:rsidR="009853FA" w:rsidRDefault="008F56FB" w:rsidP="00480F3C">
      <w:pPr>
        <w:ind w:left="1440"/>
      </w:pPr>
      <w:r>
        <w:t>In this example, Partnership Z would record the fees charged by X as an expense in reporting i</w:t>
      </w:r>
      <w:r w:rsidR="00AD772F">
        <w:t>t</w:t>
      </w:r>
      <w:r>
        <w:t>s net</w:t>
      </w:r>
      <w:r w:rsidR="009853FA">
        <w:t xml:space="preserve"> distributive share</w:t>
      </w:r>
      <w:r>
        <w:t xml:space="preserve"> income</w:t>
      </w:r>
      <w:r w:rsidR="009853FA">
        <w:t xml:space="preserve"> and items which would be allocated to its partners, including X. </w:t>
      </w:r>
      <w:r>
        <w:t xml:space="preserve">Assuming X receives a share of partnership income that includes </w:t>
      </w:r>
      <w:r w:rsidR="009853FA">
        <w:t xml:space="preserve">a portion of </w:t>
      </w:r>
      <w:r>
        <w:t>this fee</w:t>
      </w:r>
      <w:r w:rsidR="009853FA">
        <w:t xml:space="preserve"> expense</w:t>
      </w:r>
      <w:r>
        <w:t>, X</w:t>
      </w:r>
      <w:r w:rsidR="009853FA">
        <w:t>’s</w:t>
      </w:r>
      <w:r>
        <w:t xml:space="preserve"> fee income </w:t>
      </w:r>
      <w:r w:rsidR="00124F46">
        <w:t>from its charges to Z</w:t>
      </w:r>
      <w:r w:rsidR="009853FA">
        <w:t xml:space="preserve"> would be partially offset by its share of Z’s expense. </w:t>
      </w:r>
    </w:p>
    <w:p w14:paraId="2AF4BA87" w14:textId="74674D99" w:rsidR="009853FA" w:rsidRDefault="00993C03" w:rsidP="00480F3C">
      <w:pPr>
        <w:ind w:left="1440"/>
      </w:pPr>
      <w:r>
        <w:t xml:space="preserve">The same </w:t>
      </w:r>
      <w:r w:rsidR="006171B3">
        <w:t xml:space="preserve">elimination may </w:t>
      </w:r>
      <w:r w:rsidR="009853FA">
        <w:t xml:space="preserve">also </w:t>
      </w:r>
      <w:r w:rsidR="006171B3">
        <w:t>be provided</w:t>
      </w:r>
      <w:r>
        <w:t xml:space="preserve"> for </w:t>
      </w:r>
      <w:r w:rsidR="009853FA">
        <w:t>the receipts factor used by X (Joyce) or the group (Finnigan) so that the factor would exclude X’s</w:t>
      </w:r>
      <w:r w:rsidR="006171B3">
        <w:t xml:space="preserve"> share of the</w:t>
      </w:r>
      <w:r>
        <w:t xml:space="preserve"> fee</w:t>
      </w:r>
      <w:r w:rsidR="009853FA">
        <w:t xml:space="preserve"> receipts that</w:t>
      </w:r>
      <w:r>
        <w:t xml:space="preserve"> </w:t>
      </w:r>
      <w:r w:rsidR="00DC70E0">
        <w:t>it charge</w:t>
      </w:r>
      <w:r w:rsidR="009853FA">
        <w:t>d</w:t>
      </w:r>
      <w:r w:rsidR="00DC70E0">
        <w:t xml:space="preserve"> to Z</w:t>
      </w:r>
      <w:r>
        <w:t>.</w:t>
      </w:r>
      <w:r w:rsidR="00124F46">
        <w:t xml:space="preserve"> (See more </w:t>
      </w:r>
      <w:r w:rsidR="009853FA">
        <w:t>discussion of</w:t>
      </w:r>
      <w:r w:rsidR="00124F46">
        <w:t xml:space="preserve"> this issue below.)</w:t>
      </w:r>
    </w:p>
    <w:p w14:paraId="4484FA72" w14:textId="09A49B46" w:rsidR="00651A6A" w:rsidRPr="00480F3C" w:rsidRDefault="00993C03" w:rsidP="009853FA">
      <w:r>
        <w:t xml:space="preserve"> </w:t>
      </w:r>
    </w:p>
    <w:p w14:paraId="2E9B7C7B" w14:textId="354C206E" w:rsidR="00993C03" w:rsidRDefault="00993C03" w:rsidP="00480F3C">
      <w:pPr>
        <w:spacing w:after="60"/>
        <w:ind w:left="1080"/>
      </w:pPr>
      <w:r>
        <w:rPr>
          <w:u w:val="single"/>
        </w:rPr>
        <w:lastRenderedPageBreak/>
        <w:t>Example 5 – Combined Corporate Filing – Multiple Partnerships</w:t>
      </w:r>
      <w:r>
        <w:t>:</w:t>
      </w:r>
    </w:p>
    <w:p w14:paraId="1E034DC8" w14:textId="40EC7725" w:rsidR="00993C03" w:rsidRDefault="00993C03" w:rsidP="00FF1104">
      <w:pPr>
        <w:pStyle w:val="ListParagraph"/>
        <w:numPr>
          <w:ilvl w:val="0"/>
          <w:numId w:val="52"/>
        </w:numPr>
        <w:spacing w:after="60"/>
        <w:contextualSpacing w:val="0"/>
      </w:pPr>
      <w:r>
        <w:t>Corp X files in State 1 as part of a combined corporate group along with Corp Y.</w:t>
      </w:r>
    </w:p>
    <w:p w14:paraId="45119DED" w14:textId="6FD60A04" w:rsidR="00993C03" w:rsidRDefault="00993C03" w:rsidP="00FF1104">
      <w:pPr>
        <w:pStyle w:val="ListParagraph"/>
        <w:numPr>
          <w:ilvl w:val="0"/>
          <w:numId w:val="52"/>
        </w:numPr>
      </w:pPr>
      <w:r>
        <w:t xml:space="preserve">Corp X is a partner in two partnerships – P1 and P2. </w:t>
      </w:r>
    </w:p>
    <w:p w14:paraId="65B2890D" w14:textId="6742F548" w:rsidR="00651A6A" w:rsidRPr="00480F3C" w:rsidRDefault="00993C03" w:rsidP="00480F3C">
      <w:pPr>
        <w:ind w:left="1440"/>
      </w:pPr>
      <w:r>
        <w:t xml:space="preserve">In this example, the Joyce or Finnigan approach above would be used and the combined group apportionable income would also include </w:t>
      </w:r>
      <w:r w:rsidR="00450FD5">
        <w:t>X</w:t>
      </w:r>
      <w:r>
        <w:t xml:space="preserve">’s distributive share of both P1 and P2’s apportionable income and </w:t>
      </w:r>
      <w:r w:rsidR="00450FD5">
        <w:t>X</w:t>
      </w:r>
      <w:r>
        <w:t xml:space="preserve">’s (or the group’s) apportionment factor would also include </w:t>
      </w:r>
      <w:r w:rsidR="00450FD5">
        <w:t>X</w:t>
      </w:r>
      <w:r>
        <w:t>’s share of P1 and P2 factors.</w:t>
      </w:r>
    </w:p>
    <w:p w14:paraId="15415936" w14:textId="3C88C320" w:rsidR="00993C03" w:rsidRDefault="00993C03" w:rsidP="00480F3C">
      <w:pPr>
        <w:spacing w:after="60"/>
        <w:ind w:left="1080"/>
      </w:pPr>
      <w:r>
        <w:rPr>
          <w:u w:val="single"/>
        </w:rPr>
        <w:t xml:space="preserve">Example 6 – Combined Corporate Filing – Multiple Partnerships </w:t>
      </w:r>
      <w:r w:rsidR="00450FD5">
        <w:rPr>
          <w:u w:val="single"/>
        </w:rPr>
        <w:t>with Transactions</w:t>
      </w:r>
      <w:r>
        <w:t>:</w:t>
      </w:r>
    </w:p>
    <w:p w14:paraId="070822A5" w14:textId="3AB8B655" w:rsidR="00993C03" w:rsidRDefault="00993C03" w:rsidP="00FF1104">
      <w:pPr>
        <w:pStyle w:val="ListParagraph"/>
        <w:numPr>
          <w:ilvl w:val="0"/>
          <w:numId w:val="52"/>
        </w:numPr>
        <w:spacing w:after="60"/>
        <w:contextualSpacing w:val="0"/>
      </w:pPr>
      <w:r>
        <w:t>Corp X files in State 1 as part of a combined corporate group along with Corp Y.</w:t>
      </w:r>
    </w:p>
    <w:p w14:paraId="5CCBF62B" w14:textId="5B37B3BE" w:rsidR="00450FD5" w:rsidRDefault="00993C03" w:rsidP="00FF1104">
      <w:pPr>
        <w:pStyle w:val="ListParagraph"/>
        <w:numPr>
          <w:ilvl w:val="0"/>
          <w:numId w:val="52"/>
        </w:numPr>
        <w:spacing w:after="60"/>
        <w:contextualSpacing w:val="0"/>
      </w:pPr>
      <w:r>
        <w:t>Corp X is a partner in two partnerships – P1 and P2.</w:t>
      </w:r>
    </w:p>
    <w:p w14:paraId="5E25C5FE" w14:textId="651A5664" w:rsidR="00993C03" w:rsidRDefault="00450FD5" w:rsidP="00FF1104">
      <w:pPr>
        <w:pStyle w:val="ListParagraph"/>
        <w:numPr>
          <w:ilvl w:val="0"/>
          <w:numId w:val="52"/>
        </w:numPr>
      </w:pPr>
      <w:r>
        <w:t>P1 sells services to P2.</w:t>
      </w:r>
      <w:r w:rsidR="00993C03">
        <w:t xml:space="preserve"> </w:t>
      </w:r>
    </w:p>
    <w:p w14:paraId="69DE88F1" w14:textId="61C0E01C" w:rsidR="00450FD5" w:rsidRDefault="00993C03" w:rsidP="00993C03">
      <w:pPr>
        <w:ind w:left="1440"/>
      </w:pPr>
      <w:r>
        <w:t xml:space="preserve">In this example, </w:t>
      </w:r>
      <w:r w:rsidR="00B8495A">
        <w:t>P1’s distributive share net income would include charges to P2 and P2’s distributive share net income would include expense for amounts paid to P1. X’s share of P1 and P2 income and items would be included in the group’s income, offsetting the income and expense</w:t>
      </w:r>
      <w:r>
        <w:t xml:space="preserve"> </w:t>
      </w:r>
      <w:r w:rsidR="00B8495A">
        <w:t xml:space="preserve">to the extent of X’s share of each (which may differ). </w:t>
      </w:r>
    </w:p>
    <w:p w14:paraId="2E0C3595" w14:textId="13626E0E" w:rsidR="00124F46" w:rsidRDefault="00124F46" w:rsidP="00480F3C">
      <w:pPr>
        <w:ind w:left="1440"/>
      </w:pPr>
      <w:r>
        <w:t>As for</w:t>
      </w:r>
      <w:r w:rsidR="00AD772F">
        <w:t xml:space="preserve"> the</w:t>
      </w:r>
      <w:r>
        <w:t xml:space="preserve"> share of P1’s factors</w:t>
      </w:r>
      <w:r w:rsidR="00B8495A">
        <w:t xml:space="preserve"> to include in X’s apportionment factor (Joyce) or the group factor (Finnigan)</w:t>
      </w:r>
      <w:r>
        <w:t xml:space="preserve">, however, the question is whether </w:t>
      </w:r>
      <w:r w:rsidR="00AD772F">
        <w:t xml:space="preserve">X’s share of the </w:t>
      </w:r>
      <w:r>
        <w:t xml:space="preserve">charges </w:t>
      </w:r>
      <w:r w:rsidR="00AD772F">
        <w:t>from P1 to</w:t>
      </w:r>
      <w:r>
        <w:t xml:space="preserve"> P2 should be eliminated</w:t>
      </w:r>
      <w:r w:rsidR="00450FD5">
        <w:t xml:space="preserve">. </w:t>
      </w:r>
      <w:r>
        <w:t>(See more on this issue below.)</w:t>
      </w:r>
    </w:p>
    <w:p w14:paraId="3AA40E34" w14:textId="33E5C0B2" w:rsidR="00C162A0" w:rsidRDefault="00450FD5" w:rsidP="00480F3C">
      <w:pPr>
        <w:spacing w:after="60"/>
        <w:ind w:left="1080"/>
      </w:pPr>
      <w:r>
        <w:rPr>
          <w:u w:val="single"/>
        </w:rPr>
        <w:t xml:space="preserve">Example </w:t>
      </w:r>
      <w:r w:rsidR="00634D98">
        <w:rPr>
          <w:u w:val="single"/>
        </w:rPr>
        <w:t>7</w:t>
      </w:r>
      <w:r>
        <w:rPr>
          <w:u w:val="single"/>
        </w:rPr>
        <w:t xml:space="preserve"> – </w:t>
      </w:r>
      <w:r w:rsidR="00634D98">
        <w:rPr>
          <w:u w:val="single"/>
        </w:rPr>
        <w:t>Tiered Partners</w:t>
      </w:r>
      <w:r>
        <w:t>:</w:t>
      </w:r>
    </w:p>
    <w:p w14:paraId="7B42897E" w14:textId="3E15E1FA" w:rsidR="00480F3C" w:rsidRPr="00C162A0" w:rsidRDefault="00B8495A" w:rsidP="00480F3C">
      <w:pPr>
        <w:spacing w:after="60"/>
        <w:ind w:left="1080"/>
      </w:pPr>
      <w:r>
        <w:t>Note – i</w:t>
      </w:r>
      <w:r w:rsidR="00480F3C">
        <w:t xml:space="preserve">n this example, </w:t>
      </w:r>
      <w:r>
        <w:t>the</w:t>
      </w:r>
      <w:r w:rsidR="00480F3C">
        <w:t xml:space="preserve"> income or factors listed for a particular entity are its </w:t>
      </w:r>
      <w:r>
        <w:t xml:space="preserve">own </w:t>
      </w:r>
      <w:r w:rsidR="00480F3C">
        <w:t xml:space="preserve">direct income and factors, without including its distributive share income or a share of the related partnership’s factors. </w:t>
      </w:r>
      <w:r w:rsidR="005A49FF">
        <w:t>Also, t</w:t>
      </w:r>
      <w:r w:rsidR="00C16757">
        <w:t>he share of the partnership’s factors include</w:t>
      </w:r>
      <w:r w:rsidR="005A49FF">
        <w:t>d</w:t>
      </w:r>
      <w:r w:rsidR="00C16757">
        <w:t xml:space="preserve"> in the partner’s own apportionment factor is based on the partner’s distributive share. (This method is discussed further below.)</w:t>
      </w:r>
    </w:p>
    <w:p w14:paraId="33AA49D0" w14:textId="2ECFB930" w:rsidR="00450FD5" w:rsidRDefault="00450FD5" w:rsidP="00FF1104">
      <w:pPr>
        <w:pStyle w:val="ListParagraph"/>
        <w:numPr>
          <w:ilvl w:val="0"/>
          <w:numId w:val="52"/>
        </w:numPr>
        <w:spacing w:after="60"/>
        <w:contextualSpacing w:val="0"/>
      </w:pPr>
      <w:r>
        <w:t xml:space="preserve">Corp X </w:t>
      </w:r>
      <w:r w:rsidR="00573764">
        <w:t xml:space="preserve">(X) </w:t>
      </w:r>
      <w:r>
        <w:t>is a partner in Partnership 1 (P1) which is a partner in Partnership 2 (P2).</w:t>
      </w:r>
    </w:p>
    <w:p w14:paraId="5F19828D" w14:textId="688B0F3B" w:rsidR="00AD772F" w:rsidRDefault="00480F3C" w:rsidP="00FF1104">
      <w:pPr>
        <w:pStyle w:val="ListParagraph"/>
        <w:numPr>
          <w:ilvl w:val="0"/>
          <w:numId w:val="52"/>
        </w:numPr>
        <w:spacing w:after="60"/>
        <w:contextualSpacing w:val="0"/>
      </w:pPr>
      <w:r>
        <w:t xml:space="preserve">X </w:t>
      </w:r>
      <w:r w:rsidR="00AD772F">
        <w:t>has its own ordinary income</w:t>
      </w:r>
      <w:r w:rsidR="00E85677">
        <w:t>.</w:t>
      </w:r>
      <w:r w:rsidR="00AD772F">
        <w:t xml:space="preserve"> </w:t>
      </w:r>
    </w:p>
    <w:p w14:paraId="0F074DB2" w14:textId="6985E0F3" w:rsidR="00C162A0" w:rsidRDefault="00C162A0" w:rsidP="00FF1104">
      <w:pPr>
        <w:pStyle w:val="ListParagraph"/>
        <w:numPr>
          <w:ilvl w:val="0"/>
          <w:numId w:val="52"/>
        </w:numPr>
        <w:spacing w:after="60"/>
        <w:contextualSpacing w:val="0"/>
      </w:pPr>
      <w:r>
        <w:t xml:space="preserve">P1 has </w:t>
      </w:r>
      <w:r w:rsidR="00AD772F">
        <w:t xml:space="preserve">its own </w:t>
      </w:r>
      <w:r>
        <w:t>ordinary income</w:t>
      </w:r>
      <w:r w:rsidR="00E85677">
        <w:t>.</w:t>
      </w:r>
      <w:r>
        <w:t xml:space="preserve"> </w:t>
      </w:r>
    </w:p>
    <w:p w14:paraId="59FD709F" w14:textId="5013ADEE" w:rsidR="00450FD5" w:rsidRDefault="0013471B" w:rsidP="00FF1104">
      <w:pPr>
        <w:pStyle w:val="ListParagraph"/>
        <w:numPr>
          <w:ilvl w:val="0"/>
          <w:numId w:val="52"/>
        </w:numPr>
        <w:spacing w:after="60"/>
        <w:contextualSpacing w:val="0"/>
      </w:pPr>
      <w:r>
        <w:t>P2 has</w:t>
      </w:r>
      <w:r w:rsidR="00AD772F">
        <w:t xml:space="preserve"> its own</w:t>
      </w:r>
      <w:r>
        <w:t xml:space="preserve"> ordinary income and a capital loss</w:t>
      </w:r>
      <w:r w:rsidR="00E85677">
        <w:t>.</w:t>
      </w:r>
    </w:p>
    <w:p w14:paraId="5BBF3222" w14:textId="77777777" w:rsidR="00573764" w:rsidRDefault="0013471B" w:rsidP="00FF1104">
      <w:pPr>
        <w:pStyle w:val="ListParagraph"/>
        <w:numPr>
          <w:ilvl w:val="0"/>
          <w:numId w:val="52"/>
        </w:numPr>
        <w:spacing w:after="60"/>
        <w:contextualSpacing w:val="0"/>
      </w:pPr>
      <w:r>
        <w:t xml:space="preserve">P1’s share of </w:t>
      </w:r>
      <w:r w:rsidR="00AD772F">
        <w:t>P2’s</w:t>
      </w:r>
      <w:r>
        <w:t xml:space="preserve"> </w:t>
      </w:r>
      <w:r w:rsidR="00573764">
        <w:t xml:space="preserve">distributive share net income is: </w:t>
      </w:r>
    </w:p>
    <w:p w14:paraId="25811A73" w14:textId="77777777" w:rsidR="00573764" w:rsidRDefault="0013471B" w:rsidP="00FF1104">
      <w:pPr>
        <w:pStyle w:val="ListParagraph"/>
        <w:numPr>
          <w:ilvl w:val="1"/>
          <w:numId w:val="52"/>
        </w:numPr>
        <w:spacing w:after="60"/>
        <w:contextualSpacing w:val="0"/>
      </w:pPr>
      <w:r>
        <w:t xml:space="preserve">20% </w:t>
      </w:r>
      <w:r w:rsidR="00573764">
        <w:t>of P2’s ordinary income</w:t>
      </w:r>
    </w:p>
    <w:p w14:paraId="31042CE9" w14:textId="77777777" w:rsidR="00573764" w:rsidRDefault="00573764" w:rsidP="00FF1104">
      <w:pPr>
        <w:pStyle w:val="ListParagraph"/>
        <w:numPr>
          <w:ilvl w:val="1"/>
          <w:numId w:val="52"/>
        </w:numPr>
        <w:spacing w:after="60"/>
        <w:contextualSpacing w:val="0"/>
      </w:pPr>
      <w:r>
        <w:t>50% of P2’s</w:t>
      </w:r>
      <w:r w:rsidR="0013471B">
        <w:t xml:space="preserve"> capital loss </w:t>
      </w:r>
    </w:p>
    <w:p w14:paraId="7D7156B8" w14:textId="299F3A55" w:rsidR="0013471B" w:rsidRDefault="00573764" w:rsidP="00FF1104">
      <w:pPr>
        <w:pStyle w:val="ListParagraph"/>
        <w:numPr>
          <w:ilvl w:val="1"/>
          <w:numId w:val="52"/>
        </w:numPr>
        <w:spacing w:after="60"/>
        <w:contextualSpacing w:val="0"/>
      </w:pPr>
      <w:r>
        <w:t xml:space="preserve">30% - total combined share of </w:t>
      </w:r>
      <w:r w:rsidR="00423598">
        <w:t>P2</w:t>
      </w:r>
      <w:r>
        <w:t>’s</w:t>
      </w:r>
      <w:r w:rsidR="00423598">
        <w:t xml:space="preserve"> </w:t>
      </w:r>
      <w:r>
        <w:t xml:space="preserve">net </w:t>
      </w:r>
      <w:r w:rsidR="00423598">
        <w:t xml:space="preserve">income </w:t>
      </w:r>
      <w:r>
        <w:t>and loss (where the loss is converted to absolute value)</w:t>
      </w:r>
    </w:p>
    <w:p w14:paraId="789A6447" w14:textId="537AE214" w:rsidR="00480F3C" w:rsidRDefault="0013471B" w:rsidP="00FF1104">
      <w:pPr>
        <w:pStyle w:val="ListParagraph"/>
        <w:numPr>
          <w:ilvl w:val="0"/>
          <w:numId w:val="52"/>
        </w:numPr>
        <w:spacing w:after="60"/>
        <w:contextualSpacing w:val="0"/>
      </w:pPr>
      <w:r>
        <w:t xml:space="preserve">X’s share of </w:t>
      </w:r>
      <w:r w:rsidR="00AD772F">
        <w:t xml:space="preserve">all </w:t>
      </w:r>
      <w:r>
        <w:t>P1’s</w:t>
      </w:r>
      <w:r w:rsidR="00AD772F">
        <w:t xml:space="preserve"> income and items</w:t>
      </w:r>
      <w:r w:rsidR="00573764">
        <w:t xml:space="preserve"> </w:t>
      </w:r>
      <w:r w:rsidR="00AD772F">
        <w:t>including P1’s</w:t>
      </w:r>
      <w:r>
        <w:t xml:space="preserve"> share of P2’s ordinary income and capital loss is 50%.</w:t>
      </w:r>
    </w:p>
    <w:p w14:paraId="3907F6D5" w14:textId="21EC0E6C" w:rsidR="00993C03" w:rsidRDefault="0013471B" w:rsidP="00FF1104">
      <w:pPr>
        <w:pStyle w:val="ListParagraph"/>
        <w:numPr>
          <w:ilvl w:val="0"/>
          <w:numId w:val="52"/>
        </w:numPr>
        <w:spacing w:after="120"/>
        <w:contextualSpacing w:val="0"/>
      </w:pPr>
      <w:r>
        <w:t xml:space="preserve">Assuming all income is apportionable, X’s apportionable income would be: </w:t>
      </w:r>
    </w:p>
    <w:p w14:paraId="19ED63A3" w14:textId="5FECEB36" w:rsidR="0013471B" w:rsidRPr="00E06E28" w:rsidRDefault="00634D98" w:rsidP="00634D98">
      <w:pPr>
        <w:pStyle w:val="ListParagraph"/>
        <w:spacing w:after="0"/>
        <w:ind w:left="2520"/>
        <w:contextualSpacing w:val="0"/>
      </w:pPr>
      <w:r>
        <w:t xml:space="preserve">  </w:t>
      </w:r>
      <w:r>
        <w:tab/>
        <w:t xml:space="preserve">   </w:t>
      </w:r>
      <w:r w:rsidR="0013471B">
        <w:t>X’s own apportionable income</w:t>
      </w:r>
    </w:p>
    <w:p w14:paraId="3D4EE636" w14:textId="1B2900AD" w:rsidR="00E06E28" w:rsidRDefault="00634D98" w:rsidP="00634D98">
      <w:pPr>
        <w:spacing w:after="0"/>
      </w:pPr>
      <w:r>
        <w:tab/>
      </w:r>
      <w:r>
        <w:tab/>
      </w:r>
      <w:r>
        <w:tab/>
      </w:r>
      <w:r>
        <w:tab/>
        <w:t xml:space="preserve">+50% of </w:t>
      </w:r>
      <w:r w:rsidR="00573764">
        <w:t xml:space="preserve">P1’s </w:t>
      </w:r>
      <w:r>
        <w:t>20% of P</w:t>
      </w:r>
      <w:r w:rsidR="00423598">
        <w:t>2</w:t>
      </w:r>
      <w:r>
        <w:t>’s ordinary income</w:t>
      </w:r>
    </w:p>
    <w:p w14:paraId="461D768D" w14:textId="76D328A9" w:rsidR="00634D98" w:rsidRDefault="00634D98" w:rsidP="00634D98">
      <w:pPr>
        <w:spacing w:after="0"/>
      </w:pPr>
      <w:r>
        <w:tab/>
      </w:r>
      <w:r>
        <w:tab/>
      </w:r>
      <w:r>
        <w:tab/>
      </w:r>
      <w:r>
        <w:tab/>
        <w:t xml:space="preserve">+50% of </w:t>
      </w:r>
      <w:r w:rsidR="00573764">
        <w:t xml:space="preserve">P1’s </w:t>
      </w:r>
      <w:r>
        <w:t>50% of P</w:t>
      </w:r>
      <w:r w:rsidR="00423598">
        <w:t>2</w:t>
      </w:r>
      <w:r>
        <w:t>’s capital loss</w:t>
      </w:r>
    </w:p>
    <w:p w14:paraId="37A089B6" w14:textId="07C878D5" w:rsidR="00634D98" w:rsidRDefault="00634D98" w:rsidP="00E06E28">
      <w:r>
        <w:tab/>
      </w:r>
      <w:r>
        <w:tab/>
      </w:r>
      <w:r>
        <w:tab/>
      </w:r>
      <w:r>
        <w:tab/>
        <w:t>+50% of P</w:t>
      </w:r>
      <w:r w:rsidR="00423598">
        <w:t>1</w:t>
      </w:r>
      <w:r>
        <w:t>’s own income</w:t>
      </w:r>
    </w:p>
    <w:p w14:paraId="21A02FA5" w14:textId="05AAFFD7" w:rsidR="00634D98" w:rsidRDefault="00634D98" w:rsidP="00FF1104">
      <w:pPr>
        <w:pStyle w:val="ListParagraph"/>
        <w:numPr>
          <w:ilvl w:val="0"/>
          <w:numId w:val="52"/>
        </w:numPr>
        <w:spacing w:after="120"/>
        <w:contextualSpacing w:val="0"/>
      </w:pPr>
      <w:r>
        <w:t xml:space="preserve">X’s apportionable </w:t>
      </w:r>
      <w:r w:rsidR="00423598">
        <w:t xml:space="preserve">factor </w:t>
      </w:r>
      <w:r>
        <w:t xml:space="preserve">would </w:t>
      </w:r>
      <w:r w:rsidR="00423598">
        <w:t>include</w:t>
      </w:r>
      <w:r>
        <w:t>:</w:t>
      </w:r>
    </w:p>
    <w:p w14:paraId="0D2DE2EE" w14:textId="51ED6F90" w:rsidR="00634D98" w:rsidRPr="00E06E28" w:rsidRDefault="00634D98" w:rsidP="00634D98">
      <w:pPr>
        <w:pStyle w:val="ListParagraph"/>
        <w:spacing w:after="0"/>
        <w:ind w:left="2520" w:firstLine="360"/>
        <w:contextualSpacing w:val="0"/>
      </w:pPr>
      <w:r>
        <w:t xml:space="preserve">    X’s own apportionment factors</w:t>
      </w:r>
    </w:p>
    <w:p w14:paraId="03C0FDB6" w14:textId="5CF2DB4D" w:rsidR="00634D98" w:rsidRDefault="00634D98" w:rsidP="00634D98">
      <w:pPr>
        <w:spacing w:after="0"/>
      </w:pPr>
      <w:r>
        <w:tab/>
      </w:r>
      <w:r>
        <w:tab/>
      </w:r>
      <w:r>
        <w:tab/>
      </w:r>
      <w:r>
        <w:tab/>
        <w:t xml:space="preserve">+50% of </w:t>
      </w:r>
      <w:r w:rsidR="00DF1800">
        <w:t xml:space="preserve">P1’s </w:t>
      </w:r>
      <w:r w:rsidR="00423598">
        <w:t>30% of</w:t>
      </w:r>
      <w:r>
        <w:t xml:space="preserve"> </w:t>
      </w:r>
      <w:r w:rsidR="00423598">
        <w:t xml:space="preserve">P2’s total receipts </w:t>
      </w:r>
    </w:p>
    <w:p w14:paraId="68103B96" w14:textId="62E471A0" w:rsidR="00423598" w:rsidRDefault="00634D98" w:rsidP="00423598">
      <w:r>
        <w:tab/>
      </w:r>
      <w:r>
        <w:tab/>
      </w:r>
      <w:r>
        <w:tab/>
      </w:r>
      <w:r>
        <w:tab/>
        <w:t>+50% of P</w:t>
      </w:r>
      <w:r w:rsidR="00DF1800">
        <w:t>1</w:t>
      </w:r>
      <w:r>
        <w:t xml:space="preserve">’s own receipts </w:t>
      </w:r>
    </w:p>
    <w:p w14:paraId="72D65C75" w14:textId="7414BFE8" w:rsidR="00A71D62" w:rsidRDefault="00423598" w:rsidP="00423598">
      <w:pPr>
        <w:ind w:left="1440"/>
      </w:pPr>
      <w:r>
        <w:lastRenderedPageBreak/>
        <w:t>Note that in this example</w:t>
      </w:r>
      <w:r w:rsidR="00573764">
        <w:t xml:space="preserve"> no. 7</w:t>
      </w:r>
      <w:r>
        <w:t xml:space="preserve">, while X includes its indirect shares of P2’s ordinary income and capital loss in apportionable income, it does not distinguish the receipts giving rise to ordinary income versus the capital sale proceeds. Rather, the </w:t>
      </w:r>
      <w:proofErr w:type="gramStart"/>
      <w:r>
        <w:t>same share</w:t>
      </w:r>
      <w:r w:rsidR="00E85677">
        <w:t>—</w:t>
      </w:r>
      <w:proofErr w:type="gramEnd"/>
      <w:r>
        <w:t>30%</w:t>
      </w:r>
      <w:r w:rsidR="00E85677">
        <w:t>--</w:t>
      </w:r>
      <w:r>
        <w:t>is used for both, based on X’s share of P2’s total distributive share income</w:t>
      </w:r>
      <w:r w:rsidR="00573764">
        <w:t xml:space="preserve"> (using absolute values)</w:t>
      </w:r>
      <w:r>
        <w:t>.</w:t>
      </w:r>
      <w:r w:rsidR="00C162A0">
        <w:t xml:space="preserve"> </w:t>
      </w:r>
      <w:r>
        <w:t>But note that s</w:t>
      </w:r>
      <w:r w:rsidR="00C162A0">
        <w:t>pecial allocations are addressed further in the following subsection.</w:t>
      </w:r>
    </w:p>
    <w:p w14:paraId="401E55D9" w14:textId="2FD3DFE8" w:rsidR="00A263AA" w:rsidRPr="00A263AA" w:rsidRDefault="00A263AA" w:rsidP="00A263AA">
      <w:pPr>
        <w:pStyle w:val="Heading4"/>
        <w:ind w:left="720"/>
        <w:rPr>
          <w:u w:val="none"/>
        </w:rPr>
      </w:pPr>
      <w:r>
        <w:t>Is blended apportionment necessary</w:t>
      </w:r>
      <w:r>
        <w:rPr>
          <w:u w:val="none"/>
        </w:rPr>
        <w:t xml:space="preserve">? </w:t>
      </w:r>
    </w:p>
    <w:p w14:paraId="78581327" w14:textId="4FBC5190" w:rsidR="00634D98" w:rsidRDefault="00651A6A" w:rsidP="00651A6A">
      <w:pPr>
        <w:pStyle w:val="ListParagraph"/>
        <w:spacing w:after="120"/>
        <w:contextualSpacing w:val="0"/>
      </w:pPr>
      <w:r>
        <w:t>As these more complicated examples demonstrate, blended apportionment can create difficulties in reporting tax-related information and calculating tax. So one question is whether blended apportionment is ne</w:t>
      </w:r>
      <w:r w:rsidR="00A263AA">
        <w:t>cessary. As with combined corporate reporting, blended apportionment may mitigate the effects that separate-entity reporting can have on sourcing</w:t>
      </w:r>
      <w:r w:rsidR="005E41DB">
        <w:t xml:space="preserve"> of multistate income as the </w:t>
      </w:r>
      <w:r w:rsidR="00573764">
        <w:t xml:space="preserve">simple </w:t>
      </w:r>
      <w:r w:rsidR="005E41DB">
        <w:t>example below demonstrates</w:t>
      </w:r>
      <w:r w:rsidR="00A263AA">
        <w:t>.</w:t>
      </w:r>
    </w:p>
    <w:p w14:paraId="0F88DAB7" w14:textId="708EB689" w:rsidR="005E41DB" w:rsidRDefault="00A263AA" w:rsidP="00480F3C">
      <w:pPr>
        <w:pStyle w:val="ListParagraph"/>
        <w:spacing w:after="120"/>
        <w:ind w:left="1008"/>
        <w:contextualSpacing w:val="0"/>
      </w:pPr>
      <w:r>
        <w:rPr>
          <w:u w:val="single"/>
        </w:rPr>
        <w:t>Example</w:t>
      </w:r>
      <w:r w:rsidR="00480F3C">
        <w:rPr>
          <w:u w:val="single"/>
        </w:rPr>
        <w:t xml:space="preserve"> - Assume</w:t>
      </w:r>
      <w:r>
        <w:t>:</w:t>
      </w:r>
    </w:p>
    <w:p w14:paraId="7F79E216" w14:textId="4415B335" w:rsidR="00A263AA" w:rsidRDefault="00A263AA" w:rsidP="00FF1104">
      <w:pPr>
        <w:pStyle w:val="ListParagraph"/>
        <w:numPr>
          <w:ilvl w:val="0"/>
          <w:numId w:val="53"/>
        </w:numPr>
        <w:spacing w:after="80" w:line="276" w:lineRule="auto"/>
        <w:contextualSpacing w:val="0"/>
        <w:jc w:val="left"/>
      </w:pPr>
      <w:r>
        <w:t xml:space="preserve">Corp  has a subsidiary – Sub </w:t>
      </w:r>
    </w:p>
    <w:p w14:paraId="3305A24B" w14:textId="5F417803" w:rsidR="00A263AA" w:rsidRDefault="00A263AA" w:rsidP="00FF1104">
      <w:pPr>
        <w:pStyle w:val="ListParagraph"/>
        <w:numPr>
          <w:ilvl w:val="0"/>
          <w:numId w:val="53"/>
        </w:numPr>
        <w:spacing w:after="80" w:line="276" w:lineRule="auto"/>
        <w:contextualSpacing w:val="0"/>
        <w:jc w:val="left"/>
      </w:pPr>
      <w:r>
        <w:t xml:space="preserve">Corp and Sub </w:t>
      </w:r>
      <w:r w:rsidR="00C529AE">
        <w:t xml:space="preserve">are headquartered in State X, a non-tax state, but </w:t>
      </w:r>
      <w:r>
        <w:t>o</w:t>
      </w:r>
      <w:r w:rsidR="005E41DB">
        <w:t>perate throughout the US</w:t>
      </w:r>
    </w:p>
    <w:p w14:paraId="621408C2" w14:textId="6DA6049F" w:rsidR="005E41DB" w:rsidRDefault="005E41DB" w:rsidP="00FF1104">
      <w:pPr>
        <w:pStyle w:val="ListParagraph"/>
        <w:numPr>
          <w:ilvl w:val="0"/>
          <w:numId w:val="53"/>
        </w:numPr>
        <w:spacing w:after="80" w:line="276" w:lineRule="auto"/>
        <w:contextualSpacing w:val="0"/>
        <w:jc w:val="left"/>
      </w:pPr>
      <w:r>
        <w:t>Corp and Sub set up Partnership 1 (P1) in which they are 50/50 partners.</w:t>
      </w:r>
    </w:p>
    <w:p w14:paraId="5CC2ACE0" w14:textId="2AAA3DFB" w:rsidR="005E41DB" w:rsidRDefault="005E41DB" w:rsidP="00FF1104">
      <w:pPr>
        <w:pStyle w:val="ListParagraph"/>
        <w:numPr>
          <w:ilvl w:val="0"/>
          <w:numId w:val="53"/>
        </w:numPr>
        <w:spacing w:after="80" w:line="276" w:lineRule="auto"/>
        <w:contextualSpacing w:val="0"/>
        <w:jc w:val="left"/>
      </w:pPr>
      <w:r>
        <w:t>P1</w:t>
      </w:r>
      <w:r w:rsidR="00C529AE">
        <w:t>’s only receipts are from</w:t>
      </w:r>
      <w:r>
        <w:t xml:space="preserve"> charges </w:t>
      </w:r>
      <w:r w:rsidR="00C529AE">
        <w:t xml:space="preserve">to </w:t>
      </w:r>
      <w:r>
        <w:t>both Corp and Sub for certain overhead services, reducing the income of both</w:t>
      </w:r>
    </w:p>
    <w:p w14:paraId="760DF669" w14:textId="404C4B2A" w:rsidR="005E41DB" w:rsidRDefault="005E41DB" w:rsidP="00FF1104">
      <w:pPr>
        <w:pStyle w:val="ListParagraph"/>
        <w:numPr>
          <w:ilvl w:val="0"/>
          <w:numId w:val="53"/>
        </w:numPr>
        <w:spacing w:after="120"/>
        <w:contextualSpacing w:val="0"/>
      </w:pPr>
      <w:r>
        <w:t>Under the rules in most states, the receipts from the fee charged by P1 would be sourced to State X.</w:t>
      </w:r>
    </w:p>
    <w:p w14:paraId="0D2D803B" w14:textId="3A43BE0D" w:rsidR="005E41DB" w:rsidRDefault="005E41DB" w:rsidP="00B104D7">
      <w:pPr>
        <w:spacing w:after="120"/>
        <w:ind w:left="1440"/>
      </w:pPr>
      <w:r>
        <w:t xml:space="preserve">If P1’s income were apportioned </w:t>
      </w:r>
      <w:r w:rsidR="00DC70E0">
        <w:t xml:space="preserve">separately </w:t>
      </w:r>
      <w:r>
        <w:t>at the entity level, it would all be sourced to State X—and so would Corp and Sub’s shares</w:t>
      </w:r>
      <w:r w:rsidR="00124F46">
        <w:t xml:space="preserve"> of that income</w:t>
      </w:r>
      <w:r>
        <w:t>.</w:t>
      </w:r>
    </w:p>
    <w:p w14:paraId="0042EA08" w14:textId="77777777" w:rsidR="00573764" w:rsidRDefault="00124F46" w:rsidP="00B104D7">
      <w:pPr>
        <w:spacing w:after="120"/>
        <w:ind w:left="1440"/>
      </w:pPr>
      <w:r>
        <w:t>But i</w:t>
      </w:r>
      <w:r w:rsidR="005E41DB">
        <w:t>f blended apportionment is used</w:t>
      </w:r>
      <w:r w:rsidR="00DC70E0">
        <w:t>, Corp and Sub would include their shares of P1 income in their combined income, effectively eliminating or offsetting their own expense against that partnership income. Assuming that s</w:t>
      </w:r>
      <w:r w:rsidR="00416B73">
        <w:t>t</w:t>
      </w:r>
      <w:r w:rsidR="00DC70E0">
        <w:t xml:space="preserve">ates also provide that </w:t>
      </w:r>
      <w:r>
        <w:t xml:space="preserve">the </w:t>
      </w:r>
      <w:r w:rsidR="00DC70E0">
        <w:t xml:space="preserve">partners’ shares of the </w:t>
      </w:r>
      <w:r>
        <w:t>fees charged by P1</w:t>
      </w:r>
      <w:r w:rsidR="00DC70E0">
        <w:t xml:space="preserve"> are </w:t>
      </w:r>
      <w:r w:rsidR="00573764">
        <w:t>excluded</w:t>
      </w:r>
      <w:r w:rsidR="00DC70E0">
        <w:t xml:space="preserve"> from the apportionment factor</w:t>
      </w:r>
      <w:r w:rsidR="005E41DB">
        <w:t xml:space="preserve">, </w:t>
      </w:r>
      <w:r>
        <w:t>then the effect of the</w:t>
      </w:r>
      <w:r w:rsidR="00DC70E0">
        <w:t>se charges</w:t>
      </w:r>
      <w:r w:rsidR="005E41DB">
        <w:t xml:space="preserve"> </w:t>
      </w:r>
      <w:r w:rsidR="00DC70E0">
        <w:t xml:space="preserve">on that factor </w:t>
      </w:r>
      <w:r w:rsidR="005E41DB">
        <w:t xml:space="preserve">would </w:t>
      </w:r>
      <w:r w:rsidR="00DC70E0">
        <w:t xml:space="preserve">also </w:t>
      </w:r>
      <w:r w:rsidR="005E41DB">
        <w:t>be eliminated</w:t>
      </w:r>
      <w:r w:rsidR="00DC70E0">
        <w:t>.</w:t>
      </w:r>
    </w:p>
    <w:p w14:paraId="62BFD7F0" w14:textId="6554F10E" w:rsidR="005E41DB" w:rsidRPr="00A263AA" w:rsidRDefault="00573764" w:rsidP="00B104D7">
      <w:pPr>
        <w:spacing w:after="120"/>
        <w:ind w:left="1440"/>
      </w:pPr>
      <w:r>
        <w:t xml:space="preserve">In addition to this simple example, partnerships may be used in other ways to shift the sourcing of income of the partners and blended apportionment appears to address these other ways as well. </w:t>
      </w:r>
      <w:r w:rsidR="00DC70E0">
        <w:t xml:space="preserve"> </w:t>
      </w:r>
    </w:p>
    <w:p w14:paraId="49F406A2" w14:textId="0F39A930" w:rsidR="00634D98" w:rsidRPr="00BB4E8D" w:rsidRDefault="00CB5231" w:rsidP="00CB5231">
      <w:pPr>
        <w:pStyle w:val="Heading4"/>
        <w:ind w:left="720"/>
      </w:pPr>
      <w:r>
        <w:t>How is the share of partnership factors to include determined?</w:t>
      </w:r>
    </w:p>
    <w:p w14:paraId="3487E384" w14:textId="77777777" w:rsidR="0049120C" w:rsidRDefault="00D03796" w:rsidP="0049120C">
      <w:pPr>
        <w:spacing w:after="80" w:line="276" w:lineRule="auto"/>
        <w:ind w:left="720"/>
        <w:jc w:val="left"/>
      </w:pPr>
      <w:r>
        <w:t>The main question when applying blended apportionment is how to determine the share of partnership factors to be included in the partner’s own apportionment factor.</w:t>
      </w:r>
      <w:r w:rsidR="00A702C1">
        <w:t xml:space="preserve"> </w:t>
      </w:r>
      <w:r w:rsidR="0049120C">
        <w:t xml:space="preserve">Only a minority of states that have explicitly provided for the use of blended apportionment have also specified how this share is determined. </w:t>
      </w:r>
      <w:r w:rsidR="00BB4E8D">
        <w:t xml:space="preserve">The share of partnership factors could be determined in </w:t>
      </w:r>
      <w:r w:rsidR="0049120C">
        <w:t xml:space="preserve">using different approaches. Based on discussions with the work group and consideration of different examples, it appears that each of these approaches has particular problems that </w:t>
      </w:r>
      <w:proofErr w:type="gramStart"/>
      <w:r w:rsidR="0049120C">
        <w:t>would need</w:t>
      </w:r>
      <w:proofErr w:type="gramEnd"/>
      <w:r w:rsidR="0049120C">
        <w:t xml:space="preserve"> to be addressed. </w:t>
      </w:r>
    </w:p>
    <w:p w14:paraId="46C64756" w14:textId="4213F6DB" w:rsidR="00BB4E8D" w:rsidRDefault="0049120C" w:rsidP="00FF1104">
      <w:pPr>
        <w:pStyle w:val="ListParagraph"/>
        <w:numPr>
          <w:ilvl w:val="0"/>
          <w:numId w:val="54"/>
        </w:numPr>
        <w:spacing w:after="80" w:line="276" w:lineRule="auto"/>
        <w:contextualSpacing w:val="0"/>
        <w:jc w:val="left"/>
      </w:pPr>
      <w:r>
        <w:t xml:space="preserve">Item-Based Approach: </w:t>
      </w:r>
      <w:r w:rsidR="00BB4E8D" w:rsidRPr="00BB4E8D">
        <w:t>Directly attribute the receipts to particular partners based on the partnership items making up their distributive share.</w:t>
      </w:r>
    </w:p>
    <w:p w14:paraId="200C1F61" w14:textId="6A71E166" w:rsidR="0049120C" w:rsidRDefault="0049120C" w:rsidP="0049120C">
      <w:pPr>
        <w:pStyle w:val="ListParagraph"/>
        <w:spacing w:after="80" w:line="276" w:lineRule="auto"/>
        <w:ind w:left="1440"/>
        <w:contextualSpacing w:val="0"/>
        <w:jc w:val="left"/>
      </w:pPr>
      <w:r>
        <w:t xml:space="preserve">The problem this approach is that partners may receive special allocations of items of partnership expense or loss separately from any items of income or gain—and the receipts that should be associated with these special allocations will be difficult if not impossible to determine. </w:t>
      </w:r>
    </w:p>
    <w:p w14:paraId="27DED7F7" w14:textId="77777777" w:rsidR="0049120C" w:rsidRPr="00BB4E8D" w:rsidRDefault="0049120C" w:rsidP="0049120C">
      <w:pPr>
        <w:pStyle w:val="ListParagraph"/>
        <w:spacing w:after="80" w:line="276" w:lineRule="auto"/>
        <w:ind w:left="1440"/>
        <w:contextualSpacing w:val="0"/>
        <w:jc w:val="left"/>
      </w:pPr>
    </w:p>
    <w:p w14:paraId="3FAB85D5" w14:textId="3BF37C90" w:rsidR="00BB4E8D" w:rsidRDefault="0049120C" w:rsidP="00FF1104">
      <w:pPr>
        <w:pStyle w:val="ListParagraph"/>
        <w:numPr>
          <w:ilvl w:val="0"/>
          <w:numId w:val="54"/>
        </w:numPr>
        <w:spacing w:after="80" w:line="276" w:lineRule="auto"/>
        <w:contextualSpacing w:val="0"/>
        <w:jc w:val="left"/>
      </w:pPr>
      <w:r>
        <w:lastRenderedPageBreak/>
        <w:t xml:space="preserve">Interest-Based Approach: </w:t>
      </w:r>
      <w:r w:rsidR="00BB4E8D" w:rsidRPr="00BB4E8D">
        <w:t>Use a ratio of the partner’s “interest in the partnership” (same as federal rules under 704(b))</w:t>
      </w:r>
      <w:r w:rsidR="00050C67">
        <w:t>.</w:t>
      </w:r>
    </w:p>
    <w:p w14:paraId="765684B8" w14:textId="3C70579B" w:rsidR="0049120C" w:rsidRDefault="0049120C" w:rsidP="0049120C">
      <w:pPr>
        <w:pStyle w:val="ListParagraph"/>
        <w:spacing w:after="80" w:line="276" w:lineRule="auto"/>
        <w:ind w:left="1440"/>
        <w:contextualSpacing w:val="0"/>
        <w:jc w:val="left"/>
      </w:pPr>
      <w:r>
        <w:t xml:space="preserve">The problem with using the ratio of the partner’s “interest in the partnership” is that, under IRS regulations, this is determined based on all facts and circumstances and is generally done at the federal level only when special allocations are determined to lack substantial economic effect. Therefore using this approach would likely involve significant uncertainty. </w:t>
      </w:r>
    </w:p>
    <w:p w14:paraId="323A232F" w14:textId="5B0BA8FD" w:rsidR="00BB4E8D" w:rsidRPr="00BB4E8D" w:rsidRDefault="0049120C" w:rsidP="00FF1104">
      <w:pPr>
        <w:pStyle w:val="ListParagraph"/>
        <w:numPr>
          <w:ilvl w:val="0"/>
          <w:numId w:val="54"/>
        </w:numPr>
        <w:spacing w:after="80" w:line="276" w:lineRule="auto"/>
        <w:contextualSpacing w:val="0"/>
        <w:jc w:val="left"/>
      </w:pPr>
      <w:r>
        <w:t xml:space="preserve">Capital Share-Based Approach: </w:t>
      </w:r>
      <w:r w:rsidR="00BB4E8D" w:rsidRPr="00BB4E8D">
        <w:t>Use a ratio of the partner’s share of capital</w:t>
      </w:r>
      <w:r w:rsidR="00050C67">
        <w:t>.</w:t>
      </w:r>
    </w:p>
    <w:p w14:paraId="7786C4A7" w14:textId="4ADA7F27" w:rsidR="0049120C" w:rsidRDefault="0049120C" w:rsidP="0049120C">
      <w:pPr>
        <w:pStyle w:val="ListParagraph"/>
        <w:spacing w:after="120"/>
        <w:ind w:left="1440"/>
        <w:contextualSpacing w:val="0"/>
      </w:pPr>
      <w:r>
        <w:t>The problem with using the partner’s share of capital is that this may not reflect the share of income the partner is allocated in the particular tax year. This is true whenever there are special allocations of partnership items.</w:t>
      </w:r>
    </w:p>
    <w:p w14:paraId="3DF0D761" w14:textId="77777777" w:rsidR="0049120C" w:rsidRDefault="0049120C" w:rsidP="00FF1104">
      <w:pPr>
        <w:pStyle w:val="ListParagraph"/>
        <w:numPr>
          <w:ilvl w:val="0"/>
          <w:numId w:val="54"/>
        </w:numPr>
        <w:spacing w:after="120"/>
        <w:contextualSpacing w:val="0"/>
      </w:pPr>
      <w:r>
        <w:t xml:space="preserve">Distributive Share-Based Approach: </w:t>
      </w:r>
      <w:r w:rsidR="00BB4E8D" w:rsidRPr="00BB4E8D">
        <w:t xml:space="preserve">Use a ratio of the partner’s share of partnership </w:t>
      </w:r>
      <w:r>
        <w:t xml:space="preserve">net distributive share </w:t>
      </w:r>
      <w:r w:rsidR="00BB4E8D" w:rsidRPr="00BB4E8D">
        <w:t>income</w:t>
      </w:r>
      <w:r w:rsidR="00050C67">
        <w:t>.</w:t>
      </w:r>
    </w:p>
    <w:p w14:paraId="7B7A6122" w14:textId="6BFC024B" w:rsidR="00D03796" w:rsidRDefault="00CA5824" w:rsidP="0049120C">
      <w:pPr>
        <w:pStyle w:val="ListParagraph"/>
        <w:ind w:left="1440"/>
      </w:pPr>
      <w:r>
        <w:t>The problem with</w:t>
      </w:r>
      <w:r w:rsidR="00F71B80">
        <w:t xml:space="preserve"> using a ratio of the partner’s share of partnership distributive share income is that special allocations may cause the partner to be allocated net losses while the partnership has positive income or vi</w:t>
      </w:r>
      <w:r w:rsidR="00E85677">
        <w:t xml:space="preserve">ce </w:t>
      </w:r>
      <w:r w:rsidR="00F71B80">
        <w:t xml:space="preserve">versa. This problem can be solved by converting all items to absolute values. </w:t>
      </w:r>
      <w:r>
        <w:t xml:space="preserve"> </w:t>
      </w:r>
    </w:p>
    <w:p w14:paraId="15D292CA" w14:textId="1FE311E9" w:rsidR="00F71B80" w:rsidRDefault="00F71B80" w:rsidP="003421A8">
      <w:pPr>
        <w:ind w:left="720"/>
      </w:pPr>
      <w:r>
        <w:t>The work group has considered each of these problems and some volunteers have also looked at the approach of using the partner’s share of partnership income (no. 4) and converting items to absolute value</w:t>
      </w:r>
      <w:r w:rsidR="00E52979">
        <w:t>. The result is that it appears this approach is the best method and can be workable in the greatest number of circumstances.</w:t>
      </w:r>
      <w:r w:rsidR="003421A8">
        <w:t xml:space="preserve"> </w:t>
      </w:r>
      <w:r w:rsidR="0049120C">
        <w:t>(</w:t>
      </w:r>
      <w:r w:rsidR="003421A8">
        <w:t>But see the discussion of special</w:t>
      </w:r>
      <w:r w:rsidR="0049120C">
        <w:t xml:space="preserve"> or mandatory</w:t>
      </w:r>
      <w:r w:rsidR="003421A8">
        <w:t xml:space="preserve"> allocations </w:t>
      </w:r>
      <w:r w:rsidR="0049120C">
        <w:t xml:space="preserve">in subsection II. C. </w:t>
      </w:r>
      <w:r w:rsidR="003421A8">
        <w:t xml:space="preserve">below where variations in this approach </w:t>
      </w:r>
      <w:r w:rsidR="0049120C">
        <w:t>are considered</w:t>
      </w:r>
      <w:r w:rsidR="003421A8">
        <w:t>.</w:t>
      </w:r>
      <w:r w:rsidR="0049120C">
        <w:t>)</w:t>
      </w:r>
      <w:r>
        <w:t xml:space="preserve"> </w:t>
      </w:r>
    </w:p>
    <w:p w14:paraId="4C16A82C" w14:textId="4036DD7B" w:rsidR="00D03796" w:rsidRDefault="00E52979" w:rsidP="00CB5231">
      <w:pPr>
        <w:pStyle w:val="Heading4"/>
        <w:ind w:left="720"/>
      </w:pPr>
      <w:r>
        <w:t xml:space="preserve">How should partner-partnership or related-entity transactions be treated?  </w:t>
      </w:r>
    </w:p>
    <w:p w14:paraId="21DC5F78" w14:textId="60C492BE" w:rsidR="00E52979" w:rsidRDefault="00CB5231" w:rsidP="00CB5231">
      <w:pPr>
        <w:ind w:left="720"/>
      </w:pPr>
      <w:r>
        <w:t>Another important question in applying blended apportionment</w:t>
      </w:r>
      <w:r w:rsidR="00FF7FD4">
        <w:t xml:space="preserve"> generally</w:t>
      </w:r>
      <w:r w:rsidR="00E52979">
        <w:t xml:space="preserve"> is how partner-partnership or related-entity transactions should be treated and when should their effects on </w:t>
      </w:r>
      <w:r w:rsidR="00DC70E0">
        <w:t>apportionment</w:t>
      </w:r>
      <w:r w:rsidR="00E52979">
        <w:t xml:space="preserve"> factors be eliminated. As noted in subsection I.D. above, these transactions </w:t>
      </w:r>
      <w:r w:rsidR="004B3F6F">
        <w:t xml:space="preserve">between partners and the partnership </w:t>
      </w:r>
      <w:r w:rsidR="00E52979">
        <w:t>can take a number of different forms</w:t>
      </w:r>
      <w:r w:rsidR="00FF7FD4">
        <w:t>:</w:t>
      </w:r>
      <w:r w:rsidR="00E52979">
        <w:t xml:space="preserve"> </w:t>
      </w:r>
    </w:p>
    <w:p w14:paraId="283EF9AF" w14:textId="630D5179" w:rsidR="004B3F6F" w:rsidRDefault="004B3F6F" w:rsidP="00FF1104">
      <w:pPr>
        <w:pStyle w:val="ListParagraph"/>
        <w:numPr>
          <w:ilvl w:val="0"/>
          <w:numId w:val="55"/>
        </w:numPr>
        <w:spacing w:after="120"/>
        <w:contextualSpacing w:val="0"/>
      </w:pPr>
      <w:r>
        <w:t xml:space="preserve">Contributions to and distributions from the partnership – </w:t>
      </w:r>
      <w:r w:rsidR="00C7211A">
        <w:t>T</w:t>
      </w:r>
      <w:r>
        <w:t>hese transfers of cash or property do not have an impact on receipts or income.</w:t>
      </w:r>
    </w:p>
    <w:p w14:paraId="70F1F77D" w14:textId="63E65ABC" w:rsidR="004B3F6F" w:rsidRDefault="004B3F6F" w:rsidP="00FF1104">
      <w:pPr>
        <w:pStyle w:val="ListParagraph"/>
        <w:numPr>
          <w:ilvl w:val="0"/>
          <w:numId w:val="55"/>
        </w:numPr>
        <w:spacing w:after="120"/>
        <w:contextualSpacing w:val="0"/>
      </w:pPr>
      <w:r>
        <w:t>Guaranteed payments (under IRC § 707(c))</w:t>
      </w:r>
      <w:r w:rsidR="00C7211A">
        <w:t xml:space="preserve"> – These payments are generally made to partners for services or the use of capital. They can be made to both individual and corporate partners. Guaranteed payments have an effect on partnership distributive share income (and are generally treated as expenses)</w:t>
      </w:r>
      <w:r w:rsidR="00FF7FD4">
        <w:t xml:space="preserve"> but their effect on receipts is unclear</w:t>
      </w:r>
      <w:r w:rsidR="00C7211A">
        <w:t xml:space="preserve">. </w:t>
      </w:r>
    </w:p>
    <w:p w14:paraId="598DFE4E" w14:textId="42191DF1" w:rsidR="004B3F6F" w:rsidRDefault="004B3F6F" w:rsidP="00FF1104">
      <w:pPr>
        <w:pStyle w:val="ListParagraph"/>
        <w:numPr>
          <w:ilvl w:val="0"/>
          <w:numId w:val="55"/>
        </w:numPr>
        <w:spacing w:after="120"/>
        <w:contextualSpacing w:val="0"/>
      </w:pPr>
      <w:r>
        <w:t>Transactions with partners not acting in the role of partner (under IRC § 707(a))</w:t>
      </w:r>
      <w:r w:rsidR="00C7211A">
        <w:t xml:space="preserve"> – These transactions are generally treated as transactions between unrelated parties and so may give rise to both income and receipts.</w:t>
      </w:r>
    </w:p>
    <w:p w14:paraId="168C3466" w14:textId="072A41DB" w:rsidR="004B3F6F" w:rsidRDefault="004B3F6F" w:rsidP="00FF1104">
      <w:pPr>
        <w:pStyle w:val="ListParagraph"/>
        <w:numPr>
          <w:ilvl w:val="0"/>
          <w:numId w:val="55"/>
        </w:numPr>
      </w:pPr>
      <w:r>
        <w:t>Transactions with indirectly related partners or partnerships and other entities</w:t>
      </w:r>
      <w:r w:rsidR="00C7211A">
        <w:t xml:space="preserve"> – These transactions are generally not covered under Subchapter K or the pass-through tax treatment of partner or partnership income or receipts, but may have an effect on the calculation of state income and </w:t>
      </w:r>
      <w:r w:rsidR="00FF7FD4">
        <w:t>receipts</w:t>
      </w:r>
      <w:r w:rsidR="00C7211A">
        <w:t xml:space="preserve"> factors. </w:t>
      </w:r>
    </w:p>
    <w:p w14:paraId="60EBF99F" w14:textId="19AB571A" w:rsidR="00C7211A" w:rsidRDefault="00FF7FD4" w:rsidP="004B3F6F">
      <w:pPr>
        <w:ind w:left="720"/>
      </w:pPr>
      <w:r>
        <w:t>C</w:t>
      </w:r>
      <w:r w:rsidR="00663587">
        <w:t>ategories 2-3 above are the primary concern here</w:t>
      </w:r>
      <w:r w:rsidR="00C7211A">
        <w:t>.</w:t>
      </w:r>
      <w:r w:rsidR="00C7211A">
        <w:rPr>
          <w:rStyle w:val="FootnoteReference"/>
        </w:rPr>
        <w:footnoteReference w:id="30"/>
      </w:r>
      <w:r w:rsidR="00C7211A">
        <w:t xml:space="preserve"> </w:t>
      </w:r>
      <w:r>
        <w:t>Category 4 is the subject of subsection II.D. below.</w:t>
      </w:r>
    </w:p>
    <w:p w14:paraId="70742438" w14:textId="032E6B37" w:rsidR="004B3F6F" w:rsidRDefault="00663587" w:rsidP="004B3F6F">
      <w:pPr>
        <w:ind w:left="720"/>
      </w:pPr>
      <w:r>
        <w:lastRenderedPageBreak/>
        <w:t>As noted in Section I.F. above, w</w:t>
      </w:r>
      <w:r w:rsidR="004B3F6F">
        <w:t xml:space="preserve">hen combining the income of related corporations under combined or consolidated reporting systems, the </w:t>
      </w:r>
      <w:r w:rsidR="00B86717">
        <w:t xml:space="preserve">intercompany transactions between members of the group are effectively eliminated in computing net income. In addition, states will not </w:t>
      </w:r>
      <w:r w:rsidR="00F066B4">
        <w:t xml:space="preserve">include the </w:t>
      </w:r>
      <w:r>
        <w:t xml:space="preserve">intercompany </w:t>
      </w:r>
      <w:r w:rsidR="00F066B4">
        <w:t xml:space="preserve">receipts in the receipts or sales factor of the </w:t>
      </w:r>
      <w:r w:rsidR="00FF7FD4">
        <w:t xml:space="preserve">group’s or members’ </w:t>
      </w:r>
      <w:r w:rsidR="00F066B4">
        <w:t xml:space="preserve">apportionment formula. </w:t>
      </w:r>
      <w:r w:rsidR="00757CF2">
        <w:t>To do otherwise would lead to distortion</w:t>
      </w:r>
      <w:r w:rsidR="000369D0">
        <w:t xml:space="preserve">. </w:t>
      </w:r>
    </w:p>
    <w:p w14:paraId="1BA844A3" w14:textId="6C2EE21F" w:rsidR="00757CF2" w:rsidRDefault="00FF7FD4" w:rsidP="00663587">
      <w:pPr>
        <w:ind w:left="720"/>
      </w:pPr>
      <w:r>
        <w:t xml:space="preserve">Blended apportionment generally </w:t>
      </w:r>
      <w:r w:rsidR="00663587">
        <w:t xml:space="preserve">has a similar effect </w:t>
      </w:r>
      <w:r>
        <w:t xml:space="preserve">on apportionable income—offsetting the income and expense—at least to the extent of the share of partnership income or items included in the blended income. </w:t>
      </w:r>
      <w:r w:rsidR="00663587">
        <w:t xml:space="preserve">But as with </w:t>
      </w:r>
      <w:r w:rsidR="00757CF2">
        <w:t xml:space="preserve">related corporations, </w:t>
      </w:r>
      <w:r w:rsidR="00663587">
        <w:t xml:space="preserve">if the same share of </w:t>
      </w:r>
      <w:r w:rsidR="00050C67">
        <w:t>partner-partnership</w:t>
      </w:r>
      <w:r w:rsidR="00663587">
        <w:t xml:space="preserve"> receipts is not </w:t>
      </w:r>
      <w:r w:rsidR="00050C67">
        <w:t xml:space="preserve">also </w:t>
      </w:r>
      <w:r w:rsidR="00663587">
        <w:t xml:space="preserve">removed from </w:t>
      </w:r>
      <w:r w:rsidR="00757CF2">
        <w:t>factors in the blended apportionment calculation</w:t>
      </w:r>
      <w:r w:rsidR="00663587">
        <w:t>, this</w:t>
      </w:r>
      <w:r w:rsidR="00757CF2">
        <w:t xml:space="preserve"> </w:t>
      </w:r>
      <w:r>
        <w:t>would</w:t>
      </w:r>
      <w:r w:rsidR="00757CF2">
        <w:t xml:space="preserve"> potentially create distortion. </w:t>
      </w:r>
      <w:r w:rsidR="000369D0">
        <w:t xml:space="preserve">About a dozen states which have explicitly addressed blended apportionment have also addressed the need to eliminate </w:t>
      </w:r>
      <w:r w:rsidR="00663587">
        <w:t>from the blended apportionment factor a share of any related-party</w:t>
      </w:r>
      <w:r w:rsidR="000369D0">
        <w:t xml:space="preserve"> </w:t>
      </w:r>
      <w:r w:rsidR="00663587">
        <w:t>receipts</w:t>
      </w:r>
      <w:r w:rsidR="000369D0">
        <w:t xml:space="preserve">. </w:t>
      </w:r>
    </w:p>
    <w:p w14:paraId="18B0DFF6" w14:textId="5BAF4CB5" w:rsidR="00050C67" w:rsidRDefault="00050C67" w:rsidP="00663587">
      <w:pPr>
        <w:ind w:left="720"/>
      </w:pPr>
      <w:r>
        <w:t xml:space="preserve">The primary question is whether these state rules are broad enough and whether they should explicitly address not just partner-partnership receipts under IRC 707(a), but also guaranteed payments for services or capital and related-entity charges where those charges would otherwise be included in the blended apportionment factor. (See Example 5 </w:t>
      </w:r>
      <w:r w:rsidR="003C624A">
        <w:t>above.)</w:t>
      </w:r>
    </w:p>
    <w:p w14:paraId="61BB9DE5" w14:textId="00E86390" w:rsidR="00CB5231" w:rsidRPr="00CB5231" w:rsidRDefault="003C624A" w:rsidP="003C624A">
      <w:r>
        <w:t>Note that blended apportionment with the rules discussed above may not be sufficient to address every possible state tax sourcing issue raised by the pass-through system. Other issues are covered in the following sections and may need to be combined with blended apportionment to handle these issues.</w:t>
      </w:r>
      <w:r w:rsidR="00CB5231">
        <w:t xml:space="preserve"> </w:t>
      </w:r>
    </w:p>
    <w:p w14:paraId="72343495" w14:textId="122635AC" w:rsidR="00D13CB4" w:rsidRDefault="00D13CB4" w:rsidP="00CB5231">
      <w:pPr>
        <w:pStyle w:val="Heading3"/>
      </w:pPr>
      <w:bookmarkStart w:id="73" w:name="_Toc195435262"/>
      <w:r>
        <w:t>When should blended apportionment be used?</w:t>
      </w:r>
      <w:bookmarkEnd w:id="73"/>
    </w:p>
    <w:p w14:paraId="5974EC41" w14:textId="12009E7B" w:rsidR="00F95EE8" w:rsidRPr="00F95EE8" w:rsidRDefault="00F95EE8" w:rsidP="00F95EE8">
      <w:r>
        <w:t>[NOTE – As of the date of this discussion draft, the work group has not considered the issues summarized in this part.]</w:t>
      </w:r>
    </w:p>
    <w:bookmarkEnd w:id="67"/>
    <w:p w14:paraId="2070C71C" w14:textId="18D1B62F" w:rsidR="009B57D8" w:rsidRDefault="009B57D8" w:rsidP="00B104D7">
      <w:pPr>
        <w:spacing w:line="276" w:lineRule="auto"/>
        <w:jc w:val="left"/>
        <w:rPr>
          <w:sz w:val="18"/>
          <w:szCs w:val="20"/>
        </w:rPr>
      </w:pPr>
      <w:r>
        <w:rPr>
          <w:noProof/>
        </w:rPr>
        <w:drawing>
          <wp:anchor distT="0" distB="0" distL="114300" distR="114300" simplePos="0" relativeHeight="251692544" behindDoc="0" locked="0" layoutInCell="1" allowOverlap="1" wp14:anchorId="3B253060" wp14:editId="41699962">
            <wp:simplePos x="0" y="0"/>
            <wp:positionH relativeFrom="margin">
              <wp:posOffset>-120015</wp:posOffset>
            </wp:positionH>
            <wp:positionV relativeFrom="paragraph">
              <wp:posOffset>54610</wp:posOffset>
            </wp:positionV>
            <wp:extent cx="3688715" cy="2214245"/>
            <wp:effectExtent l="0" t="0" r="6985" b="0"/>
            <wp:wrapSquare wrapText="bothSides"/>
            <wp:docPr id="13742492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8715" cy="2214245"/>
                    </a:xfrm>
                    <a:prstGeom prst="rect">
                      <a:avLst/>
                    </a:prstGeom>
                    <a:noFill/>
                  </pic:spPr>
                </pic:pic>
              </a:graphicData>
            </a:graphic>
            <wp14:sizeRelH relativeFrom="margin">
              <wp14:pctWidth>0</wp14:pctWidth>
            </wp14:sizeRelH>
            <wp14:sizeRelV relativeFrom="margin">
              <wp14:pctHeight>0</wp14:pctHeight>
            </wp14:sizeRelV>
          </wp:anchor>
        </w:drawing>
      </w:r>
    </w:p>
    <w:p w14:paraId="26E47C8C" w14:textId="77777777" w:rsidR="00FF7FD4" w:rsidRDefault="00FF7FD4" w:rsidP="00B104D7">
      <w:pPr>
        <w:spacing w:line="276" w:lineRule="auto"/>
        <w:jc w:val="left"/>
        <w:rPr>
          <w:sz w:val="18"/>
          <w:szCs w:val="20"/>
        </w:rPr>
      </w:pPr>
    </w:p>
    <w:p w14:paraId="70941954" w14:textId="5F890728" w:rsidR="00B104D7" w:rsidRDefault="000876DE" w:rsidP="00B104D7">
      <w:pPr>
        <w:spacing w:line="276" w:lineRule="auto"/>
        <w:jc w:val="left"/>
      </w:pPr>
      <w:r w:rsidRPr="000876DE">
        <w:rPr>
          <w:sz w:val="18"/>
          <w:szCs w:val="20"/>
        </w:rPr>
        <w:t xml:space="preserve">The map at the left here shows the states (in green) that have explicitly  adopted </w:t>
      </w:r>
      <w:r>
        <w:rPr>
          <w:sz w:val="18"/>
          <w:szCs w:val="20"/>
        </w:rPr>
        <w:t>a limit on the use of blended apportionment to circumstances in which the partner and the partnership are part of the same unitary business.</w:t>
      </w:r>
    </w:p>
    <w:p w14:paraId="1E63C6F9" w14:textId="3B19E96D" w:rsidR="00B104D7" w:rsidRDefault="00B104D7" w:rsidP="00B104D7">
      <w:pPr>
        <w:spacing w:line="276" w:lineRule="auto"/>
        <w:jc w:val="left"/>
      </w:pPr>
    </w:p>
    <w:p w14:paraId="2C3A827E" w14:textId="77777777" w:rsidR="00B104D7" w:rsidRDefault="00B104D7" w:rsidP="00B104D7">
      <w:pPr>
        <w:spacing w:line="276" w:lineRule="auto"/>
        <w:jc w:val="left"/>
      </w:pPr>
    </w:p>
    <w:p w14:paraId="13187393" w14:textId="77777777" w:rsidR="00B104D7" w:rsidRDefault="00B104D7" w:rsidP="00B104D7">
      <w:pPr>
        <w:spacing w:line="276" w:lineRule="auto"/>
        <w:jc w:val="left"/>
      </w:pPr>
    </w:p>
    <w:p w14:paraId="37CFB0BA" w14:textId="019D9DDE" w:rsidR="00FF7FD4" w:rsidRDefault="00250FF0" w:rsidP="00B104D7">
      <w:pPr>
        <w:spacing w:line="276" w:lineRule="auto"/>
        <w:jc w:val="left"/>
      </w:pPr>
      <w:r>
        <w:t xml:space="preserve">In the context of combined corporate filing, states </w:t>
      </w:r>
      <w:r w:rsidR="008E5139">
        <w:t>have generally looked to the unitary business principle in determining the members of the combined group. This raises the question of whether blended apportionment should also be limited to those partnerships and partners that are part of a unitary business. In addition, t</w:t>
      </w:r>
      <w:r>
        <w:t>he application of blended apportionment in the pass-through system is more difficult and requires more information reporting than apportioning partnership income at the partnership level and simply retaining and attributing the income’s source as it passes to direct and indirect partners. This</w:t>
      </w:r>
      <w:r w:rsidR="008E5139">
        <w:t xml:space="preserve"> difficulty, in turn, raises questions as to whether other limits on the use of blended apportionment should be adopted for administrative ease. </w:t>
      </w:r>
    </w:p>
    <w:p w14:paraId="0F7ADA1E" w14:textId="529DCD63" w:rsidR="008E5139" w:rsidRDefault="008E5139" w:rsidP="00B104D7">
      <w:pPr>
        <w:spacing w:line="276" w:lineRule="auto"/>
        <w:jc w:val="left"/>
      </w:pPr>
      <w:r>
        <w:t xml:space="preserve">In considering these questions, the following information may be helpful. </w:t>
      </w:r>
    </w:p>
    <w:p w14:paraId="5528FE2C" w14:textId="13DA877C" w:rsidR="000876DE" w:rsidRDefault="008E5139" w:rsidP="00B104D7">
      <w:pPr>
        <w:pStyle w:val="Heading4"/>
        <w:ind w:left="720"/>
      </w:pPr>
      <w:r>
        <w:lastRenderedPageBreak/>
        <w:t>Applying the unity business principle to partnerships is more difficult.</w:t>
      </w:r>
    </w:p>
    <w:p w14:paraId="7251954C" w14:textId="4C429D32" w:rsidR="000876DE" w:rsidRDefault="000876DE" w:rsidP="00073262">
      <w:pPr>
        <w:spacing w:after="120"/>
        <w:ind w:left="720"/>
      </w:pPr>
      <w:r>
        <w:t>There are a number of U.S. Supreme Court cases that address the unitary business principle</w:t>
      </w:r>
      <w:r w:rsidR="00493CDA">
        <w:t xml:space="preserve"> in the context of </w:t>
      </w:r>
      <w:r w:rsidR="002F7A6A">
        <w:t xml:space="preserve">constitutional limitations on state taxation of multistate corporate income—implicating both the nexus to tax that income (or the corporation generating it) as well as whether that income can be fairly apportioned. </w:t>
      </w:r>
      <w:r w:rsidR="00493CDA">
        <w:t xml:space="preserve">In this context, the unitary business </w:t>
      </w:r>
      <w:r>
        <w:t xml:space="preserve">principle </w:t>
      </w:r>
      <w:r w:rsidR="002F7A6A">
        <w:t xml:space="preserve">often </w:t>
      </w:r>
      <w:r>
        <w:t xml:space="preserve">looks to </w:t>
      </w:r>
      <w:r w:rsidR="008E5139">
        <w:t xml:space="preserve">certain </w:t>
      </w:r>
      <w:r>
        <w:t xml:space="preserve">criteria </w:t>
      </w:r>
      <w:r w:rsidR="008E5139">
        <w:t>in</w:t>
      </w:r>
      <w:r>
        <w:t xml:space="preserve"> determining when </w:t>
      </w:r>
      <w:r w:rsidR="002F7A6A">
        <w:t xml:space="preserve">related </w:t>
      </w:r>
      <w:r w:rsidR="008E5139">
        <w:t>entities are engaged in</w:t>
      </w:r>
      <w:r>
        <w:t xml:space="preserve"> a unitary business. Th</w:t>
      </w:r>
      <w:r w:rsidR="008E5139">
        <w:t xml:space="preserve">ese </w:t>
      </w:r>
      <w:r>
        <w:t xml:space="preserve">criteria </w:t>
      </w:r>
      <w:r w:rsidR="008E5139">
        <w:t>include</w:t>
      </w:r>
      <w:r>
        <w:t>:</w:t>
      </w:r>
    </w:p>
    <w:p w14:paraId="7A83C3CD" w14:textId="77777777" w:rsidR="006A0418" w:rsidRDefault="006A0418" w:rsidP="00FF1104">
      <w:pPr>
        <w:pStyle w:val="ListParagraph"/>
        <w:numPr>
          <w:ilvl w:val="0"/>
          <w:numId w:val="56"/>
        </w:numPr>
      </w:pPr>
      <w:r w:rsidRPr="006A0418">
        <w:t xml:space="preserve">functional integration, </w:t>
      </w:r>
    </w:p>
    <w:p w14:paraId="6E841D6B" w14:textId="77777777" w:rsidR="006A0418" w:rsidRDefault="006A0418" w:rsidP="00FF1104">
      <w:pPr>
        <w:pStyle w:val="ListParagraph"/>
        <w:numPr>
          <w:ilvl w:val="0"/>
          <w:numId w:val="56"/>
        </w:numPr>
      </w:pPr>
      <w:r w:rsidRPr="006A0418">
        <w:t xml:space="preserve">centralized management, </w:t>
      </w:r>
    </w:p>
    <w:p w14:paraId="42D1B58D" w14:textId="472FD326" w:rsidR="000876DE" w:rsidRDefault="006A0418" w:rsidP="00FF1104">
      <w:pPr>
        <w:pStyle w:val="ListParagraph"/>
        <w:numPr>
          <w:ilvl w:val="0"/>
          <w:numId w:val="56"/>
        </w:numPr>
      </w:pPr>
      <w:r w:rsidRPr="006A0418">
        <w:t>economies of scale</w:t>
      </w:r>
      <w:r>
        <w:t>, and/or</w:t>
      </w:r>
    </w:p>
    <w:p w14:paraId="517E999F" w14:textId="51D4C5D9" w:rsidR="006A0418" w:rsidRDefault="006A0418" w:rsidP="00FF1104">
      <w:pPr>
        <w:pStyle w:val="ListParagraph"/>
        <w:numPr>
          <w:ilvl w:val="0"/>
          <w:numId w:val="56"/>
        </w:numPr>
      </w:pPr>
      <w:r>
        <w:t>flow of “value”.</w:t>
      </w:r>
    </w:p>
    <w:p w14:paraId="6D3159FA" w14:textId="20306F87" w:rsidR="009D1180" w:rsidRDefault="009D1180" w:rsidP="009D1180">
      <w:pPr>
        <w:ind w:left="720"/>
      </w:pPr>
      <w:r>
        <w:t xml:space="preserve">These criteria may be more difficult to apply to partnerships. Take centralized management. </w:t>
      </w:r>
      <w:r w:rsidR="008E5139">
        <w:t>As has been discussed throughout this white paper, partnerships are different from corporations</w:t>
      </w:r>
      <w:r w:rsidR="00493CDA">
        <w:t xml:space="preserve"> in important ways</w:t>
      </w:r>
      <w:r w:rsidR="008E5139">
        <w:t xml:space="preserve">. For corporations, ownership </w:t>
      </w:r>
      <w:r>
        <w:t xml:space="preserve">share </w:t>
      </w:r>
      <w:r w:rsidR="008E5139">
        <w:t>generally determines ultimate control</w:t>
      </w:r>
      <w:r>
        <w:t xml:space="preserve"> so that common control for a group of entities can be determined based </w:t>
      </w:r>
      <w:r w:rsidR="002F7A6A">
        <w:t xml:space="preserve">simply </w:t>
      </w:r>
      <w:r>
        <w:t xml:space="preserve">on </w:t>
      </w:r>
      <w:r w:rsidR="002F7A6A">
        <w:t xml:space="preserve">common </w:t>
      </w:r>
      <w:r>
        <w:t>ownership</w:t>
      </w:r>
      <w:r w:rsidR="008E5139">
        <w:t>. This is not true in the case of partnerships</w:t>
      </w:r>
      <w:r>
        <w:t>—where control can be vested in minority owners</w:t>
      </w:r>
      <w:r w:rsidR="008E5139">
        <w:t xml:space="preserve">. In addition, partnership structures are so complicated that discerning </w:t>
      </w:r>
      <w:r w:rsidR="002F7A6A">
        <w:t>common</w:t>
      </w:r>
      <w:r w:rsidR="008E5139">
        <w:t xml:space="preserve"> control</w:t>
      </w:r>
      <w:r w:rsidR="00493CDA">
        <w:t xml:space="preserve"> over related entities</w:t>
      </w:r>
      <w:r w:rsidR="008E5139">
        <w:t xml:space="preserve"> may b</w:t>
      </w:r>
      <w:r w:rsidR="00493CDA">
        <w:t>e impossible</w:t>
      </w:r>
      <w:r w:rsidR="008E5139">
        <w:t>.</w:t>
      </w:r>
      <w:r w:rsidR="00952A2A" w:rsidRPr="00952A2A">
        <w:t xml:space="preserve"> </w:t>
      </w:r>
      <w:r w:rsidR="00952A2A">
        <w:t xml:space="preserve"> </w:t>
      </w:r>
    </w:p>
    <w:p w14:paraId="312BAFB0" w14:textId="51E8FF82" w:rsidR="00952A2A" w:rsidRDefault="00952A2A" w:rsidP="009D1180">
      <w:pPr>
        <w:ind w:left="720"/>
      </w:pPr>
      <w:r>
        <w:t xml:space="preserve">Also, partnerships are sometimes formed </w:t>
      </w:r>
      <w:r w:rsidR="009D1180">
        <w:t xml:space="preserve">by partners </w:t>
      </w:r>
      <w:r>
        <w:t>to hold or develop certain assets. Today, those assets are more likely to be intangible property</w:t>
      </w:r>
      <w:r w:rsidR="009D1180">
        <w:t xml:space="preserve">. In </w:t>
      </w:r>
      <w:r w:rsidR="002F7A6A">
        <w:t>those instances</w:t>
      </w:r>
      <w:r w:rsidR="009D1180">
        <w:t xml:space="preserve">, </w:t>
      </w:r>
      <w:r>
        <w:t xml:space="preserve">a partner might make substantial use of its interest in </w:t>
      </w:r>
      <w:r w:rsidR="009D1180">
        <w:t>the</w:t>
      </w:r>
      <w:r>
        <w:t xml:space="preserve"> partnership and </w:t>
      </w:r>
      <w:r w:rsidR="009D1180">
        <w:t>the</w:t>
      </w:r>
      <w:r>
        <w:t xml:space="preserve"> </w:t>
      </w:r>
      <w:r w:rsidR="009D1180">
        <w:t xml:space="preserve">partnership’s intangible </w:t>
      </w:r>
      <w:r>
        <w:t xml:space="preserve">assets without the kind of “functional integration” </w:t>
      </w:r>
      <w:r w:rsidR="009D1180">
        <w:t xml:space="preserve">or “economies of scale” that might have been typical in </w:t>
      </w:r>
      <w:r w:rsidR="002F7A6A">
        <w:t xml:space="preserve">more </w:t>
      </w:r>
      <w:r w:rsidR="009D1180">
        <w:t xml:space="preserve">traditional businesses and their shared use of physical assets. </w:t>
      </w:r>
    </w:p>
    <w:p w14:paraId="0AF23EAC" w14:textId="49AC3A35" w:rsidR="006A0418" w:rsidRDefault="009D1180" w:rsidP="006A0418">
      <w:pPr>
        <w:ind w:left="720"/>
      </w:pPr>
      <w:r>
        <w:t>Some</w:t>
      </w:r>
      <w:r w:rsidR="006A0418">
        <w:t xml:space="preserve"> scholars believe that</w:t>
      </w:r>
      <w:r w:rsidR="002F7A6A">
        <w:t xml:space="preserve"> the unitary business principle involves </w:t>
      </w:r>
      <w:r w:rsidR="00450D6F">
        <w:t xml:space="preserve">another test that can be applied separately from the </w:t>
      </w:r>
      <w:r w:rsidR="002F7A6A">
        <w:t>criteria above</w:t>
      </w:r>
      <w:r w:rsidR="00450D6F">
        <w:t xml:space="preserve">—where </w:t>
      </w:r>
      <w:r w:rsidR="002F7A6A">
        <w:t>a taxpayer’s</w:t>
      </w:r>
      <w:r w:rsidR="00493CDA">
        <w:t xml:space="preserve"> investment </w:t>
      </w:r>
      <w:r w:rsidR="002F7A6A">
        <w:t xml:space="preserve">in another entity or business </w:t>
      </w:r>
      <w:r w:rsidR="006A0418">
        <w:t>serves an “operational function”</w:t>
      </w:r>
      <w:r w:rsidR="00952A2A">
        <w:t xml:space="preserve"> in the </w:t>
      </w:r>
      <w:r w:rsidR="002F7A6A">
        <w:t>taxpayer’s own</w:t>
      </w:r>
      <w:r w:rsidR="00952A2A">
        <w:t xml:space="preserve"> unitary business.</w:t>
      </w:r>
      <w:r w:rsidR="006A0418">
        <w:rPr>
          <w:rStyle w:val="FootnoteReference"/>
        </w:rPr>
        <w:footnoteReference w:id="31"/>
      </w:r>
      <w:r w:rsidR="006A0418">
        <w:t xml:space="preserve"> </w:t>
      </w:r>
      <w:r w:rsidR="00952A2A">
        <w:t xml:space="preserve">This </w:t>
      </w:r>
      <w:r w:rsidR="00450D6F">
        <w:t xml:space="preserve">operational function test appears better suited to application in the pass-through context, but </w:t>
      </w:r>
      <w:r w:rsidR="00952A2A">
        <w:t>is less developed</w:t>
      </w:r>
      <w:r w:rsidR="00450D6F">
        <w:t xml:space="preserve"> so that </w:t>
      </w:r>
      <w:r w:rsidR="00952A2A">
        <w:t xml:space="preserve">there is little </w:t>
      </w:r>
      <w:r w:rsidR="00450D6F">
        <w:t xml:space="preserve">governing </w:t>
      </w:r>
      <w:r w:rsidR="00952A2A">
        <w:t>precedent.</w:t>
      </w:r>
      <w:r w:rsidR="00F679FE">
        <w:rPr>
          <w:rStyle w:val="FootnoteReference"/>
        </w:rPr>
        <w:footnoteReference w:id="32"/>
      </w:r>
      <w:r w:rsidR="00952A2A">
        <w:t xml:space="preserve"> </w:t>
      </w:r>
    </w:p>
    <w:p w14:paraId="3AB2029E" w14:textId="4CBD4716" w:rsidR="007A5080" w:rsidRDefault="00822C28" w:rsidP="007A5080">
      <w:pPr>
        <w:pStyle w:val="Heading4"/>
        <w:ind w:left="720"/>
      </w:pPr>
      <w:r>
        <w:t>The</w:t>
      </w:r>
      <w:r w:rsidR="007A5080">
        <w:t xml:space="preserve"> </w:t>
      </w:r>
      <w:r>
        <w:t>pass-through system is governed by the attribution principle</w:t>
      </w:r>
      <w:r w:rsidR="007A5080">
        <w:t>.</w:t>
      </w:r>
    </w:p>
    <w:p w14:paraId="0A3CAB6D" w14:textId="5B032B4B" w:rsidR="007A5080" w:rsidRDefault="00415CEA" w:rsidP="00073262">
      <w:pPr>
        <w:spacing w:after="120"/>
        <w:ind w:left="720"/>
      </w:pPr>
      <w:r>
        <w:t xml:space="preserve">In the case of partnerships and their partners, the </w:t>
      </w:r>
      <w:r w:rsidR="00822C28">
        <w:t xml:space="preserve">pass-through </w:t>
      </w:r>
      <w:r>
        <w:t>tax system itself prescribes that:</w:t>
      </w:r>
    </w:p>
    <w:p w14:paraId="7010E939" w14:textId="7677D7A8" w:rsidR="00415CEA" w:rsidRDefault="00415CEA" w:rsidP="00073262">
      <w:pPr>
        <w:spacing w:after="120"/>
        <w:ind w:left="1440" w:right="720"/>
      </w:pPr>
      <w:r>
        <w:t>“</w:t>
      </w:r>
      <w:r w:rsidRPr="00415CEA">
        <w:t>Persons carrying on business as partners shall be liable for income tax only in their separate or individual capacities.</w:t>
      </w:r>
      <w:r>
        <w:t>” IRC § 701.</w:t>
      </w:r>
    </w:p>
    <w:p w14:paraId="064D3BF7" w14:textId="5DEB7982" w:rsidR="00415CEA" w:rsidRDefault="00415CEA" w:rsidP="00073262">
      <w:pPr>
        <w:spacing w:after="120"/>
        <w:ind w:left="720" w:right="720" w:firstLine="720"/>
      </w:pPr>
      <w:r>
        <w:t>And –</w:t>
      </w:r>
    </w:p>
    <w:p w14:paraId="12EE1800" w14:textId="201EC992" w:rsidR="00415CEA" w:rsidRPr="007A5080" w:rsidRDefault="00415CEA" w:rsidP="00415CEA">
      <w:pPr>
        <w:ind w:left="1440" w:right="720"/>
      </w:pPr>
      <w:r>
        <w:t>“</w:t>
      </w:r>
      <w:r w:rsidRPr="00415CEA">
        <w:t xml:space="preserve">The character of any item of income, gain, loss, deduction, or credit included in a partner’s distributive share </w:t>
      </w:r>
      <w:r>
        <w:t>. . .</w:t>
      </w:r>
      <w:r w:rsidRPr="00415CEA">
        <w:t xml:space="preserve"> shall be determined as if such item were realized directly from the source from which realized by the partnership, or incurred in the same manner as incurred by the partnership.</w:t>
      </w:r>
      <w:r>
        <w:t>” IRC § 702(b)</w:t>
      </w:r>
    </w:p>
    <w:p w14:paraId="2F3BDCF8" w14:textId="44DB553A" w:rsidR="0006735E" w:rsidRDefault="00450D6F" w:rsidP="000876DE">
      <w:pPr>
        <w:ind w:left="720"/>
      </w:pPr>
      <w:r>
        <w:t xml:space="preserve">State conformity to this </w:t>
      </w:r>
      <w:r w:rsidR="00822C28">
        <w:t xml:space="preserve">pass-through </w:t>
      </w:r>
      <w:r>
        <w:t xml:space="preserve">system provides a benefit to the direct and indirect owners of partnerships. But this benefit is conditioned upon their </w:t>
      </w:r>
      <w:r w:rsidR="00415CEA">
        <w:t xml:space="preserve">implicit agreement to pay </w:t>
      </w:r>
      <w:r>
        <w:t xml:space="preserve">the </w:t>
      </w:r>
      <w:r w:rsidR="00415CEA">
        <w:t xml:space="preserve">tax imposed on </w:t>
      </w:r>
      <w:r>
        <w:t>the</w:t>
      </w:r>
      <w:r w:rsidR="00415CEA">
        <w:t xml:space="preserve"> partnership income in the form in which it was earned by the partnership. </w:t>
      </w:r>
      <w:r w:rsidR="00822C28">
        <w:t>T</w:t>
      </w:r>
      <w:r>
        <w:t>his agreement is unconditional and does not depend on the partner’s role</w:t>
      </w:r>
      <w:r w:rsidR="00415CEA">
        <w:t xml:space="preserve"> in the partnership.</w:t>
      </w:r>
      <w:r w:rsidR="00F679FE">
        <w:t xml:space="preserve"> </w:t>
      </w:r>
      <w:r w:rsidR="0006735E">
        <w:t xml:space="preserve">Furthermore, as </w:t>
      </w:r>
      <w:r w:rsidR="002F7A6A">
        <w:t xml:space="preserve">noted at the beginning of this Section II, </w:t>
      </w:r>
      <w:r>
        <w:t xml:space="preserve">the attribution principle effectively negates any argument that a state lacks nexus over </w:t>
      </w:r>
      <w:r w:rsidR="00822C28">
        <w:t xml:space="preserve">the </w:t>
      </w:r>
      <w:r w:rsidR="0006735E">
        <w:t>out-of-state partners</w:t>
      </w:r>
      <w:r w:rsidR="00822C28">
        <w:t xml:space="preserve"> of a partnership doing business in the state</w:t>
      </w:r>
      <w:r w:rsidR="0006735E">
        <w:t>.</w:t>
      </w:r>
    </w:p>
    <w:p w14:paraId="2EBB87D9" w14:textId="4A29FCB8" w:rsidR="00415CEA" w:rsidRDefault="00651B6A" w:rsidP="00114F25">
      <w:pPr>
        <w:pStyle w:val="Heading4"/>
        <w:ind w:left="720"/>
      </w:pPr>
      <w:r>
        <w:lastRenderedPageBreak/>
        <w:t>Fair apportionment</w:t>
      </w:r>
      <w:r w:rsidR="0006735E">
        <w:t xml:space="preserve"> </w:t>
      </w:r>
      <w:r>
        <w:t>is not entirely dependent on the unitary business principle</w:t>
      </w:r>
      <w:r w:rsidR="0006735E">
        <w:t>.</w:t>
      </w:r>
    </w:p>
    <w:p w14:paraId="621A5B11" w14:textId="0FE942FE" w:rsidR="0006735E" w:rsidRDefault="0006735E" w:rsidP="009B57D8">
      <w:pPr>
        <w:spacing w:after="120"/>
        <w:ind w:left="720"/>
      </w:pPr>
      <w:r>
        <w:t xml:space="preserve">The unitary business principle </w:t>
      </w:r>
      <w:r w:rsidR="00114F25">
        <w:t xml:space="preserve">may </w:t>
      </w:r>
      <w:r>
        <w:t xml:space="preserve">serve to show </w:t>
      </w:r>
      <w:r w:rsidR="00822C28">
        <w:t xml:space="preserve">that a state has nexus over </w:t>
      </w:r>
      <w:r w:rsidR="00114F25">
        <w:t xml:space="preserve">the </w:t>
      </w:r>
      <w:r w:rsidR="00822C28">
        <w:t>business and its income</w:t>
      </w:r>
      <w:r w:rsidR="00114F25">
        <w:t xml:space="preserve">, but also </w:t>
      </w:r>
      <w:r w:rsidR="00822C28">
        <w:t xml:space="preserve">that the income has a connection to the </w:t>
      </w:r>
      <w:r w:rsidR="00114F25">
        <w:t xml:space="preserve">apportionment formula used. But as the Supreme Court said in </w:t>
      </w:r>
      <w:r w:rsidR="00114F25" w:rsidRPr="00E85677">
        <w:rPr>
          <w:i/>
          <w:iCs/>
        </w:rPr>
        <w:t>Container Corp. of America v. Franchise Tax Board</w:t>
      </w:r>
      <w:r w:rsidR="00114F25">
        <w:t xml:space="preserve">, that </w:t>
      </w:r>
      <w:r w:rsidR="00651B6A">
        <w:t xml:space="preserve">constitutional </w:t>
      </w:r>
      <w:r w:rsidR="00F75312">
        <w:t xml:space="preserve">fairness </w:t>
      </w:r>
      <w:r w:rsidR="00651B6A">
        <w:t>standard is low</w:t>
      </w:r>
      <w:r w:rsidR="00114F25">
        <w:t>:</w:t>
      </w:r>
    </w:p>
    <w:p w14:paraId="249E58C3" w14:textId="4194822D" w:rsidR="00114F25" w:rsidRDefault="00114F25" w:rsidP="009B57D8">
      <w:pPr>
        <w:spacing w:after="120"/>
        <w:ind w:left="1440" w:right="720"/>
      </w:pPr>
      <w:r>
        <w:t>. . . we will strike down the application of an apportionment formula if the taxpayer can prove "by 'clear and cogent evidence' that the income attributed to the State is in fact 'out of all appropriate proportions to the business transacted . . . in that State,' [Hans Rees' Sons, Inc.,] 283 U. S., at 135, or has 'led to a grossly distorted result,' [Norfolk &amp; Western R. Co. v. State Tax Comm'n, 390 U. S. 317, 326 (1968)]." Moorman Mfg. Co., supra, at 274</w:t>
      </w:r>
      <w:r w:rsidR="009B57D8">
        <w:t>.</w:t>
      </w:r>
      <w:r w:rsidR="009B57D8">
        <w:rPr>
          <w:rStyle w:val="FootnoteReference"/>
        </w:rPr>
        <w:footnoteReference w:id="33"/>
      </w:r>
    </w:p>
    <w:p w14:paraId="79CAAA25" w14:textId="2579D67A" w:rsidR="00651B6A" w:rsidRDefault="00822C28" w:rsidP="00651B6A">
      <w:pPr>
        <w:pStyle w:val="Heading4"/>
        <w:ind w:left="720"/>
      </w:pPr>
      <w:r>
        <w:t>T</w:t>
      </w:r>
      <w:r w:rsidR="00651B6A">
        <w:t xml:space="preserve">he unitary business principle </w:t>
      </w:r>
      <w:r>
        <w:t>may still be used as a limit for blended apportionment</w:t>
      </w:r>
      <w:r w:rsidR="00651B6A">
        <w:t>.</w:t>
      </w:r>
    </w:p>
    <w:p w14:paraId="72144FAA" w14:textId="1868C26F" w:rsidR="00651B6A" w:rsidRDefault="00F75312" w:rsidP="00651B6A">
      <w:pPr>
        <w:ind w:left="720"/>
      </w:pPr>
      <w:r>
        <w:t>The unitary business principle</w:t>
      </w:r>
      <w:r w:rsidR="00CA5F85">
        <w:t xml:space="preserve">, while not </w:t>
      </w:r>
      <w:r w:rsidR="003421A8">
        <w:t xml:space="preserve">clearly </w:t>
      </w:r>
      <w:r w:rsidR="00CA5F85">
        <w:t>required</w:t>
      </w:r>
      <w:r w:rsidR="00822C28">
        <w:t xml:space="preserve"> for blended apportionment,</w:t>
      </w:r>
      <w:r w:rsidR="00CA5F85">
        <w:t xml:space="preserve"> </w:t>
      </w:r>
      <w:r w:rsidR="00822C28">
        <w:t>could nevertheless</w:t>
      </w:r>
      <w:r w:rsidR="00CA5F85">
        <w:t xml:space="preserve"> </w:t>
      </w:r>
      <w:r>
        <w:t xml:space="preserve">provide </w:t>
      </w:r>
      <w:r w:rsidR="00822C28">
        <w:t xml:space="preserve">a kind of </w:t>
      </w:r>
      <w:r>
        <w:t xml:space="preserve">standard </w:t>
      </w:r>
      <w:r w:rsidR="00822C28">
        <w:t>for or</w:t>
      </w:r>
      <w:r>
        <w:t xml:space="preserve"> limit</w:t>
      </w:r>
      <w:r w:rsidR="00822C28">
        <w:t xml:space="preserve"> to</w:t>
      </w:r>
      <w:r>
        <w:t xml:space="preserve"> the use of blended apportionment. That said, because there is far</w:t>
      </w:r>
      <w:r w:rsidR="000D3FEC">
        <w:t xml:space="preserve"> less precedent and far fewer detailed rules for applying the principle in the </w:t>
      </w:r>
      <w:r w:rsidR="00CA5F85">
        <w:t xml:space="preserve">context of the </w:t>
      </w:r>
      <w:r w:rsidR="000D3FEC">
        <w:t>pass-through system, this standard should be modified where appropriate.</w:t>
      </w:r>
    </w:p>
    <w:p w14:paraId="75F83231" w14:textId="77777777" w:rsidR="00676A5D" w:rsidRDefault="000D3FEC" w:rsidP="00676A5D">
      <w:pPr>
        <w:ind w:left="720"/>
      </w:pPr>
      <w:r>
        <w:t xml:space="preserve">For example, some states that have used the unitary business principle to limit blended apportionment have provided that the ownership share of the partner does not affect whether the partner and partnership can be unitary—essentially recognizing that, with partnerships, control does not </w:t>
      </w:r>
      <w:r w:rsidR="007117ED">
        <w:t xml:space="preserve">necessarily </w:t>
      </w:r>
      <w:r>
        <w:t xml:space="preserve">follow ownership. </w:t>
      </w:r>
      <w:r w:rsidR="00676A5D">
        <w:t>And, a</w:t>
      </w:r>
      <w:r w:rsidR="00822C28">
        <w:t>s noted above</w:t>
      </w:r>
      <w:r w:rsidR="00676A5D">
        <w:t xml:space="preserve">, </w:t>
      </w:r>
      <w:r w:rsidR="00CA5F85">
        <w:t xml:space="preserve">the “operational function” test may work better for determining the relationship needed </w:t>
      </w:r>
      <w:r w:rsidR="009B57D8">
        <w:t>for the use of</w:t>
      </w:r>
      <w:r w:rsidR="00CA5F85">
        <w:t xml:space="preserve"> blended apportionment. </w:t>
      </w:r>
    </w:p>
    <w:p w14:paraId="03BB3761" w14:textId="5FF65548" w:rsidR="00CA5F85" w:rsidRDefault="00073262" w:rsidP="00676A5D">
      <w:pPr>
        <w:ind w:left="720"/>
      </w:pPr>
      <w:r>
        <w:t>So, for example, states might adopt the following approach:</w:t>
      </w:r>
    </w:p>
    <w:p w14:paraId="0BD64BA0" w14:textId="0FFFFA27" w:rsidR="00073262" w:rsidRDefault="00676A5D" w:rsidP="00FF1104">
      <w:pPr>
        <w:pStyle w:val="ListParagraph"/>
        <w:numPr>
          <w:ilvl w:val="0"/>
          <w:numId w:val="57"/>
        </w:numPr>
        <w:spacing w:after="60"/>
        <w:contextualSpacing w:val="0"/>
      </w:pPr>
      <w:r>
        <w:t>Determine if the</w:t>
      </w:r>
      <w:r w:rsidR="00073262">
        <w:t xml:space="preserve"> </w:t>
      </w:r>
      <w:r>
        <w:t xml:space="preserve">income or item is </w:t>
      </w:r>
      <w:r w:rsidR="00073262">
        <w:t>apportionable to the partnership</w:t>
      </w:r>
      <w:r>
        <w:t xml:space="preserve"> that recognized it. </w:t>
      </w:r>
    </w:p>
    <w:p w14:paraId="3484C217" w14:textId="728C9327" w:rsidR="00073262" w:rsidRDefault="00073262" w:rsidP="00FF1104">
      <w:pPr>
        <w:pStyle w:val="ListParagraph"/>
        <w:numPr>
          <w:ilvl w:val="0"/>
          <w:numId w:val="57"/>
        </w:numPr>
        <w:spacing w:after="60"/>
        <w:contextualSpacing w:val="0"/>
      </w:pPr>
      <w:r>
        <w:t xml:space="preserve">If so, </w:t>
      </w:r>
      <w:r w:rsidR="00676A5D">
        <w:t xml:space="preserve">determine whether </w:t>
      </w:r>
      <w:r w:rsidR="003421A8">
        <w:t xml:space="preserve">the partner and partnership </w:t>
      </w:r>
      <w:r w:rsidR="00676A5D">
        <w:t>meet</w:t>
      </w:r>
      <w:r w:rsidR="003421A8">
        <w:t xml:space="preserve"> certain </w:t>
      </w:r>
      <w:r w:rsidR="00676A5D">
        <w:t xml:space="preserve">of the criteria for unitary entities, or whether the partnership services </w:t>
      </w:r>
      <w:r>
        <w:t xml:space="preserve">an operational function </w:t>
      </w:r>
      <w:r w:rsidR="00676A5D">
        <w:t xml:space="preserve">in the partner’s unitary business. </w:t>
      </w:r>
    </w:p>
    <w:p w14:paraId="2D4E19A7" w14:textId="39683CAE" w:rsidR="00676A5D" w:rsidRDefault="00676A5D" w:rsidP="00FF1104">
      <w:pPr>
        <w:pStyle w:val="ListParagraph"/>
        <w:numPr>
          <w:ilvl w:val="0"/>
          <w:numId w:val="57"/>
        </w:numPr>
        <w:spacing w:after="60"/>
        <w:contextualSpacing w:val="0"/>
      </w:pPr>
      <w:r>
        <w:t>If either is true, blended apportionment may apply to the sourcing of the partner’s income, including the partnership distributive share.</w:t>
      </w:r>
    </w:p>
    <w:p w14:paraId="3329645C" w14:textId="079896EB" w:rsidR="00073262" w:rsidRDefault="00073262" w:rsidP="00FF1104">
      <w:pPr>
        <w:pStyle w:val="ListParagraph"/>
        <w:numPr>
          <w:ilvl w:val="0"/>
          <w:numId w:val="64"/>
        </w:numPr>
        <w:spacing w:after="60"/>
        <w:contextualSpacing w:val="0"/>
      </w:pPr>
      <w:r>
        <w:t xml:space="preserve">If </w:t>
      </w:r>
      <w:r w:rsidR="00676A5D">
        <w:t>neither is true</w:t>
      </w:r>
      <w:r>
        <w:t xml:space="preserve">, the </w:t>
      </w:r>
      <w:r w:rsidR="00676A5D">
        <w:t xml:space="preserve">distributive share </w:t>
      </w:r>
      <w:r>
        <w:t>income is assumed to be non</w:t>
      </w:r>
      <w:r w:rsidR="00E85677">
        <w:t>-</w:t>
      </w:r>
      <w:r>
        <w:t xml:space="preserve">apportionable to the partner and would, instead, be apportioned separately applying the partnership’s own </w:t>
      </w:r>
      <w:r w:rsidR="00676A5D">
        <w:t>apportionment factors</w:t>
      </w:r>
      <w:r>
        <w:t>.</w:t>
      </w:r>
    </w:p>
    <w:p w14:paraId="208C769E" w14:textId="77777777" w:rsidR="00676A5D" w:rsidRDefault="00676A5D" w:rsidP="00676A5D">
      <w:pPr>
        <w:spacing w:after="60"/>
        <w:ind w:left="720"/>
      </w:pPr>
    </w:p>
    <w:p w14:paraId="1A6FD85D" w14:textId="6031DF70" w:rsidR="000D3FEC" w:rsidRPr="0006735E" w:rsidRDefault="00676A5D" w:rsidP="00073262">
      <w:r>
        <w:t>In addition to applying some form of the unitary business principle to limit the use of blended apportionment, s</w:t>
      </w:r>
      <w:r w:rsidR="00073262">
        <w:t>tates might also impose other limits for administrative ease</w:t>
      </w:r>
      <w:r w:rsidR="003421A8">
        <w:t xml:space="preserve"> </w:t>
      </w:r>
      <w:r>
        <w:t>or</w:t>
      </w:r>
      <w:r w:rsidR="003421A8">
        <w:t xml:space="preserve"> vary the application of blended apportionment as may be discussed further below</w:t>
      </w:r>
      <w:r w:rsidR="00073262">
        <w:t xml:space="preserve">. </w:t>
      </w:r>
    </w:p>
    <w:p w14:paraId="1183BF46" w14:textId="77777777" w:rsidR="00822C28" w:rsidRDefault="00822C28">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36A5D8A5" w14:textId="05F7E11D" w:rsidR="004C63AF" w:rsidRDefault="00E27867" w:rsidP="00A702C1">
      <w:pPr>
        <w:pStyle w:val="Heading2"/>
      </w:pPr>
      <w:bookmarkStart w:id="74" w:name="_Toc195435263"/>
      <w:r>
        <w:lastRenderedPageBreak/>
        <w:t>II.</w:t>
      </w:r>
      <w:r w:rsidR="00A702C1">
        <w:t>C</w:t>
      </w:r>
      <w:r w:rsidR="00A072B0">
        <w:t xml:space="preserve">. </w:t>
      </w:r>
      <w:r w:rsidR="00E10036">
        <w:t xml:space="preserve">Sourcing </w:t>
      </w:r>
      <w:r w:rsidR="004C63AF">
        <w:t xml:space="preserve">Special </w:t>
      </w:r>
      <w:r w:rsidR="00F4275C">
        <w:t xml:space="preserve">or Mandatory </w:t>
      </w:r>
      <w:r w:rsidR="004C63AF">
        <w:t>Allocations</w:t>
      </w:r>
      <w:bookmarkEnd w:id="74"/>
    </w:p>
    <w:p w14:paraId="4E0EDAEC" w14:textId="70997C59" w:rsidR="003016AA" w:rsidRDefault="00073262" w:rsidP="001F5537">
      <w:r>
        <w:t>As discussed in subsection I.</w:t>
      </w:r>
      <w:r w:rsidR="003016AA">
        <w:t xml:space="preserve">D. above, partners may share partnership items in different proportions and Subchapter K may also mandate that certain items or shares of those items be allocated to certain partners. </w:t>
      </w:r>
      <w:r w:rsidR="004715ED">
        <w:t>The application of these</w:t>
      </w:r>
      <w:r w:rsidR="003016AA">
        <w:t xml:space="preserve"> allocation rules</w:t>
      </w:r>
      <w:r w:rsidR="004715ED">
        <w:t xml:space="preserve"> along with state sourcing rules</w:t>
      </w:r>
      <w:r w:rsidR="003016AA">
        <w:t xml:space="preserve"> may, in some cases, enable taxpayers to change the sourcing of income or loss. </w:t>
      </w:r>
    </w:p>
    <w:p w14:paraId="3F9FA20E" w14:textId="582009C7" w:rsidR="000C0B05" w:rsidRDefault="00523B5D" w:rsidP="00523B5D">
      <w:pPr>
        <w:pStyle w:val="Heading4"/>
      </w:pPr>
      <w:r>
        <w:t>Special Allocations</w:t>
      </w:r>
    </w:p>
    <w:p w14:paraId="2978E579" w14:textId="0D1B8F72" w:rsidR="00523B5D" w:rsidRDefault="003E3DF7" w:rsidP="004715ED">
      <w:r>
        <w:t>Because of special allocations—partners may receive a greater share of income (loss) from some partnership activities and a lesser share from others</w:t>
      </w:r>
      <w:r w:rsidR="00523B5D">
        <w:t>.</w:t>
      </w:r>
      <w:r>
        <w:t xml:space="preserve"> Nor do these allocations have to match the partner’s capital ownership. </w:t>
      </w:r>
      <w:r w:rsidR="00523B5D">
        <w:t xml:space="preserve"> </w:t>
      </w:r>
    </w:p>
    <w:p w14:paraId="0759226E" w14:textId="77777777" w:rsidR="00BA1515" w:rsidRDefault="00523B5D" w:rsidP="006E3381">
      <w:pPr>
        <w:spacing w:after="80"/>
      </w:pPr>
      <w:r>
        <w:t>For example, assume</w:t>
      </w:r>
      <w:r w:rsidR="00BA1515">
        <w:t>:</w:t>
      </w:r>
      <w:r w:rsidR="00D8321D">
        <w:t xml:space="preserve"> </w:t>
      </w:r>
    </w:p>
    <w:p w14:paraId="70D14535" w14:textId="77777777" w:rsidR="00BA1515" w:rsidRDefault="00D8321D" w:rsidP="00FF1104">
      <w:pPr>
        <w:pStyle w:val="ListParagraph"/>
        <w:numPr>
          <w:ilvl w:val="0"/>
          <w:numId w:val="59"/>
        </w:numPr>
        <w:spacing w:after="60"/>
        <w:ind w:left="648"/>
        <w:contextualSpacing w:val="0"/>
      </w:pPr>
      <w:r>
        <w:t xml:space="preserve">Partnership </w:t>
      </w:r>
      <w:r w:rsidR="001A4436">
        <w:t>conducts two</w:t>
      </w:r>
      <w:r>
        <w:t xml:space="preserve"> related businesses—</w:t>
      </w:r>
      <w:r w:rsidR="001A4436">
        <w:t>technology consulting</w:t>
      </w:r>
      <w:r>
        <w:t xml:space="preserve"> and product development. </w:t>
      </w:r>
    </w:p>
    <w:p w14:paraId="5F6DF4E8" w14:textId="77777777" w:rsidR="00BA1515" w:rsidRDefault="00BA1515" w:rsidP="00FF1104">
      <w:pPr>
        <w:pStyle w:val="ListParagraph"/>
        <w:numPr>
          <w:ilvl w:val="0"/>
          <w:numId w:val="59"/>
        </w:numPr>
        <w:spacing w:after="60"/>
        <w:ind w:left="648"/>
        <w:contextualSpacing w:val="0"/>
      </w:pPr>
      <w:r>
        <w:t>Each</w:t>
      </w:r>
      <w:r w:rsidR="00D8321D">
        <w:t xml:space="preserve"> has its own operations and customers but they are part of a unitary business. </w:t>
      </w:r>
    </w:p>
    <w:p w14:paraId="34F6D4AB" w14:textId="2B3996EA" w:rsidR="00BA1515" w:rsidRDefault="00D8321D" w:rsidP="00FF1104">
      <w:pPr>
        <w:pStyle w:val="ListParagraph"/>
        <w:numPr>
          <w:ilvl w:val="0"/>
          <w:numId w:val="59"/>
        </w:numPr>
        <w:spacing w:after="60"/>
        <w:ind w:left="648"/>
        <w:contextualSpacing w:val="0"/>
      </w:pPr>
      <w:r>
        <w:t xml:space="preserve">Corp invests in Partnership in order to work in developing products. </w:t>
      </w:r>
    </w:p>
    <w:p w14:paraId="764F4B3C" w14:textId="482CB009" w:rsidR="00BA1515" w:rsidRDefault="00D8321D" w:rsidP="00FF1104">
      <w:pPr>
        <w:pStyle w:val="ListParagraph"/>
        <w:numPr>
          <w:ilvl w:val="0"/>
          <w:numId w:val="59"/>
        </w:numPr>
        <w:spacing w:after="60"/>
        <w:ind w:left="648"/>
        <w:contextualSpacing w:val="0"/>
      </w:pPr>
      <w:r>
        <w:t>The Partnership’s other partners agree that</w:t>
      </w:r>
      <w:r w:rsidR="006E3381">
        <w:t xml:space="preserve"> Corp</w:t>
      </w:r>
      <w:r>
        <w:t xml:space="preserve"> will be allocated</w:t>
      </w:r>
      <w:r w:rsidR="00BA1515">
        <w:t>:</w:t>
      </w:r>
      <w:r>
        <w:t xml:space="preserve"> </w:t>
      </w:r>
    </w:p>
    <w:p w14:paraId="26A6AA1F" w14:textId="77777777" w:rsidR="00BA1515" w:rsidRDefault="008B5B71" w:rsidP="00FF1104">
      <w:pPr>
        <w:pStyle w:val="ListParagraph"/>
        <w:numPr>
          <w:ilvl w:val="1"/>
          <w:numId w:val="59"/>
        </w:numPr>
        <w:spacing w:after="60"/>
        <w:ind w:left="936"/>
        <w:contextualSpacing w:val="0"/>
      </w:pPr>
      <w:r>
        <w:t>2</w:t>
      </w:r>
      <w:r w:rsidR="00D8321D">
        <w:t xml:space="preserve">0% of the income generated by its </w:t>
      </w:r>
      <w:r w:rsidR="001A4436">
        <w:t>consulting</w:t>
      </w:r>
      <w:r w:rsidR="00D8321D">
        <w:t xml:space="preserve"> operations</w:t>
      </w:r>
      <w:r w:rsidR="00BA1515">
        <w:t>,</w:t>
      </w:r>
      <w:r w:rsidR="00D8321D">
        <w:t xml:space="preserve"> and </w:t>
      </w:r>
    </w:p>
    <w:p w14:paraId="2139120E" w14:textId="77777777" w:rsidR="00BA1515" w:rsidRDefault="00A412A7" w:rsidP="00FF1104">
      <w:pPr>
        <w:pStyle w:val="ListParagraph"/>
        <w:numPr>
          <w:ilvl w:val="1"/>
          <w:numId w:val="59"/>
        </w:numPr>
        <w:spacing w:after="60"/>
        <w:ind w:left="936"/>
        <w:contextualSpacing w:val="0"/>
      </w:pPr>
      <w:r>
        <w:t>6</w:t>
      </w:r>
      <w:r w:rsidR="00D8321D">
        <w:t xml:space="preserve">0% of the income generated by its product development operations. </w:t>
      </w:r>
    </w:p>
    <w:p w14:paraId="2A0318FF" w14:textId="3D091A0C" w:rsidR="00523B5D" w:rsidRDefault="00A412A7" w:rsidP="00FF1104">
      <w:pPr>
        <w:pStyle w:val="ListParagraph"/>
        <w:numPr>
          <w:ilvl w:val="0"/>
          <w:numId w:val="59"/>
        </w:numPr>
        <w:spacing w:after="120"/>
        <w:ind w:left="648"/>
        <w:contextualSpacing w:val="0"/>
      </w:pPr>
      <w:r>
        <w:t xml:space="preserve">Assume that Partnership can track the income and receipts of the </w:t>
      </w:r>
      <w:r w:rsidR="001A4436">
        <w:t>consulting</w:t>
      </w:r>
      <w:r>
        <w:t xml:space="preserve"> and product development operations separately and the results in Year 1 are:</w:t>
      </w:r>
    </w:p>
    <w:tbl>
      <w:tblPr>
        <w:tblStyle w:val="TableGrid"/>
        <w:tblW w:w="0" w:type="auto"/>
        <w:tblInd w:w="355" w:type="dxa"/>
        <w:tblLook w:val="04A0" w:firstRow="1" w:lastRow="0" w:firstColumn="1" w:lastColumn="0" w:noHBand="0" w:noVBand="1"/>
      </w:tblPr>
      <w:tblGrid>
        <w:gridCol w:w="2070"/>
        <w:gridCol w:w="2160"/>
        <w:gridCol w:w="2070"/>
        <w:gridCol w:w="1800"/>
      </w:tblGrid>
      <w:tr w:rsidR="008B5B71" w14:paraId="4DE1B23E" w14:textId="0C46BECF" w:rsidTr="002836DA">
        <w:tc>
          <w:tcPr>
            <w:tcW w:w="2070" w:type="dxa"/>
          </w:tcPr>
          <w:p w14:paraId="594E38A3" w14:textId="77777777" w:rsidR="00A412A7" w:rsidRPr="001A4436" w:rsidRDefault="00A412A7" w:rsidP="00D8321D">
            <w:pPr>
              <w:spacing w:after="60"/>
              <w:rPr>
                <w:sz w:val="18"/>
                <w:szCs w:val="20"/>
              </w:rPr>
            </w:pPr>
          </w:p>
        </w:tc>
        <w:tc>
          <w:tcPr>
            <w:tcW w:w="2160" w:type="dxa"/>
          </w:tcPr>
          <w:p w14:paraId="28DFA0DB" w14:textId="54D6D3C7" w:rsidR="00A412A7" w:rsidRPr="001A4436" w:rsidRDefault="001A4436" w:rsidP="001A4436">
            <w:pPr>
              <w:spacing w:after="60"/>
              <w:jc w:val="right"/>
              <w:rPr>
                <w:sz w:val="18"/>
                <w:szCs w:val="20"/>
              </w:rPr>
            </w:pPr>
            <w:r w:rsidRPr="001A4436">
              <w:rPr>
                <w:sz w:val="18"/>
                <w:szCs w:val="20"/>
              </w:rPr>
              <w:t>Technology Consulting</w:t>
            </w:r>
          </w:p>
        </w:tc>
        <w:tc>
          <w:tcPr>
            <w:tcW w:w="2070" w:type="dxa"/>
          </w:tcPr>
          <w:p w14:paraId="262AAAA8" w14:textId="257DD3A1" w:rsidR="00A412A7" w:rsidRPr="001A4436" w:rsidRDefault="00A412A7" w:rsidP="001A4436">
            <w:pPr>
              <w:spacing w:after="60"/>
              <w:jc w:val="right"/>
              <w:rPr>
                <w:sz w:val="18"/>
                <w:szCs w:val="20"/>
              </w:rPr>
            </w:pPr>
            <w:r w:rsidRPr="001A4436">
              <w:rPr>
                <w:sz w:val="18"/>
                <w:szCs w:val="20"/>
              </w:rPr>
              <w:t>Product Development</w:t>
            </w:r>
          </w:p>
        </w:tc>
        <w:tc>
          <w:tcPr>
            <w:tcW w:w="1800" w:type="dxa"/>
          </w:tcPr>
          <w:p w14:paraId="1112CE7D" w14:textId="54A62DDE" w:rsidR="00A412A7" w:rsidRPr="001A4436" w:rsidRDefault="00A412A7" w:rsidP="001A4436">
            <w:pPr>
              <w:spacing w:after="60"/>
              <w:jc w:val="right"/>
              <w:rPr>
                <w:sz w:val="18"/>
                <w:szCs w:val="20"/>
              </w:rPr>
            </w:pPr>
            <w:r w:rsidRPr="001A4436">
              <w:rPr>
                <w:sz w:val="18"/>
                <w:szCs w:val="20"/>
              </w:rPr>
              <w:t>Total Partnership</w:t>
            </w:r>
          </w:p>
        </w:tc>
      </w:tr>
      <w:tr w:rsidR="008B5B71" w14:paraId="2F1CF452" w14:textId="4CFF37C3" w:rsidTr="002836DA">
        <w:tc>
          <w:tcPr>
            <w:tcW w:w="2070" w:type="dxa"/>
          </w:tcPr>
          <w:p w14:paraId="667FCBBD" w14:textId="5F130718" w:rsidR="00A412A7" w:rsidRPr="001A4436" w:rsidRDefault="00A412A7" w:rsidP="00D8321D">
            <w:pPr>
              <w:spacing w:after="60"/>
              <w:rPr>
                <w:sz w:val="18"/>
                <w:szCs w:val="20"/>
              </w:rPr>
            </w:pPr>
            <w:r w:rsidRPr="001A4436">
              <w:rPr>
                <w:sz w:val="18"/>
                <w:szCs w:val="20"/>
              </w:rPr>
              <w:t>Income of Operations</w:t>
            </w:r>
          </w:p>
        </w:tc>
        <w:tc>
          <w:tcPr>
            <w:tcW w:w="2160" w:type="dxa"/>
          </w:tcPr>
          <w:p w14:paraId="4FB7FBFC" w14:textId="152054A9" w:rsidR="00A412A7" w:rsidRPr="001A4436" w:rsidRDefault="00A412A7" w:rsidP="001A4436">
            <w:pPr>
              <w:spacing w:after="60"/>
              <w:jc w:val="right"/>
              <w:rPr>
                <w:sz w:val="18"/>
                <w:szCs w:val="20"/>
              </w:rPr>
            </w:pPr>
            <w:r w:rsidRPr="001A4436">
              <w:rPr>
                <w:sz w:val="18"/>
                <w:szCs w:val="20"/>
              </w:rPr>
              <w:t>$</w:t>
            </w:r>
            <w:r w:rsidR="008B5B71">
              <w:rPr>
                <w:sz w:val="18"/>
                <w:szCs w:val="20"/>
              </w:rPr>
              <w:t>30</w:t>
            </w:r>
            <w:r w:rsidRPr="001A4436">
              <w:rPr>
                <w:sz w:val="18"/>
                <w:szCs w:val="20"/>
              </w:rPr>
              <w:t xml:space="preserve"> million</w:t>
            </w:r>
          </w:p>
        </w:tc>
        <w:tc>
          <w:tcPr>
            <w:tcW w:w="2070" w:type="dxa"/>
          </w:tcPr>
          <w:p w14:paraId="604AC2B8" w14:textId="4BDD4F1A" w:rsidR="00A412A7" w:rsidRPr="001A4436" w:rsidRDefault="00A412A7" w:rsidP="001A4436">
            <w:pPr>
              <w:spacing w:after="60"/>
              <w:jc w:val="right"/>
              <w:rPr>
                <w:sz w:val="18"/>
                <w:szCs w:val="20"/>
              </w:rPr>
            </w:pPr>
            <w:r w:rsidRPr="001A4436">
              <w:rPr>
                <w:sz w:val="18"/>
                <w:szCs w:val="20"/>
              </w:rPr>
              <w:t>$</w:t>
            </w:r>
            <w:r w:rsidR="008B5B71">
              <w:rPr>
                <w:sz w:val="18"/>
                <w:szCs w:val="20"/>
              </w:rPr>
              <w:t>10</w:t>
            </w:r>
            <w:r w:rsidRPr="001A4436">
              <w:rPr>
                <w:sz w:val="18"/>
                <w:szCs w:val="20"/>
              </w:rPr>
              <w:t xml:space="preserve"> million</w:t>
            </w:r>
          </w:p>
        </w:tc>
        <w:tc>
          <w:tcPr>
            <w:tcW w:w="1800" w:type="dxa"/>
          </w:tcPr>
          <w:p w14:paraId="760B17CB" w14:textId="4F6405CC" w:rsidR="00A412A7" w:rsidRPr="001A4436" w:rsidRDefault="00A412A7" w:rsidP="001A4436">
            <w:pPr>
              <w:spacing w:after="60"/>
              <w:jc w:val="right"/>
              <w:rPr>
                <w:sz w:val="18"/>
                <w:szCs w:val="20"/>
              </w:rPr>
            </w:pPr>
            <w:r w:rsidRPr="001A4436">
              <w:rPr>
                <w:sz w:val="18"/>
                <w:szCs w:val="20"/>
              </w:rPr>
              <w:t>$</w:t>
            </w:r>
            <w:r w:rsidR="008B5B71">
              <w:rPr>
                <w:sz w:val="18"/>
                <w:szCs w:val="20"/>
              </w:rPr>
              <w:t>40</w:t>
            </w:r>
            <w:r w:rsidRPr="001A4436">
              <w:rPr>
                <w:sz w:val="18"/>
                <w:szCs w:val="20"/>
              </w:rPr>
              <w:t xml:space="preserve"> million</w:t>
            </w:r>
          </w:p>
        </w:tc>
      </w:tr>
      <w:tr w:rsidR="002836DA" w14:paraId="6A03CF93" w14:textId="77777777" w:rsidTr="002836DA">
        <w:tc>
          <w:tcPr>
            <w:tcW w:w="2070" w:type="dxa"/>
          </w:tcPr>
          <w:p w14:paraId="144BB4CD" w14:textId="282B4DE7" w:rsidR="002836DA" w:rsidRPr="001A4436" w:rsidRDefault="006E3381" w:rsidP="00D8321D">
            <w:pPr>
              <w:spacing w:after="60"/>
              <w:rPr>
                <w:sz w:val="18"/>
                <w:szCs w:val="20"/>
              </w:rPr>
            </w:pPr>
            <w:r>
              <w:rPr>
                <w:sz w:val="18"/>
                <w:szCs w:val="20"/>
              </w:rPr>
              <w:t>Corp</w:t>
            </w:r>
            <w:r w:rsidR="002836DA">
              <w:rPr>
                <w:sz w:val="18"/>
                <w:szCs w:val="20"/>
              </w:rPr>
              <w:t>’s Share</w:t>
            </w:r>
          </w:p>
        </w:tc>
        <w:tc>
          <w:tcPr>
            <w:tcW w:w="2160" w:type="dxa"/>
          </w:tcPr>
          <w:p w14:paraId="3763CFE0" w14:textId="34D2A9A6" w:rsidR="002836DA" w:rsidRPr="001A4436" w:rsidRDefault="002836DA" w:rsidP="001A4436">
            <w:pPr>
              <w:spacing w:after="60"/>
              <w:jc w:val="right"/>
              <w:rPr>
                <w:sz w:val="18"/>
                <w:szCs w:val="20"/>
              </w:rPr>
            </w:pPr>
            <w:r>
              <w:rPr>
                <w:sz w:val="18"/>
                <w:szCs w:val="20"/>
              </w:rPr>
              <w:t>$6 million</w:t>
            </w:r>
          </w:p>
        </w:tc>
        <w:tc>
          <w:tcPr>
            <w:tcW w:w="2070" w:type="dxa"/>
          </w:tcPr>
          <w:p w14:paraId="0B2AA616" w14:textId="4C407AEE" w:rsidR="002836DA" w:rsidRPr="001A4436" w:rsidRDefault="002836DA" w:rsidP="001A4436">
            <w:pPr>
              <w:spacing w:after="60"/>
              <w:jc w:val="right"/>
              <w:rPr>
                <w:sz w:val="18"/>
                <w:szCs w:val="20"/>
              </w:rPr>
            </w:pPr>
            <w:r>
              <w:rPr>
                <w:sz w:val="18"/>
                <w:szCs w:val="20"/>
              </w:rPr>
              <w:t>$6 million</w:t>
            </w:r>
          </w:p>
        </w:tc>
        <w:tc>
          <w:tcPr>
            <w:tcW w:w="1800" w:type="dxa"/>
          </w:tcPr>
          <w:p w14:paraId="7E324812" w14:textId="55471479" w:rsidR="002836DA" w:rsidRPr="001A4436" w:rsidRDefault="002836DA" w:rsidP="001A4436">
            <w:pPr>
              <w:spacing w:after="60"/>
              <w:jc w:val="right"/>
              <w:rPr>
                <w:sz w:val="18"/>
                <w:szCs w:val="20"/>
              </w:rPr>
            </w:pPr>
            <w:r>
              <w:rPr>
                <w:sz w:val="18"/>
                <w:szCs w:val="20"/>
              </w:rPr>
              <w:t>$12 million</w:t>
            </w:r>
          </w:p>
        </w:tc>
      </w:tr>
      <w:tr w:rsidR="008B5B71" w14:paraId="3D3B3638" w14:textId="72BF9B3D" w:rsidTr="002836DA">
        <w:tc>
          <w:tcPr>
            <w:tcW w:w="2070" w:type="dxa"/>
          </w:tcPr>
          <w:p w14:paraId="1E68BC73" w14:textId="1DACDA89" w:rsidR="00A412A7" w:rsidRPr="001A4436" w:rsidRDefault="00A412A7" w:rsidP="00D8321D">
            <w:pPr>
              <w:spacing w:after="60"/>
              <w:rPr>
                <w:sz w:val="18"/>
                <w:szCs w:val="20"/>
              </w:rPr>
            </w:pPr>
            <w:r w:rsidRPr="001A4436">
              <w:rPr>
                <w:sz w:val="18"/>
                <w:szCs w:val="20"/>
              </w:rPr>
              <w:t>Receipts in State X</w:t>
            </w:r>
          </w:p>
        </w:tc>
        <w:tc>
          <w:tcPr>
            <w:tcW w:w="2160" w:type="dxa"/>
          </w:tcPr>
          <w:p w14:paraId="33125674" w14:textId="16C0F83B" w:rsidR="00A412A7" w:rsidRPr="001A4436" w:rsidRDefault="00A412A7" w:rsidP="001A4436">
            <w:pPr>
              <w:spacing w:after="60"/>
              <w:jc w:val="right"/>
              <w:rPr>
                <w:sz w:val="18"/>
                <w:szCs w:val="20"/>
              </w:rPr>
            </w:pPr>
            <w:r w:rsidRPr="001A4436">
              <w:rPr>
                <w:sz w:val="18"/>
                <w:szCs w:val="20"/>
              </w:rPr>
              <w:t>$</w:t>
            </w:r>
            <w:r w:rsidR="008B5B71">
              <w:rPr>
                <w:sz w:val="18"/>
                <w:szCs w:val="20"/>
              </w:rPr>
              <w:t>50</w:t>
            </w:r>
            <w:r w:rsidRPr="001A4436">
              <w:rPr>
                <w:sz w:val="18"/>
                <w:szCs w:val="20"/>
              </w:rPr>
              <w:t xml:space="preserve"> million</w:t>
            </w:r>
          </w:p>
        </w:tc>
        <w:tc>
          <w:tcPr>
            <w:tcW w:w="2070" w:type="dxa"/>
          </w:tcPr>
          <w:p w14:paraId="618B6F57" w14:textId="576F6553" w:rsidR="00A412A7" w:rsidRPr="001A4436" w:rsidRDefault="00A412A7" w:rsidP="001A4436">
            <w:pPr>
              <w:spacing w:after="60"/>
              <w:jc w:val="right"/>
              <w:rPr>
                <w:sz w:val="18"/>
                <w:szCs w:val="20"/>
              </w:rPr>
            </w:pPr>
            <w:r w:rsidRPr="001A4436">
              <w:rPr>
                <w:sz w:val="18"/>
                <w:szCs w:val="20"/>
              </w:rPr>
              <w:t>$</w:t>
            </w:r>
            <w:r w:rsidR="008B5B71">
              <w:rPr>
                <w:sz w:val="18"/>
                <w:szCs w:val="20"/>
              </w:rPr>
              <w:t>1</w:t>
            </w:r>
            <w:r w:rsidRPr="001A4436">
              <w:rPr>
                <w:sz w:val="18"/>
                <w:szCs w:val="20"/>
              </w:rPr>
              <w:t>0 million</w:t>
            </w:r>
          </w:p>
        </w:tc>
        <w:tc>
          <w:tcPr>
            <w:tcW w:w="1800" w:type="dxa"/>
          </w:tcPr>
          <w:p w14:paraId="3BB37875" w14:textId="1E59EB24" w:rsidR="00A412A7" w:rsidRPr="001A4436" w:rsidRDefault="00A412A7" w:rsidP="001A4436">
            <w:pPr>
              <w:spacing w:after="60"/>
              <w:jc w:val="right"/>
              <w:rPr>
                <w:sz w:val="18"/>
                <w:szCs w:val="20"/>
              </w:rPr>
            </w:pPr>
            <w:r w:rsidRPr="001A4436">
              <w:rPr>
                <w:sz w:val="18"/>
                <w:szCs w:val="20"/>
              </w:rPr>
              <w:t>$</w:t>
            </w:r>
            <w:r w:rsidR="008B5B71">
              <w:rPr>
                <w:sz w:val="18"/>
                <w:szCs w:val="20"/>
              </w:rPr>
              <w:t>60</w:t>
            </w:r>
            <w:r w:rsidRPr="001A4436">
              <w:rPr>
                <w:sz w:val="18"/>
                <w:szCs w:val="20"/>
              </w:rPr>
              <w:t xml:space="preserve"> million</w:t>
            </w:r>
          </w:p>
        </w:tc>
      </w:tr>
      <w:tr w:rsidR="008B5B71" w14:paraId="17276AE2" w14:textId="7301DC3E" w:rsidTr="002836DA">
        <w:tc>
          <w:tcPr>
            <w:tcW w:w="2070" w:type="dxa"/>
          </w:tcPr>
          <w:p w14:paraId="25C2117C" w14:textId="75F64006" w:rsidR="00A412A7" w:rsidRPr="001A4436" w:rsidRDefault="00A412A7" w:rsidP="00D8321D">
            <w:pPr>
              <w:spacing w:after="60"/>
              <w:rPr>
                <w:sz w:val="18"/>
                <w:szCs w:val="20"/>
              </w:rPr>
            </w:pPr>
            <w:r w:rsidRPr="001A4436">
              <w:rPr>
                <w:sz w:val="18"/>
                <w:szCs w:val="20"/>
              </w:rPr>
              <w:t>Total Receipts</w:t>
            </w:r>
          </w:p>
        </w:tc>
        <w:tc>
          <w:tcPr>
            <w:tcW w:w="2160" w:type="dxa"/>
          </w:tcPr>
          <w:p w14:paraId="21259272" w14:textId="3B563323" w:rsidR="00A412A7" w:rsidRPr="001A4436" w:rsidRDefault="00A412A7" w:rsidP="001A4436">
            <w:pPr>
              <w:spacing w:after="60"/>
              <w:jc w:val="right"/>
              <w:rPr>
                <w:sz w:val="18"/>
                <w:szCs w:val="20"/>
              </w:rPr>
            </w:pPr>
            <w:r w:rsidRPr="001A4436">
              <w:rPr>
                <w:sz w:val="18"/>
                <w:szCs w:val="20"/>
              </w:rPr>
              <w:t>$</w:t>
            </w:r>
            <w:r w:rsidR="00043084" w:rsidRPr="001A4436">
              <w:rPr>
                <w:sz w:val="18"/>
                <w:szCs w:val="20"/>
              </w:rPr>
              <w:t>100</w:t>
            </w:r>
            <w:r w:rsidRPr="001A4436">
              <w:rPr>
                <w:sz w:val="18"/>
                <w:szCs w:val="20"/>
              </w:rPr>
              <w:t xml:space="preserve"> million</w:t>
            </w:r>
          </w:p>
        </w:tc>
        <w:tc>
          <w:tcPr>
            <w:tcW w:w="2070" w:type="dxa"/>
          </w:tcPr>
          <w:p w14:paraId="396FF56F" w14:textId="5E3D2665" w:rsidR="00A412A7" w:rsidRPr="001A4436" w:rsidRDefault="00A412A7" w:rsidP="001A4436">
            <w:pPr>
              <w:spacing w:after="60"/>
              <w:jc w:val="right"/>
              <w:rPr>
                <w:sz w:val="18"/>
                <w:szCs w:val="20"/>
              </w:rPr>
            </w:pPr>
            <w:r w:rsidRPr="001A4436">
              <w:rPr>
                <w:sz w:val="18"/>
                <w:szCs w:val="20"/>
              </w:rPr>
              <w:t>$</w:t>
            </w:r>
            <w:r w:rsidR="008B5B71">
              <w:rPr>
                <w:sz w:val="18"/>
                <w:szCs w:val="20"/>
              </w:rPr>
              <w:t>1</w:t>
            </w:r>
            <w:r w:rsidRPr="001A4436">
              <w:rPr>
                <w:sz w:val="18"/>
                <w:szCs w:val="20"/>
              </w:rPr>
              <w:t>00 million</w:t>
            </w:r>
          </w:p>
        </w:tc>
        <w:tc>
          <w:tcPr>
            <w:tcW w:w="1800" w:type="dxa"/>
          </w:tcPr>
          <w:p w14:paraId="296B2DA9" w14:textId="2D2F2AD2" w:rsidR="00A412A7" w:rsidRPr="001A4436" w:rsidRDefault="00A412A7" w:rsidP="001A4436">
            <w:pPr>
              <w:spacing w:after="60"/>
              <w:jc w:val="right"/>
              <w:rPr>
                <w:sz w:val="18"/>
                <w:szCs w:val="20"/>
              </w:rPr>
            </w:pPr>
            <w:r w:rsidRPr="001A4436">
              <w:rPr>
                <w:sz w:val="18"/>
                <w:szCs w:val="20"/>
              </w:rPr>
              <w:t>$</w:t>
            </w:r>
            <w:r w:rsidR="008B5B71">
              <w:rPr>
                <w:sz w:val="18"/>
                <w:szCs w:val="20"/>
              </w:rPr>
              <w:t>2</w:t>
            </w:r>
            <w:r w:rsidRPr="001A4436">
              <w:rPr>
                <w:sz w:val="18"/>
                <w:szCs w:val="20"/>
              </w:rPr>
              <w:t>00 million</w:t>
            </w:r>
          </w:p>
        </w:tc>
      </w:tr>
    </w:tbl>
    <w:p w14:paraId="7EB3879A" w14:textId="0B13CD1A" w:rsidR="002836DA" w:rsidRDefault="00BA1515" w:rsidP="00FF1104">
      <w:pPr>
        <w:pStyle w:val="ListParagraph"/>
        <w:numPr>
          <w:ilvl w:val="0"/>
          <w:numId w:val="65"/>
        </w:numPr>
        <w:spacing w:before="240" w:after="120"/>
        <w:contextualSpacing w:val="0"/>
      </w:pPr>
      <w:r>
        <w:t xml:space="preserve">For simplicity—assume </w:t>
      </w:r>
      <w:r w:rsidR="006E3381">
        <w:t>Corp</w:t>
      </w:r>
      <w:r>
        <w:t xml:space="preserve"> has no receipts</w:t>
      </w:r>
      <w:r w:rsidR="002836DA">
        <w:t xml:space="preserve"> or income</w:t>
      </w:r>
      <w:r>
        <w:t xml:space="preserve"> of its own. </w:t>
      </w:r>
    </w:p>
    <w:p w14:paraId="4001AF16" w14:textId="2BB98FDC" w:rsidR="00A412A7" w:rsidRDefault="00A412A7" w:rsidP="006E3381">
      <w:pPr>
        <w:spacing w:after="240"/>
        <w:ind w:left="288"/>
      </w:pPr>
      <w:r>
        <w:t xml:space="preserve">The question is how </w:t>
      </w:r>
      <w:r w:rsidR="006E3381">
        <w:t>Corp</w:t>
      </w:r>
      <w:r w:rsidR="002836DA">
        <w:t xml:space="preserve"> would blend</w:t>
      </w:r>
      <w:r>
        <w:t xml:space="preserve"> Partnership’s </w:t>
      </w:r>
      <w:r w:rsidR="002836DA">
        <w:t xml:space="preserve">income and receipts. </w:t>
      </w:r>
      <w:r w:rsidR="0089104D">
        <w:t>The possible options are:</w:t>
      </w:r>
      <w:r>
        <w:t xml:space="preserve"> </w:t>
      </w:r>
    </w:p>
    <w:p w14:paraId="79B915B7" w14:textId="65A5CE26" w:rsidR="008B5B71" w:rsidRDefault="003E3DF7" w:rsidP="00FF1104">
      <w:pPr>
        <w:pStyle w:val="ListParagraph"/>
        <w:numPr>
          <w:ilvl w:val="0"/>
          <w:numId w:val="59"/>
        </w:numPr>
        <w:spacing w:after="80"/>
        <w:ind w:left="648"/>
        <w:contextualSpacing w:val="0"/>
      </w:pPr>
      <w:r>
        <w:t xml:space="preserve">Method I: </w:t>
      </w:r>
      <w:r w:rsidR="008B5B71">
        <w:t xml:space="preserve">Determine receipts </w:t>
      </w:r>
      <w:r>
        <w:t>using</w:t>
      </w:r>
      <w:r w:rsidR="008B5B71">
        <w:t xml:space="preserve"> average </w:t>
      </w:r>
      <w:r w:rsidR="002836DA">
        <w:t>distributive share</w:t>
      </w:r>
      <w:r w:rsidR="008B5B71">
        <w:t>:</w:t>
      </w:r>
    </w:p>
    <w:p w14:paraId="2946CAF3" w14:textId="082CF0D3" w:rsidR="006E3381" w:rsidRDefault="006E3381" w:rsidP="006E3381">
      <w:pPr>
        <w:pStyle w:val="ListParagraph"/>
        <w:spacing w:after="80"/>
        <w:ind w:left="648"/>
        <w:contextualSpacing w:val="0"/>
      </w:pPr>
      <w:r>
        <w:t>Corp</w:t>
      </w:r>
      <w:r w:rsidR="0089104D">
        <w:t xml:space="preserve"> </w:t>
      </w:r>
      <w:r w:rsidR="008B5B71">
        <w:t xml:space="preserve">would calculate the share of factors to include </w:t>
      </w:r>
      <w:r>
        <w:t xml:space="preserve">using the </w:t>
      </w:r>
      <w:r w:rsidR="008B5B71">
        <w:t xml:space="preserve">average ratio of </w:t>
      </w:r>
      <w:r>
        <w:t xml:space="preserve">its </w:t>
      </w:r>
      <w:r w:rsidR="0089104D">
        <w:t>total distributive share income divided by Partnership’s total income</w:t>
      </w:r>
      <w:r w:rsidR="008B5B71">
        <w:t xml:space="preserve"> </w:t>
      </w:r>
      <w:r>
        <w:t>=</w:t>
      </w:r>
      <w:r w:rsidR="0014031B">
        <w:t xml:space="preserve"> </w:t>
      </w:r>
      <w:r w:rsidR="008B5B71">
        <w:t>$12 million ÷</w:t>
      </w:r>
      <w:r w:rsidR="0089104D">
        <w:t xml:space="preserve"> </w:t>
      </w:r>
      <w:r w:rsidR="008B5B71">
        <w:t xml:space="preserve">$40 million </w:t>
      </w:r>
      <w:r w:rsidR="0089104D">
        <w:t xml:space="preserve">= </w:t>
      </w:r>
      <w:r w:rsidR="0014031B">
        <w:t>3</w:t>
      </w:r>
      <w:r w:rsidR="0089104D">
        <w:t xml:space="preserve">0%. </w:t>
      </w:r>
    </w:p>
    <w:p w14:paraId="7B90DF13" w14:textId="40911678" w:rsidR="006E3381" w:rsidRDefault="006E3381" w:rsidP="006E3381">
      <w:pPr>
        <w:pStyle w:val="ListParagraph"/>
        <w:spacing w:after="80"/>
        <w:ind w:left="648"/>
        <w:contextualSpacing w:val="0"/>
      </w:pPr>
      <w:r>
        <w:t>Corp</w:t>
      </w:r>
      <w:r w:rsidR="0089104D">
        <w:t xml:space="preserve"> would include </w:t>
      </w:r>
      <w:r w:rsidR="0014031B">
        <w:t>3</w:t>
      </w:r>
      <w:r w:rsidR="0089104D">
        <w:t xml:space="preserve">0% of </w:t>
      </w:r>
      <w:r>
        <w:t>total Partnership</w:t>
      </w:r>
      <w:r w:rsidR="002836DA">
        <w:t xml:space="preserve"> </w:t>
      </w:r>
      <w:r>
        <w:t xml:space="preserve">factors - </w:t>
      </w:r>
      <w:r w:rsidR="002836DA">
        <w:t>$18 million</w:t>
      </w:r>
      <w:r>
        <w:t xml:space="preserve"> (30% of $60 million)</w:t>
      </w:r>
      <w:r w:rsidR="002836DA">
        <w:t xml:space="preserve"> </w:t>
      </w:r>
      <w:r w:rsidR="0014031B">
        <w:t>÷ $60 million</w:t>
      </w:r>
      <w:r>
        <w:t xml:space="preserve"> (30% of $200 million</w:t>
      </w:r>
      <w:r w:rsidR="002836DA">
        <w:t>)</w:t>
      </w:r>
      <w:r>
        <w:t xml:space="preserve"> = </w:t>
      </w:r>
      <w:r w:rsidR="002836DA">
        <w:t xml:space="preserve"> </w:t>
      </w:r>
      <w:r>
        <w:t>30%</w:t>
      </w:r>
    </w:p>
    <w:p w14:paraId="17D512DE" w14:textId="1B422EE1" w:rsidR="0089104D" w:rsidRDefault="006E3381" w:rsidP="006E3381">
      <w:pPr>
        <w:pStyle w:val="ListParagraph"/>
        <w:spacing w:after="240"/>
        <w:ind w:left="648"/>
        <w:contextualSpacing w:val="0"/>
      </w:pPr>
      <w:r>
        <w:t xml:space="preserve">Corp’s State X income would be 30% of $12 million = </w:t>
      </w:r>
      <w:r w:rsidR="002836DA">
        <w:t>$3.6 million.</w:t>
      </w:r>
    </w:p>
    <w:p w14:paraId="271CE307" w14:textId="49FD00FF" w:rsidR="0014031B" w:rsidRDefault="003E3DF7" w:rsidP="00FF1104">
      <w:pPr>
        <w:pStyle w:val="ListParagraph"/>
        <w:numPr>
          <w:ilvl w:val="0"/>
          <w:numId w:val="59"/>
        </w:numPr>
        <w:spacing w:after="80"/>
        <w:ind w:left="648"/>
        <w:contextualSpacing w:val="0"/>
      </w:pPr>
      <w:r>
        <w:t xml:space="preserve">Method 2: </w:t>
      </w:r>
      <w:r w:rsidR="0014031B">
        <w:t xml:space="preserve">Determine receipts </w:t>
      </w:r>
      <w:r>
        <w:t xml:space="preserve">using distributive </w:t>
      </w:r>
      <w:r w:rsidR="0089104D">
        <w:t>share</w:t>
      </w:r>
      <w:r w:rsidR="0014031B">
        <w:t xml:space="preserve"> of each business</w:t>
      </w:r>
      <w:r>
        <w:t>’s income</w:t>
      </w:r>
      <w:r w:rsidR="0014031B">
        <w:t>:</w:t>
      </w:r>
    </w:p>
    <w:p w14:paraId="1610AAE4" w14:textId="6B2919F9" w:rsidR="00D8321D" w:rsidRDefault="006E3381" w:rsidP="002836DA">
      <w:pPr>
        <w:pStyle w:val="ListParagraph"/>
        <w:spacing w:after="120"/>
        <w:ind w:left="648"/>
        <w:contextualSpacing w:val="0"/>
      </w:pPr>
      <w:r>
        <w:t>Corp</w:t>
      </w:r>
      <w:r w:rsidR="0014031B">
        <w:t xml:space="preserve"> would use its share of income from consulting (20%) and its share of income from product development (60%) to separately determine its share of receipts from those businesses. </w:t>
      </w:r>
    </w:p>
    <w:tbl>
      <w:tblPr>
        <w:tblStyle w:val="TableGrid"/>
        <w:tblW w:w="0" w:type="auto"/>
        <w:tblInd w:w="355" w:type="dxa"/>
        <w:tblLook w:val="04A0" w:firstRow="1" w:lastRow="0" w:firstColumn="1" w:lastColumn="0" w:noHBand="0" w:noVBand="1"/>
      </w:tblPr>
      <w:tblGrid>
        <w:gridCol w:w="1800"/>
        <w:gridCol w:w="1350"/>
        <w:gridCol w:w="1260"/>
        <w:gridCol w:w="1260"/>
        <w:gridCol w:w="1260"/>
        <w:gridCol w:w="1260"/>
      </w:tblGrid>
      <w:tr w:rsidR="00BA1515" w:rsidRPr="001A4436" w14:paraId="6C0057E8" w14:textId="52B97571" w:rsidTr="00EC7218">
        <w:tc>
          <w:tcPr>
            <w:tcW w:w="1800" w:type="dxa"/>
          </w:tcPr>
          <w:p w14:paraId="04B5796E" w14:textId="77777777" w:rsidR="00BA1515" w:rsidRPr="001A4436" w:rsidRDefault="00BA1515" w:rsidP="00F33047">
            <w:pPr>
              <w:spacing w:after="60"/>
              <w:rPr>
                <w:sz w:val="18"/>
                <w:szCs w:val="20"/>
              </w:rPr>
            </w:pPr>
          </w:p>
        </w:tc>
        <w:tc>
          <w:tcPr>
            <w:tcW w:w="1350" w:type="dxa"/>
          </w:tcPr>
          <w:p w14:paraId="41003286" w14:textId="32D87877" w:rsidR="00BA1515" w:rsidRPr="001A4436" w:rsidRDefault="00BA1515" w:rsidP="00F33047">
            <w:pPr>
              <w:spacing w:after="60"/>
              <w:jc w:val="right"/>
              <w:rPr>
                <w:sz w:val="18"/>
                <w:szCs w:val="20"/>
              </w:rPr>
            </w:pPr>
            <w:r w:rsidRPr="001A4436">
              <w:rPr>
                <w:sz w:val="18"/>
                <w:szCs w:val="20"/>
              </w:rPr>
              <w:t xml:space="preserve">Technology </w:t>
            </w:r>
            <w:r>
              <w:rPr>
                <w:sz w:val="18"/>
                <w:szCs w:val="20"/>
              </w:rPr>
              <w:br/>
            </w:r>
            <w:r w:rsidRPr="001A4436">
              <w:rPr>
                <w:sz w:val="18"/>
                <w:szCs w:val="20"/>
              </w:rPr>
              <w:t>Consulting</w:t>
            </w:r>
          </w:p>
        </w:tc>
        <w:tc>
          <w:tcPr>
            <w:tcW w:w="1260" w:type="dxa"/>
          </w:tcPr>
          <w:p w14:paraId="0D3599F7" w14:textId="54C44DFC" w:rsidR="00BA1515" w:rsidRPr="001A4436" w:rsidRDefault="003E3DF7" w:rsidP="00F33047">
            <w:pPr>
              <w:spacing w:after="60"/>
              <w:jc w:val="right"/>
              <w:rPr>
                <w:sz w:val="18"/>
                <w:szCs w:val="20"/>
              </w:rPr>
            </w:pPr>
            <w:r>
              <w:rPr>
                <w:sz w:val="18"/>
                <w:szCs w:val="20"/>
              </w:rPr>
              <w:t>Corp</w:t>
            </w:r>
            <w:r w:rsidR="00BA1515">
              <w:rPr>
                <w:sz w:val="18"/>
                <w:szCs w:val="20"/>
              </w:rPr>
              <w:t>’s Share</w:t>
            </w:r>
            <w:r w:rsidR="00BA1515">
              <w:rPr>
                <w:sz w:val="18"/>
                <w:szCs w:val="20"/>
              </w:rPr>
              <w:br/>
              <w:t>(20%)</w:t>
            </w:r>
          </w:p>
        </w:tc>
        <w:tc>
          <w:tcPr>
            <w:tcW w:w="1260" w:type="dxa"/>
          </w:tcPr>
          <w:p w14:paraId="3F9F160C" w14:textId="78C4AAF3" w:rsidR="00BA1515" w:rsidRPr="001A4436" w:rsidRDefault="00BA1515" w:rsidP="0014031B">
            <w:pPr>
              <w:spacing w:after="60"/>
              <w:jc w:val="right"/>
              <w:rPr>
                <w:sz w:val="18"/>
                <w:szCs w:val="20"/>
              </w:rPr>
            </w:pPr>
            <w:r w:rsidRPr="001A4436">
              <w:rPr>
                <w:sz w:val="18"/>
                <w:szCs w:val="20"/>
              </w:rPr>
              <w:t xml:space="preserve">Product </w:t>
            </w:r>
            <w:r>
              <w:rPr>
                <w:sz w:val="18"/>
                <w:szCs w:val="20"/>
              </w:rPr>
              <w:br/>
            </w:r>
            <w:r w:rsidRPr="001A4436">
              <w:rPr>
                <w:sz w:val="18"/>
                <w:szCs w:val="20"/>
              </w:rPr>
              <w:t>Development</w:t>
            </w:r>
          </w:p>
        </w:tc>
        <w:tc>
          <w:tcPr>
            <w:tcW w:w="1260" w:type="dxa"/>
          </w:tcPr>
          <w:p w14:paraId="551D9C41" w14:textId="47E3BA70" w:rsidR="00BA1515" w:rsidRPr="001A4436" w:rsidRDefault="003E3DF7" w:rsidP="00BA1515">
            <w:pPr>
              <w:spacing w:after="60"/>
              <w:jc w:val="right"/>
              <w:rPr>
                <w:sz w:val="18"/>
                <w:szCs w:val="20"/>
              </w:rPr>
            </w:pPr>
            <w:r>
              <w:rPr>
                <w:sz w:val="18"/>
                <w:szCs w:val="20"/>
              </w:rPr>
              <w:t>Corp</w:t>
            </w:r>
            <w:r w:rsidR="00BA1515">
              <w:rPr>
                <w:sz w:val="18"/>
                <w:szCs w:val="20"/>
              </w:rPr>
              <w:t>’s Share</w:t>
            </w:r>
            <w:r w:rsidR="00BA1515">
              <w:rPr>
                <w:sz w:val="18"/>
                <w:szCs w:val="20"/>
              </w:rPr>
              <w:br/>
              <w:t>(60%)</w:t>
            </w:r>
          </w:p>
        </w:tc>
        <w:tc>
          <w:tcPr>
            <w:tcW w:w="1260" w:type="dxa"/>
          </w:tcPr>
          <w:p w14:paraId="2FDB5AAD" w14:textId="4DB8FF4D" w:rsidR="00BA1515" w:rsidRDefault="003E3DF7" w:rsidP="00BA1515">
            <w:pPr>
              <w:spacing w:after="60"/>
              <w:jc w:val="right"/>
              <w:rPr>
                <w:sz w:val="18"/>
                <w:szCs w:val="20"/>
              </w:rPr>
            </w:pPr>
            <w:r>
              <w:rPr>
                <w:sz w:val="18"/>
                <w:szCs w:val="20"/>
              </w:rPr>
              <w:t>Corp</w:t>
            </w:r>
            <w:r w:rsidR="00BA1515">
              <w:rPr>
                <w:sz w:val="18"/>
                <w:szCs w:val="20"/>
              </w:rPr>
              <w:t xml:space="preserve">’s Total </w:t>
            </w:r>
            <w:r w:rsidR="00BA1515">
              <w:rPr>
                <w:sz w:val="18"/>
                <w:szCs w:val="20"/>
              </w:rPr>
              <w:br/>
              <w:t>Factors</w:t>
            </w:r>
          </w:p>
        </w:tc>
      </w:tr>
      <w:tr w:rsidR="00BA1515" w:rsidRPr="001A4436" w14:paraId="47C7C1C2" w14:textId="10E1FA7A" w:rsidTr="00EC7218">
        <w:tc>
          <w:tcPr>
            <w:tcW w:w="1800" w:type="dxa"/>
          </w:tcPr>
          <w:p w14:paraId="31ADA01C" w14:textId="77777777" w:rsidR="00BA1515" w:rsidRPr="001A4436" w:rsidRDefault="00BA1515" w:rsidP="00F33047">
            <w:pPr>
              <w:spacing w:after="60"/>
              <w:rPr>
                <w:sz w:val="18"/>
                <w:szCs w:val="20"/>
              </w:rPr>
            </w:pPr>
            <w:r w:rsidRPr="001A4436">
              <w:rPr>
                <w:sz w:val="18"/>
                <w:szCs w:val="20"/>
              </w:rPr>
              <w:t>Receipts in State X</w:t>
            </w:r>
          </w:p>
        </w:tc>
        <w:tc>
          <w:tcPr>
            <w:tcW w:w="1350" w:type="dxa"/>
          </w:tcPr>
          <w:p w14:paraId="6CE42CD5" w14:textId="77777777" w:rsidR="00BA1515" w:rsidRPr="001A4436" w:rsidRDefault="00BA1515" w:rsidP="00F33047">
            <w:pPr>
              <w:spacing w:after="60"/>
              <w:jc w:val="right"/>
              <w:rPr>
                <w:sz w:val="18"/>
                <w:szCs w:val="20"/>
              </w:rPr>
            </w:pPr>
            <w:r w:rsidRPr="001A4436">
              <w:rPr>
                <w:sz w:val="18"/>
                <w:szCs w:val="20"/>
              </w:rPr>
              <w:t>$</w:t>
            </w:r>
            <w:r>
              <w:rPr>
                <w:sz w:val="18"/>
                <w:szCs w:val="20"/>
              </w:rPr>
              <w:t>50</w:t>
            </w:r>
            <w:r w:rsidRPr="001A4436">
              <w:rPr>
                <w:sz w:val="18"/>
                <w:szCs w:val="20"/>
              </w:rPr>
              <w:t xml:space="preserve"> million</w:t>
            </w:r>
          </w:p>
        </w:tc>
        <w:tc>
          <w:tcPr>
            <w:tcW w:w="1260" w:type="dxa"/>
          </w:tcPr>
          <w:p w14:paraId="6FA5C15B" w14:textId="762C6488" w:rsidR="00BA1515" w:rsidRPr="001A4436" w:rsidRDefault="00BA1515" w:rsidP="00F33047">
            <w:pPr>
              <w:spacing w:after="60"/>
              <w:jc w:val="right"/>
              <w:rPr>
                <w:sz w:val="18"/>
                <w:szCs w:val="20"/>
              </w:rPr>
            </w:pPr>
            <w:r>
              <w:rPr>
                <w:sz w:val="18"/>
                <w:szCs w:val="20"/>
              </w:rPr>
              <w:t>$10 million</w:t>
            </w:r>
          </w:p>
        </w:tc>
        <w:tc>
          <w:tcPr>
            <w:tcW w:w="1260" w:type="dxa"/>
          </w:tcPr>
          <w:p w14:paraId="0898DF58" w14:textId="156F7344" w:rsidR="00BA1515" w:rsidRPr="001A4436" w:rsidRDefault="00BA1515" w:rsidP="00F33047">
            <w:pPr>
              <w:spacing w:after="60"/>
              <w:jc w:val="right"/>
              <w:rPr>
                <w:sz w:val="18"/>
                <w:szCs w:val="20"/>
              </w:rPr>
            </w:pPr>
            <w:r w:rsidRPr="001A4436">
              <w:rPr>
                <w:sz w:val="18"/>
                <w:szCs w:val="20"/>
              </w:rPr>
              <w:t>$</w:t>
            </w:r>
            <w:r>
              <w:rPr>
                <w:sz w:val="18"/>
                <w:szCs w:val="20"/>
              </w:rPr>
              <w:t>1</w:t>
            </w:r>
            <w:r w:rsidRPr="001A4436">
              <w:rPr>
                <w:sz w:val="18"/>
                <w:szCs w:val="20"/>
              </w:rPr>
              <w:t>0 million</w:t>
            </w:r>
          </w:p>
        </w:tc>
        <w:tc>
          <w:tcPr>
            <w:tcW w:w="1260" w:type="dxa"/>
          </w:tcPr>
          <w:p w14:paraId="6BBCDF19" w14:textId="09AA8110" w:rsidR="00BA1515" w:rsidRPr="001A4436" w:rsidRDefault="00BA1515" w:rsidP="00F33047">
            <w:pPr>
              <w:spacing w:after="60"/>
              <w:jc w:val="right"/>
              <w:rPr>
                <w:sz w:val="18"/>
                <w:szCs w:val="20"/>
              </w:rPr>
            </w:pPr>
            <w:r>
              <w:rPr>
                <w:sz w:val="18"/>
                <w:szCs w:val="20"/>
              </w:rPr>
              <w:t>$6 million</w:t>
            </w:r>
          </w:p>
        </w:tc>
        <w:tc>
          <w:tcPr>
            <w:tcW w:w="1260" w:type="dxa"/>
          </w:tcPr>
          <w:p w14:paraId="4852D07E" w14:textId="468A728E" w:rsidR="00BA1515" w:rsidRDefault="00BA1515" w:rsidP="00F33047">
            <w:pPr>
              <w:spacing w:after="60"/>
              <w:jc w:val="right"/>
              <w:rPr>
                <w:sz w:val="18"/>
                <w:szCs w:val="20"/>
              </w:rPr>
            </w:pPr>
            <w:r>
              <w:rPr>
                <w:sz w:val="18"/>
                <w:szCs w:val="20"/>
              </w:rPr>
              <w:t>$16 million</w:t>
            </w:r>
          </w:p>
        </w:tc>
      </w:tr>
      <w:tr w:rsidR="00BA1515" w:rsidRPr="001A4436" w14:paraId="1FCA9A3E" w14:textId="1671E7E3" w:rsidTr="00EC7218">
        <w:tc>
          <w:tcPr>
            <w:tcW w:w="1800" w:type="dxa"/>
          </w:tcPr>
          <w:p w14:paraId="55611D18" w14:textId="77777777" w:rsidR="00BA1515" w:rsidRPr="001A4436" w:rsidRDefault="00BA1515" w:rsidP="00F33047">
            <w:pPr>
              <w:spacing w:after="60"/>
              <w:rPr>
                <w:sz w:val="18"/>
                <w:szCs w:val="20"/>
              </w:rPr>
            </w:pPr>
            <w:r w:rsidRPr="001A4436">
              <w:rPr>
                <w:sz w:val="18"/>
                <w:szCs w:val="20"/>
              </w:rPr>
              <w:t>Total Receipts</w:t>
            </w:r>
          </w:p>
        </w:tc>
        <w:tc>
          <w:tcPr>
            <w:tcW w:w="1350" w:type="dxa"/>
          </w:tcPr>
          <w:p w14:paraId="09A617F6" w14:textId="77777777" w:rsidR="00BA1515" w:rsidRPr="001A4436" w:rsidRDefault="00BA1515" w:rsidP="00F33047">
            <w:pPr>
              <w:spacing w:after="60"/>
              <w:jc w:val="right"/>
              <w:rPr>
                <w:sz w:val="18"/>
                <w:szCs w:val="20"/>
              </w:rPr>
            </w:pPr>
            <w:r w:rsidRPr="001A4436">
              <w:rPr>
                <w:sz w:val="18"/>
                <w:szCs w:val="20"/>
              </w:rPr>
              <w:t>$100 million</w:t>
            </w:r>
          </w:p>
        </w:tc>
        <w:tc>
          <w:tcPr>
            <w:tcW w:w="1260" w:type="dxa"/>
          </w:tcPr>
          <w:p w14:paraId="41BA6A68" w14:textId="7E317FA7" w:rsidR="00BA1515" w:rsidRPr="001A4436" w:rsidRDefault="00BA1515" w:rsidP="00F33047">
            <w:pPr>
              <w:spacing w:after="60"/>
              <w:jc w:val="right"/>
              <w:rPr>
                <w:sz w:val="18"/>
                <w:szCs w:val="20"/>
              </w:rPr>
            </w:pPr>
            <w:r>
              <w:rPr>
                <w:sz w:val="18"/>
                <w:szCs w:val="20"/>
              </w:rPr>
              <w:t>$20 million</w:t>
            </w:r>
          </w:p>
        </w:tc>
        <w:tc>
          <w:tcPr>
            <w:tcW w:w="1260" w:type="dxa"/>
          </w:tcPr>
          <w:p w14:paraId="43F1DD9B" w14:textId="0151FF43" w:rsidR="00BA1515" w:rsidRPr="001A4436" w:rsidRDefault="00BA1515" w:rsidP="00F33047">
            <w:pPr>
              <w:spacing w:after="60"/>
              <w:jc w:val="right"/>
              <w:rPr>
                <w:sz w:val="18"/>
                <w:szCs w:val="20"/>
              </w:rPr>
            </w:pPr>
            <w:r w:rsidRPr="001A4436">
              <w:rPr>
                <w:sz w:val="18"/>
                <w:szCs w:val="20"/>
              </w:rPr>
              <w:t>$</w:t>
            </w:r>
            <w:r>
              <w:rPr>
                <w:sz w:val="18"/>
                <w:szCs w:val="20"/>
              </w:rPr>
              <w:t>1</w:t>
            </w:r>
            <w:r w:rsidRPr="001A4436">
              <w:rPr>
                <w:sz w:val="18"/>
                <w:szCs w:val="20"/>
              </w:rPr>
              <w:t>00 million</w:t>
            </w:r>
          </w:p>
        </w:tc>
        <w:tc>
          <w:tcPr>
            <w:tcW w:w="1260" w:type="dxa"/>
          </w:tcPr>
          <w:p w14:paraId="30CF67B7" w14:textId="72008D2B" w:rsidR="00BA1515" w:rsidRPr="001A4436" w:rsidRDefault="00BA1515" w:rsidP="00F33047">
            <w:pPr>
              <w:spacing w:after="60"/>
              <w:jc w:val="right"/>
              <w:rPr>
                <w:sz w:val="18"/>
                <w:szCs w:val="20"/>
              </w:rPr>
            </w:pPr>
            <w:r>
              <w:rPr>
                <w:sz w:val="18"/>
                <w:szCs w:val="20"/>
              </w:rPr>
              <w:t>$60 million</w:t>
            </w:r>
          </w:p>
        </w:tc>
        <w:tc>
          <w:tcPr>
            <w:tcW w:w="1260" w:type="dxa"/>
          </w:tcPr>
          <w:p w14:paraId="2AD9AF88" w14:textId="77B0CC31" w:rsidR="00BA1515" w:rsidRDefault="00BA1515" w:rsidP="00F33047">
            <w:pPr>
              <w:spacing w:after="60"/>
              <w:jc w:val="right"/>
              <w:rPr>
                <w:sz w:val="18"/>
                <w:szCs w:val="20"/>
              </w:rPr>
            </w:pPr>
            <w:r>
              <w:rPr>
                <w:sz w:val="18"/>
                <w:szCs w:val="20"/>
              </w:rPr>
              <w:t>$80 million</w:t>
            </w:r>
          </w:p>
        </w:tc>
      </w:tr>
      <w:tr w:rsidR="00BA1515" w:rsidRPr="001A4436" w14:paraId="7B3B86E8" w14:textId="76715472" w:rsidTr="00EC7218">
        <w:tc>
          <w:tcPr>
            <w:tcW w:w="1800" w:type="dxa"/>
          </w:tcPr>
          <w:p w14:paraId="6B39811D" w14:textId="100CCA32" w:rsidR="00BA1515" w:rsidRPr="001A4436" w:rsidRDefault="006E3381" w:rsidP="00F33047">
            <w:pPr>
              <w:spacing w:after="60"/>
              <w:rPr>
                <w:sz w:val="18"/>
                <w:szCs w:val="20"/>
              </w:rPr>
            </w:pPr>
            <w:proofErr w:type="spellStart"/>
            <w:r>
              <w:rPr>
                <w:sz w:val="18"/>
                <w:szCs w:val="20"/>
              </w:rPr>
              <w:t>Corp’</w:t>
            </w:r>
            <w:r w:rsidR="00BA1515">
              <w:rPr>
                <w:sz w:val="18"/>
                <w:szCs w:val="20"/>
              </w:rPr>
              <w:t>’s</w:t>
            </w:r>
            <w:proofErr w:type="spellEnd"/>
            <w:r w:rsidR="00BA1515">
              <w:rPr>
                <w:sz w:val="18"/>
                <w:szCs w:val="20"/>
              </w:rPr>
              <w:t xml:space="preserve"> Factors</w:t>
            </w:r>
          </w:p>
        </w:tc>
        <w:tc>
          <w:tcPr>
            <w:tcW w:w="1350" w:type="dxa"/>
          </w:tcPr>
          <w:p w14:paraId="181B1E4A" w14:textId="77777777" w:rsidR="00BA1515" w:rsidRPr="001A4436" w:rsidRDefault="00BA1515" w:rsidP="00F33047">
            <w:pPr>
              <w:spacing w:after="60"/>
              <w:jc w:val="right"/>
              <w:rPr>
                <w:sz w:val="18"/>
                <w:szCs w:val="20"/>
              </w:rPr>
            </w:pPr>
          </w:p>
        </w:tc>
        <w:tc>
          <w:tcPr>
            <w:tcW w:w="1260" w:type="dxa"/>
          </w:tcPr>
          <w:p w14:paraId="6365ADF6" w14:textId="69EFECFF" w:rsidR="00BA1515" w:rsidRDefault="00BA1515" w:rsidP="00F33047">
            <w:pPr>
              <w:spacing w:after="60"/>
              <w:jc w:val="right"/>
              <w:rPr>
                <w:sz w:val="18"/>
                <w:szCs w:val="20"/>
              </w:rPr>
            </w:pPr>
            <w:r>
              <w:rPr>
                <w:sz w:val="18"/>
                <w:szCs w:val="20"/>
              </w:rPr>
              <w:t>50%</w:t>
            </w:r>
          </w:p>
        </w:tc>
        <w:tc>
          <w:tcPr>
            <w:tcW w:w="1260" w:type="dxa"/>
          </w:tcPr>
          <w:p w14:paraId="4ECF8F3B" w14:textId="54966CBC" w:rsidR="00BA1515" w:rsidRPr="001A4436" w:rsidRDefault="00BA1515" w:rsidP="00F33047">
            <w:pPr>
              <w:spacing w:after="60"/>
              <w:jc w:val="right"/>
              <w:rPr>
                <w:sz w:val="18"/>
                <w:szCs w:val="20"/>
              </w:rPr>
            </w:pPr>
          </w:p>
        </w:tc>
        <w:tc>
          <w:tcPr>
            <w:tcW w:w="1260" w:type="dxa"/>
          </w:tcPr>
          <w:p w14:paraId="0BB6B49C" w14:textId="4D33B7BB" w:rsidR="00BA1515" w:rsidRDefault="00BA1515" w:rsidP="00F33047">
            <w:pPr>
              <w:spacing w:after="60"/>
              <w:jc w:val="right"/>
              <w:rPr>
                <w:sz w:val="18"/>
                <w:szCs w:val="20"/>
              </w:rPr>
            </w:pPr>
            <w:r>
              <w:rPr>
                <w:sz w:val="18"/>
                <w:szCs w:val="20"/>
              </w:rPr>
              <w:t>10%</w:t>
            </w:r>
          </w:p>
        </w:tc>
        <w:tc>
          <w:tcPr>
            <w:tcW w:w="1260" w:type="dxa"/>
          </w:tcPr>
          <w:p w14:paraId="74C18250" w14:textId="2B39E32D" w:rsidR="00BA1515" w:rsidRDefault="00BA1515" w:rsidP="00F33047">
            <w:pPr>
              <w:spacing w:after="60"/>
              <w:jc w:val="right"/>
              <w:rPr>
                <w:sz w:val="18"/>
                <w:szCs w:val="20"/>
              </w:rPr>
            </w:pPr>
            <w:r>
              <w:rPr>
                <w:sz w:val="18"/>
                <w:szCs w:val="20"/>
              </w:rPr>
              <w:t>20%</w:t>
            </w:r>
          </w:p>
        </w:tc>
      </w:tr>
    </w:tbl>
    <w:p w14:paraId="78E3C5E3" w14:textId="77777777" w:rsidR="0089104D" w:rsidRDefault="0089104D" w:rsidP="0089104D">
      <w:pPr>
        <w:pStyle w:val="ListParagraph"/>
        <w:spacing w:after="60"/>
        <w:ind w:left="648"/>
      </w:pPr>
    </w:p>
    <w:p w14:paraId="64009CFD" w14:textId="471BA791" w:rsidR="002836DA" w:rsidRDefault="003E3DF7" w:rsidP="0089104D">
      <w:pPr>
        <w:pStyle w:val="ListParagraph"/>
        <w:spacing w:after="60"/>
        <w:ind w:left="648"/>
      </w:pPr>
      <w:r>
        <w:t>Corp’s State X income would be:</w:t>
      </w:r>
      <w:r w:rsidR="006E3381">
        <w:t xml:space="preserve"> </w:t>
      </w:r>
      <w:r w:rsidR="002836DA">
        <w:t xml:space="preserve">20% </w:t>
      </w:r>
      <w:r>
        <w:t>of</w:t>
      </w:r>
      <w:r w:rsidR="002836DA">
        <w:t xml:space="preserve"> $12 million = $2.4 million. </w:t>
      </w:r>
    </w:p>
    <w:p w14:paraId="4A1076F3" w14:textId="7F6AD657" w:rsidR="003E3DF7" w:rsidRDefault="003E3DF7" w:rsidP="003E3DF7">
      <w:pPr>
        <w:spacing w:after="60"/>
      </w:pPr>
      <w:r>
        <w:t xml:space="preserve">Note that </w:t>
      </w:r>
      <w:r w:rsidR="009D1491">
        <w:t xml:space="preserve">under both </w:t>
      </w:r>
      <w:r w:rsidR="007662CE">
        <w:t xml:space="preserve">the </w:t>
      </w:r>
      <w:r w:rsidR="009D1491">
        <w:t>approaches</w:t>
      </w:r>
      <w:r w:rsidR="007662CE">
        <w:t xml:space="preserve"> above</w:t>
      </w:r>
      <w:r>
        <w:t xml:space="preserve">, the factor </w:t>
      </w:r>
      <w:r w:rsidR="007662CE">
        <w:t>would apply</w:t>
      </w:r>
      <w:r>
        <w:t xml:space="preserve"> to Corp’s total distributive share income. </w:t>
      </w:r>
    </w:p>
    <w:p w14:paraId="4C9E5D6E" w14:textId="5B0F98AB" w:rsidR="007662CE" w:rsidRDefault="007662CE" w:rsidP="007662CE">
      <w:r>
        <w:lastRenderedPageBreak/>
        <w:t xml:space="preserve">This example demonstrates that the result may be different depending on whether the share of partnership receipts for a partner to include in its factor is determined based on that partner’s total distributive share income from the partnership or whether the partner uses its distributive share of particular partnership items or income to determine its share of receipts related to that income. While the latter approach may seem more “accurate” in some sense, it is likely to be impractical for use in complex partnership structures and would require significant additional information reporting by the partnership. </w:t>
      </w:r>
    </w:p>
    <w:p w14:paraId="1A4A0883" w14:textId="715CFA3B" w:rsidR="007662CE" w:rsidRDefault="007662CE" w:rsidP="007662CE">
      <w:r>
        <w:t>In addition, this approach might be viewed as contrary to the unitary business principle—which relates the receipts or apportionment factors of the business to the net income from that business. Here, while the partnership may have internal books and records tracking the income from the different operations, these operations are still part of the partnership’s unitary business.</w:t>
      </w:r>
    </w:p>
    <w:p w14:paraId="594669EE" w14:textId="7C2961F7" w:rsidR="007662CE" w:rsidRDefault="007662CE" w:rsidP="007662CE">
      <w:r>
        <w:t>Nevertheless, there may be certain examples of special allocations that would demonstrate income is effectively being shifted for state tax reasons that are not related to any economic purpose or differences in economic results for the partner. These situations might be better addressed by anti-abuse rules, discussed further in subsection II.E. below.</w:t>
      </w:r>
    </w:p>
    <w:p w14:paraId="1F0C25C5" w14:textId="77777777" w:rsidR="003E3DF7" w:rsidRDefault="003E3DF7" w:rsidP="003E3DF7">
      <w:pPr>
        <w:pStyle w:val="Heading4"/>
      </w:pPr>
      <w:r>
        <w:t>Built-in Gains (Losses)</w:t>
      </w:r>
    </w:p>
    <w:p w14:paraId="3011ACBE" w14:textId="6D56B4B9" w:rsidR="003E3DF7" w:rsidRDefault="009D1491" w:rsidP="003E3DF7">
      <w:pPr>
        <w:spacing w:after="120"/>
      </w:pPr>
      <w:r>
        <w:t xml:space="preserve">Mandatory allocations can raise issues similar to special allocations. </w:t>
      </w:r>
      <w:r w:rsidR="003E3DF7">
        <w:t xml:space="preserve">Under IRC 704(c), built-in gains (losses) on contributed property may be required to be allocated to the contributing partner if the </w:t>
      </w:r>
      <w:r>
        <w:t xml:space="preserve">contributed </w:t>
      </w:r>
      <w:r w:rsidR="003E3DF7">
        <w:t xml:space="preserve">property is later transferred by the partnership. This is to prevent partnerships from being used to effectively </w:t>
      </w:r>
      <w:r>
        <w:t>exchange</w:t>
      </w:r>
      <w:r w:rsidR="003E3DF7">
        <w:t xml:space="preserve"> property </w:t>
      </w:r>
      <w:r>
        <w:t xml:space="preserve">while </w:t>
      </w:r>
      <w:r w:rsidR="003E3DF7">
        <w:t>avoid</w:t>
      </w:r>
      <w:r>
        <w:t>ing</w:t>
      </w:r>
      <w:r w:rsidR="003E3DF7">
        <w:t xml:space="preserve"> recogni</w:t>
      </w:r>
      <w:r>
        <w:t>tion of</w:t>
      </w:r>
      <w:r w:rsidR="003E3DF7">
        <w:t xml:space="preserve"> accrued gains or to shift gains (losses) among partners. The state sourcing treatment of these built-in gains (losses) may be unclear and different approaches could have very different results.</w:t>
      </w:r>
    </w:p>
    <w:p w14:paraId="311CB503" w14:textId="77777777" w:rsidR="003E3DF7" w:rsidRDefault="003E3DF7" w:rsidP="003E3DF7">
      <w:pPr>
        <w:spacing w:after="60"/>
        <w:ind w:left="720"/>
      </w:pPr>
      <w:r>
        <w:t>For example, assume:</w:t>
      </w:r>
    </w:p>
    <w:p w14:paraId="35591293" w14:textId="77777777" w:rsidR="003E3DF7" w:rsidRDefault="003E3DF7" w:rsidP="00FF1104">
      <w:pPr>
        <w:pStyle w:val="ListParagraph"/>
        <w:numPr>
          <w:ilvl w:val="0"/>
          <w:numId w:val="58"/>
        </w:numPr>
        <w:spacing w:after="60"/>
        <w:ind w:left="1080"/>
        <w:contextualSpacing w:val="0"/>
      </w:pPr>
      <w:r>
        <w:t xml:space="preserve">State A has an income tax and State B does not. </w:t>
      </w:r>
    </w:p>
    <w:p w14:paraId="0BBDFC17" w14:textId="513F22C6" w:rsidR="00B70267" w:rsidRDefault="00B70267" w:rsidP="00FF1104">
      <w:pPr>
        <w:pStyle w:val="ListParagraph"/>
        <w:numPr>
          <w:ilvl w:val="0"/>
          <w:numId w:val="58"/>
        </w:numPr>
        <w:spacing w:after="60"/>
        <w:ind w:left="1080"/>
        <w:contextualSpacing w:val="0"/>
      </w:pPr>
      <w:r>
        <w:t>State A includes gains from sales of business assets in the receipts factor at net.</w:t>
      </w:r>
    </w:p>
    <w:p w14:paraId="352A6D1E" w14:textId="77777777" w:rsidR="003E3DF7" w:rsidRDefault="003E3DF7" w:rsidP="00FF1104">
      <w:pPr>
        <w:pStyle w:val="ListParagraph"/>
        <w:numPr>
          <w:ilvl w:val="0"/>
          <w:numId w:val="58"/>
        </w:numPr>
        <w:spacing w:after="60"/>
        <w:ind w:left="1080"/>
        <w:contextualSpacing w:val="0"/>
      </w:pPr>
      <w:r>
        <w:t xml:space="preserve">Corp owns an office complex and other property in State A. </w:t>
      </w:r>
    </w:p>
    <w:p w14:paraId="37A8D7F7" w14:textId="77777777" w:rsidR="003E3DF7" w:rsidRDefault="003E3DF7" w:rsidP="00FF1104">
      <w:pPr>
        <w:pStyle w:val="ListParagraph"/>
        <w:numPr>
          <w:ilvl w:val="0"/>
          <w:numId w:val="58"/>
        </w:numPr>
        <w:spacing w:after="60"/>
        <w:ind w:left="1080"/>
        <w:contextualSpacing w:val="0"/>
      </w:pPr>
      <w:r>
        <w:t>Partnership manages real property in State B.</w:t>
      </w:r>
    </w:p>
    <w:p w14:paraId="6371DDD1" w14:textId="77777777" w:rsidR="003E3DF7" w:rsidRDefault="003E3DF7" w:rsidP="00FF1104">
      <w:pPr>
        <w:pStyle w:val="ListParagraph"/>
        <w:numPr>
          <w:ilvl w:val="0"/>
          <w:numId w:val="58"/>
        </w:numPr>
        <w:spacing w:after="60"/>
        <w:ind w:left="1080"/>
        <w:contextualSpacing w:val="0"/>
      </w:pPr>
      <w:r>
        <w:t>In YEAR 1:</w:t>
      </w:r>
    </w:p>
    <w:p w14:paraId="225798E2" w14:textId="77777777" w:rsidR="003E3DF7" w:rsidRDefault="003E3DF7" w:rsidP="00FF1104">
      <w:pPr>
        <w:pStyle w:val="ListParagraph"/>
        <w:numPr>
          <w:ilvl w:val="2"/>
          <w:numId w:val="58"/>
        </w:numPr>
        <w:spacing w:after="60"/>
        <w:contextualSpacing w:val="0"/>
      </w:pPr>
      <w:r>
        <w:t>Corp contributes its office complex to Partnership and, at the point of contribution, it has a built-in gain of $100 million (none of which is recognized).</w:t>
      </w:r>
    </w:p>
    <w:p w14:paraId="1590D68B" w14:textId="27F6E947" w:rsidR="003E3DF7" w:rsidRDefault="003E3DF7" w:rsidP="00FF1104">
      <w:pPr>
        <w:pStyle w:val="ListParagraph"/>
        <w:numPr>
          <w:ilvl w:val="2"/>
          <w:numId w:val="58"/>
        </w:numPr>
        <w:spacing w:after="60"/>
        <w:contextualSpacing w:val="0"/>
      </w:pPr>
      <w:r>
        <w:t>Partnership manage</w:t>
      </w:r>
      <w:r w:rsidR="009D1491">
        <w:t>s</w:t>
      </w:r>
      <w:r>
        <w:t xml:space="preserve"> the office complex as part of its properties.</w:t>
      </w:r>
    </w:p>
    <w:p w14:paraId="70834E10" w14:textId="77777777" w:rsidR="003E3DF7" w:rsidRDefault="003E3DF7" w:rsidP="00FF1104">
      <w:pPr>
        <w:pStyle w:val="ListParagraph"/>
        <w:numPr>
          <w:ilvl w:val="2"/>
          <w:numId w:val="58"/>
        </w:numPr>
        <w:spacing w:after="60"/>
        <w:contextualSpacing w:val="0"/>
      </w:pPr>
      <w:r>
        <w:t>Corp has $100 million in total receipts and $50 million in State A.</w:t>
      </w:r>
    </w:p>
    <w:p w14:paraId="5EBB3CDA" w14:textId="1B634BD8" w:rsidR="009D1491" w:rsidRDefault="008D7C7D" w:rsidP="00FF1104">
      <w:pPr>
        <w:pStyle w:val="ListParagraph"/>
        <w:numPr>
          <w:ilvl w:val="2"/>
          <w:numId w:val="58"/>
        </w:numPr>
        <w:spacing w:after="60"/>
        <w:contextualSpacing w:val="0"/>
      </w:pPr>
      <w:r>
        <w:t>Corp’s separate income = $0.</w:t>
      </w:r>
    </w:p>
    <w:p w14:paraId="7856A529" w14:textId="77777777" w:rsidR="003E3DF7" w:rsidRDefault="003E3DF7" w:rsidP="00FF1104">
      <w:pPr>
        <w:pStyle w:val="ListParagraph"/>
        <w:numPr>
          <w:ilvl w:val="0"/>
          <w:numId w:val="58"/>
        </w:numPr>
        <w:spacing w:after="60"/>
        <w:ind w:left="1080"/>
        <w:contextualSpacing w:val="0"/>
      </w:pPr>
      <w:r>
        <w:t>In YEAR 3:</w:t>
      </w:r>
    </w:p>
    <w:p w14:paraId="2F0AFEB8" w14:textId="687A6FD8" w:rsidR="003E3DF7" w:rsidRDefault="003E3DF7" w:rsidP="00FF1104">
      <w:pPr>
        <w:pStyle w:val="ListParagraph"/>
        <w:numPr>
          <w:ilvl w:val="2"/>
          <w:numId w:val="58"/>
        </w:numPr>
        <w:spacing w:after="60"/>
        <w:contextualSpacing w:val="0"/>
      </w:pPr>
      <w:r>
        <w:t xml:space="preserve">Partnership sells the </w:t>
      </w:r>
      <w:r w:rsidR="009D1491">
        <w:t>office complex</w:t>
      </w:r>
      <w:r>
        <w:t xml:space="preserve"> </w:t>
      </w:r>
      <w:r w:rsidR="009D1491">
        <w:t xml:space="preserve">in State A </w:t>
      </w:r>
      <w:r>
        <w:t>recognizing a $120 million gain.</w:t>
      </w:r>
    </w:p>
    <w:p w14:paraId="3EED1E2A" w14:textId="77777777" w:rsidR="008D7C7D" w:rsidRDefault="003E3DF7" w:rsidP="00FF1104">
      <w:pPr>
        <w:pStyle w:val="ListParagraph"/>
        <w:numPr>
          <w:ilvl w:val="2"/>
          <w:numId w:val="58"/>
        </w:numPr>
        <w:spacing w:after="60"/>
        <w:contextualSpacing w:val="0"/>
      </w:pPr>
      <w:r>
        <w:t>Partnership</w:t>
      </w:r>
      <w:r w:rsidR="009D1491">
        <w:t>’s</w:t>
      </w:r>
      <w:r>
        <w:t xml:space="preserve"> </w:t>
      </w:r>
      <w:r w:rsidR="009D1491">
        <w:t>total</w:t>
      </w:r>
      <w:r>
        <w:t xml:space="preserve"> rents and gains </w:t>
      </w:r>
      <w:r w:rsidR="009D1491">
        <w:t>=</w:t>
      </w:r>
      <w:r>
        <w:t xml:space="preserve"> $1.2 billion</w:t>
      </w:r>
      <w:r w:rsidR="008D7C7D">
        <w:t xml:space="preserve"> </w:t>
      </w:r>
    </w:p>
    <w:p w14:paraId="53DAB72D" w14:textId="57C9A268" w:rsidR="003E3DF7" w:rsidRDefault="008D7C7D" w:rsidP="00FF1104">
      <w:pPr>
        <w:pStyle w:val="ListParagraph"/>
        <w:numPr>
          <w:ilvl w:val="2"/>
          <w:numId w:val="58"/>
        </w:numPr>
        <w:spacing w:after="60"/>
        <w:contextualSpacing w:val="0"/>
      </w:pPr>
      <w:r>
        <w:t>Partnership’s total distributive share income = $200 million.</w:t>
      </w:r>
    </w:p>
    <w:p w14:paraId="4CF09FEC" w14:textId="50C7FF1D" w:rsidR="008D7C7D" w:rsidRDefault="008D7C7D" w:rsidP="00FF1104">
      <w:pPr>
        <w:pStyle w:val="ListParagraph"/>
        <w:numPr>
          <w:ilvl w:val="2"/>
          <w:numId w:val="58"/>
        </w:numPr>
        <w:spacing w:after="60"/>
        <w:contextualSpacing w:val="0"/>
      </w:pPr>
      <w:r>
        <w:t xml:space="preserve">Corp is allocated the built-in gain of $100 million as required under IRC § 704(c) </w:t>
      </w:r>
      <w:proofErr w:type="gramStart"/>
      <w:r>
        <w:t>an</w:t>
      </w:r>
      <w:proofErr w:type="gramEnd"/>
      <w:r>
        <w:t xml:space="preserve"> its total distributive share income from Partnership is $150 million. </w:t>
      </w:r>
    </w:p>
    <w:p w14:paraId="08B22D7D" w14:textId="722E0182" w:rsidR="003E3DF7" w:rsidRDefault="003E3DF7" w:rsidP="00FF1104">
      <w:pPr>
        <w:pStyle w:val="ListParagraph"/>
        <w:numPr>
          <w:ilvl w:val="2"/>
          <w:numId w:val="58"/>
        </w:numPr>
        <w:spacing w:after="60"/>
        <w:contextualSpacing w:val="0"/>
      </w:pPr>
      <w:r>
        <w:t xml:space="preserve">Corp has </w:t>
      </w:r>
      <w:r w:rsidR="008D7C7D">
        <w:t xml:space="preserve">other </w:t>
      </w:r>
      <w:r>
        <w:t>receipts of $100 million with $10 million in State A.</w:t>
      </w:r>
    </w:p>
    <w:p w14:paraId="22BD3482" w14:textId="68743D5E" w:rsidR="008D7C7D" w:rsidRDefault="008D7C7D" w:rsidP="00FF1104">
      <w:pPr>
        <w:pStyle w:val="ListParagraph"/>
        <w:numPr>
          <w:ilvl w:val="2"/>
          <w:numId w:val="58"/>
        </w:numPr>
        <w:spacing w:after="60"/>
        <w:contextualSpacing w:val="0"/>
      </w:pPr>
      <w:r>
        <w:t>Corp’s separate income = $0.</w:t>
      </w:r>
    </w:p>
    <w:p w14:paraId="152B3D30" w14:textId="3C060E9D" w:rsidR="003E3DF7" w:rsidRDefault="003E3DF7" w:rsidP="003E3DF7">
      <w:pPr>
        <w:spacing w:after="120"/>
        <w:ind w:left="720"/>
      </w:pPr>
      <w:r>
        <w:t xml:space="preserve">Assuming the gain is generally considered apportionable income and State A uses a receipts factor which would generally include such gains, possible sourcing outcomes include: </w:t>
      </w:r>
    </w:p>
    <w:p w14:paraId="36D712B6" w14:textId="77777777" w:rsidR="003E3DF7" w:rsidRDefault="003E3DF7" w:rsidP="00FF1104">
      <w:pPr>
        <w:pStyle w:val="ListParagraph"/>
        <w:numPr>
          <w:ilvl w:val="0"/>
          <w:numId w:val="59"/>
        </w:numPr>
        <w:spacing w:after="120"/>
        <w:contextualSpacing w:val="0"/>
      </w:pPr>
      <w:r>
        <w:t xml:space="preserve">Partnership-level apportionment: </w:t>
      </w:r>
    </w:p>
    <w:p w14:paraId="73F59366" w14:textId="70D9F452" w:rsidR="003E3DF7" w:rsidRDefault="008D7C7D" w:rsidP="003E3DF7">
      <w:pPr>
        <w:pStyle w:val="ListParagraph"/>
        <w:spacing w:after="60"/>
        <w:ind w:left="1440"/>
        <w:contextualSpacing w:val="0"/>
      </w:pPr>
      <w:r>
        <w:t>Corp</w:t>
      </w:r>
      <w:r w:rsidR="0012777C">
        <w:t>’s</w:t>
      </w:r>
      <w:r>
        <w:t xml:space="preserve"> income in State A</w:t>
      </w:r>
      <w:r w:rsidR="003E3DF7">
        <w:t xml:space="preserve">: </w:t>
      </w:r>
    </w:p>
    <w:p w14:paraId="2F24B49B" w14:textId="77777777" w:rsidR="003E3DF7" w:rsidRDefault="003E3DF7" w:rsidP="003E3DF7">
      <w:pPr>
        <w:pStyle w:val="ListParagraph"/>
        <w:spacing w:after="0"/>
        <w:ind w:left="1440" w:firstLine="720"/>
        <w:contextualSpacing w:val="0"/>
        <w:jc w:val="left"/>
      </w:pPr>
      <w:r>
        <w:t>$120 million (total gain) in State A ÷ $1.2 million = 10% Factor</w:t>
      </w:r>
    </w:p>
    <w:p w14:paraId="55D0D5DC" w14:textId="55AEE697" w:rsidR="008D7C7D" w:rsidRDefault="003E3DF7" w:rsidP="008D7C7D">
      <w:pPr>
        <w:pStyle w:val="ListParagraph"/>
        <w:spacing w:after="120"/>
        <w:ind w:left="1440" w:firstLine="720"/>
        <w:contextualSpacing w:val="0"/>
        <w:jc w:val="left"/>
      </w:pPr>
      <w:r>
        <w:t>x $100 million = $10 million</w:t>
      </w:r>
    </w:p>
    <w:p w14:paraId="507AF028" w14:textId="77777777" w:rsidR="008E20FA" w:rsidRDefault="008E20FA" w:rsidP="008D7C7D">
      <w:pPr>
        <w:pStyle w:val="ListParagraph"/>
        <w:spacing w:after="120"/>
        <w:ind w:left="1440" w:firstLine="720"/>
        <w:contextualSpacing w:val="0"/>
        <w:jc w:val="left"/>
      </w:pPr>
    </w:p>
    <w:p w14:paraId="36F88839" w14:textId="77777777" w:rsidR="003E3DF7" w:rsidRDefault="003E3DF7" w:rsidP="00FF1104">
      <w:pPr>
        <w:pStyle w:val="ListParagraph"/>
        <w:numPr>
          <w:ilvl w:val="0"/>
          <w:numId w:val="59"/>
        </w:numPr>
        <w:spacing w:after="120"/>
        <w:contextualSpacing w:val="0"/>
      </w:pPr>
      <w:r>
        <w:t>Blended apportionment:</w:t>
      </w:r>
    </w:p>
    <w:p w14:paraId="073AC8D6" w14:textId="102D5AE9" w:rsidR="0012777C" w:rsidRDefault="003E3DF7" w:rsidP="0012777C">
      <w:pPr>
        <w:pStyle w:val="ListParagraph"/>
        <w:spacing w:after="120"/>
        <w:ind w:left="1440"/>
        <w:contextualSpacing w:val="0"/>
        <w:jc w:val="left"/>
      </w:pPr>
      <w:r>
        <w:t xml:space="preserve">Corp’s </w:t>
      </w:r>
      <w:r w:rsidR="0012777C">
        <w:t>determines share of receipts using total distributive share of $150 million ÷ total Partnership income $200 million = 75%</w:t>
      </w:r>
    </w:p>
    <w:p w14:paraId="23190741" w14:textId="77777777" w:rsidR="0012777C" w:rsidRDefault="0012777C" w:rsidP="0012777C">
      <w:pPr>
        <w:pStyle w:val="ListParagraph"/>
        <w:spacing w:after="120"/>
        <w:ind w:left="1440"/>
        <w:contextualSpacing w:val="0"/>
        <w:jc w:val="left"/>
      </w:pPr>
      <w:r>
        <w:t>Corp’s share Partnership receipts using 75% = $90 million in State A and $900 million total</w:t>
      </w:r>
    </w:p>
    <w:p w14:paraId="7B78B228" w14:textId="5D317C8C" w:rsidR="0012777C" w:rsidRDefault="0012777C" w:rsidP="0012777C">
      <w:pPr>
        <w:pStyle w:val="ListParagraph"/>
        <w:spacing w:after="120"/>
        <w:ind w:left="1440"/>
        <w:contextualSpacing w:val="0"/>
        <w:jc w:val="left"/>
      </w:pPr>
      <w:r>
        <w:t>Corp’s total receipts = $90 million +</w:t>
      </w:r>
      <w:r w:rsidR="008E20FA">
        <w:t xml:space="preserve"> </w:t>
      </w:r>
      <w:r>
        <w:t>$10 million = $100 million in state A and $900 million plus $100 total = $1 billion</w:t>
      </w:r>
      <w:r w:rsidR="008E20FA">
        <w:t xml:space="preserve"> total</w:t>
      </w:r>
    </w:p>
    <w:p w14:paraId="63663F6E" w14:textId="77777777" w:rsidR="0012777C" w:rsidRDefault="0012777C" w:rsidP="0012777C">
      <w:pPr>
        <w:pStyle w:val="ListParagraph"/>
        <w:spacing w:after="120"/>
        <w:ind w:left="1440"/>
        <w:contextualSpacing w:val="0"/>
        <w:jc w:val="left"/>
      </w:pPr>
      <w:r>
        <w:t>Corp’s receipts factor = $100 million ÷1 billion  = 10%</w:t>
      </w:r>
      <w:r w:rsidR="003E3DF7">
        <w:t xml:space="preserve"> </w:t>
      </w:r>
    </w:p>
    <w:p w14:paraId="706B9A32" w14:textId="31D1211F" w:rsidR="003E3DF7" w:rsidRDefault="0012777C" w:rsidP="0012777C">
      <w:pPr>
        <w:pStyle w:val="ListParagraph"/>
        <w:spacing w:after="120"/>
        <w:ind w:left="1440"/>
        <w:contextualSpacing w:val="0"/>
        <w:jc w:val="left"/>
      </w:pPr>
      <w:r>
        <w:t xml:space="preserve">Corp’s income in State A = $10 </w:t>
      </w:r>
      <w:r w:rsidR="003E3DF7">
        <w:t xml:space="preserve">million </w:t>
      </w:r>
    </w:p>
    <w:p w14:paraId="5AAE8C12" w14:textId="12DC6CF3" w:rsidR="008E20FA" w:rsidRDefault="008E20FA" w:rsidP="008E20FA">
      <w:pPr>
        <w:pStyle w:val="ListParagraph"/>
        <w:spacing w:after="120"/>
        <w:contextualSpacing w:val="0"/>
        <w:jc w:val="left"/>
      </w:pPr>
      <w:r>
        <w:t xml:space="preserve">But this example also raises the question – rather than sourcing the built-in gain using factors in Year 3 (whether the Partnership’s own separate factors or a blended factor), should the built-in gain be sourced using the Corp’s factors from Year 1. </w:t>
      </w:r>
    </w:p>
    <w:p w14:paraId="6B076A4B" w14:textId="74BDE60A" w:rsidR="003E3DF7" w:rsidRDefault="008E20FA" w:rsidP="00FF1104">
      <w:pPr>
        <w:pStyle w:val="ListParagraph"/>
        <w:numPr>
          <w:ilvl w:val="0"/>
          <w:numId w:val="59"/>
        </w:numPr>
        <w:spacing w:after="120"/>
        <w:contextualSpacing w:val="0"/>
      </w:pPr>
      <w:r>
        <w:t xml:space="preserve">Using </w:t>
      </w:r>
      <w:r w:rsidR="003E3DF7">
        <w:t xml:space="preserve">Year 1 </w:t>
      </w:r>
      <w:r>
        <w:t xml:space="preserve">Corp </w:t>
      </w:r>
      <w:r w:rsidR="003E3DF7">
        <w:t>factor</w:t>
      </w:r>
      <w:r>
        <w:t xml:space="preserve">s to source </w:t>
      </w:r>
      <w:r w:rsidR="004062CA">
        <w:t xml:space="preserve">the </w:t>
      </w:r>
      <w:r>
        <w:t>built-in gain</w:t>
      </w:r>
      <w:r w:rsidR="003E3DF7">
        <w:t>:</w:t>
      </w:r>
    </w:p>
    <w:p w14:paraId="44C8A7A6" w14:textId="0ADEAE0E" w:rsidR="00B70267" w:rsidRDefault="00B70267" w:rsidP="00B70267">
      <w:pPr>
        <w:spacing w:after="120"/>
        <w:ind w:left="1440"/>
      </w:pPr>
      <w:r>
        <w:t xml:space="preserve">Corp’s  Year I State A factor – as though the gain had been recognized in that year = </w:t>
      </w:r>
      <w:r>
        <w:br/>
        <w:t>$50 million other receipts + $100 gain ÷ $100 million other receipts + $100 million gain = 75%</w:t>
      </w:r>
    </w:p>
    <w:p w14:paraId="5F6CAD21" w14:textId="1FA52272" w:rsidR="00B70267" w:rsidRDefault="00B70267" w:rsidP="00B70267">
      <w:pPr>
        <w:spacing w:after="120"/>
        <w:ind w:left="1440"/>
      </w:pPr>
      <w:r>
        <w:t xml:space="preserve">Corp’s State </w:t>
      </w:r>
      <w:proofErr w:type="spellStart"/>
      <w:r>
        <w:t>A</w:t>
      </w:r>
      <w:proofErr w:type="spellEnd"/>
      <w:r>
        <w:t xml:space="preserve"> income = 75% of $100 million = $75 million</w:t>
      </w:r>
    </w:p>
    <w:p w14:paraId="04CDCFD6" w14:textId="5CAD5654" w:rsidR="00B70267" w:rsidRDefault="00B70267" w:rsidP="00B70267">
      <w:pPr>
        <w:spacing w:after="120"/>
        <w:ind w:left="1440"/>
      </w:pPr>
      <w:r>
        <w:t>(Note that Corp would presumably have no other State A income if the gain is sourced separately in this way.)</w:t>
      </w:r>
    </w:p>
    <w:p w14:paraId="252C1594" w14:textId="75FE17E2" w:rsidR="00B70267" w:rsidRDefault="00B70267" w:rsidP="00B70267">
      <w:pPr>
        <w:spacing w:after="120"/>
      </w:pPr>
      <w:r>
        <w:t>This approach does not raise some of the practical difficulties that are raised by using a different share of partnership receipts for special allocations. Rather, here, Corp would simply compute the factor to be used to apportion the gain based on its own information—its factors from Year 1 and the sourcing of the gain for purposes of computing that factor.</w:t>
      </w:r>
      <w:r w:rsidR="004062CA">
        <w:t xml:space="preserve"> If Partnership had other factors in State A, then Corp would exclude the gain from its use of blended apportionment for any other distributive share income from Partnership, but would otherwise source rest of its distributive share income using a blended factor for Year 3.. </w:t>
      </w:r>
      <w:r>
        <w:t xml:space="preserve"> </w:t>
      </w:r>
    </w:p>
    <w:p w14:paraId="7271B005" w14:textId="77777777" w:rsidR="004C5DD0" w:rsidRDefault="004C5DD0" w:rsidP="004C5DD0"/>
    <w:p w14:paraId="24B1E835" w14:textId="77777777" w:rsidR="00A77B73" w:rsidRDefault="00A77B73">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41E0114E" w14:textId="3DEC136C" w:rsidR="005660D3" w:rsidRDefault="005660D3" w:rsidP="00A702C1">
      <w:pPr>
        <w:pStyle w:val="Heading2"/>
      </w:pPr>
      <w:bookmarkStart w:id="75" w:name="_Toc195435264"/>
      <w:r>
        <w:lastRenderedPageBreak/>
        <w:t>II.</w:t>
      </w:r>
      <w:r w:rsidR="00A702C1">
        <w:t>D</w:t>
      </w:r>
      <w:r>
        <w:t xml:space="preserve">. Other Related </w:t>
      </w:r>
      <w:r w:rsidR="00050C67">
        <w:t>-</w:t>
      </w:r>
      <w:r>
        <w:t>Entity Transactions</w:t>
      </w:r>
      <w:bookmarkEnd w:id="75"/>
    </w:p>
    <w:p w14:paraId="7ECFB34D" w14:textId="2FECB163" w:rsidR="00F4275C" w:rsidRPr="00F4275C" w:rsidRDefault="002B7727" w:rsidP="00F4275C">
      <w:r>
        <w:t>[Need for clear 482 or other add-back authority.]</w:t>
      </w:r>
    </w:p>
    <w:p w14:paraId="121C3DED" w14:textId="77777777" w:rsidR="00A702C1" w:rsidRDefault="00A702C1">
      <w:pPr>
        <w:spacing w:line="276" w:lineRule="auto"/>
        <w:jc w:val="left"/>
        <w:rPr>
          <w:rFonts w:asciiTheme="majorHAnsi" w:eastAsiaTheme="majorEastAsia" w:hAnsiTheme="majorHAnsi" w:cstheme="majorBidi"/>
          <w:b/>
          <w:color w:val="851C00" w:themeColor="accent6" w:themeShade="BF"/>
          <w:sz w:val="26"/>
          <w:szCs w:val="24"/>
          <w:u w:val="single"/>
        </w:rPr>
      </w:pPr>
      <w:r>
        <w:br w:type="page"/>
      </w:r>
    </w:p>
    <w:p w14:paraId="40CADF41" w14:textId="5F20F625" w:rsidR="00D26602" w:rsidRDefault="00A072B0" w:rsidP="00A702C1">
      <w:pPr>
        <w:pStyle w:val="Heading2"/>
      </w:pPr>
      <w:bookmarkStart w:id="76" w:name="_Toc195435265"/>
      <w:r>
        <w:lastRenderedPageBreak/>
        <w:t>II.</w:t>
      </w:r>
      <w:r w:rsidR="00A702C1">
        <w:t>E</w:t>
      </w:r>
      <w:r>
        <w:t xml:space="preserve">. </w:t>
      </w:r>
      <w:r w:rsidR="00D26602">
        <w:t>Anti-Abuse Rules</w:t>
      </w:r>
      <w:bookmarkEnd w:id="76"/>
    </w:p>
    <w:p w14:paraId="02BE30BF" w14:textId="559DCBA6" w:rsidR="00D26602" w:rsidRDefault="0058276A" w:rsidP="00D26602">
      <w:r>
        <w:t xml:space="preserve">[Economic </w:t>
      </w:r>
      <w:r w:rsidR="00CC18E8">
        <w:t>substance</w:t>
      </w:r>
      <w:r>
        <w:t xml:space="preserve"> and substantial economic effect rules.] </w:t>
      </w:r>
      <w:r w:rsidR="00AB674D">
        <w:t xml:space="preserve"> </w:t>
      </w:r>
    </w:p>
    <w:p w14:paraId="10C24C96" w14:textId="54FDDC32" w:rsidR="00D7061B" w:rsidRDefault="00D7061B">
      <w:pPr>
        <w:spacing w:line="276" w:lineRule="auto"/>
        <w:jc w:val="left"/>
      </w:pPr>
      <w:r>
        <w:br w:type="page"/>
      </w:r>
    </w:p>
    <w:p w14:paraId="1C7EF818" w14:textId="306D9859" w:rsidR="000000D1" w:rsidRPr="000000D1" w:rsidRDefault="008B1BEA" w:rsidP="000000D1">
      <w:pPr>
        <w:keepNext/>
        <w:keepLines/>
        <w:pBdr>
          <w:bottom w:val="single" w:sz="12" w:space="1" w:color="5B2413" w:themeColor="accent3" w:themeShade="80"/>
        </w:pBdr>
        <w:spacing w:before="480" w:after="360"/>
        <w:contextualSpacing/>
        <w:jc w:val="center"/>
        <w:outlineLvl w:val="0"/>
        <w:rPr>
          <w:rFonts w:asciiTheme="majorHAnsi" w:eastAsiaTheme="majorEastAsia" w:hAnsiTheme="majorHAnsi" w:cstheme="majorBidi"/>
          <w:b/>
          <w:smallCaps/>
          <w:color w:val="851C00" w:themeColor="accent6" w:themeShade="BF"/>
          <w:sz w:val="32"/>
          <w:szCs w:val="32"/>
        </w:rPr>
      </w:pPr>
      <w:bookmarkStart w:id="77" w:name="_Toc153291170"/>
      <w:bookmarkStart w:id="78" w:name="_Toc195435266"/>
      <w:bookmarkStart w:id="79" w:name="_Toc104209207"/>
      <w:bookmarkStart w:id="80" w:name="_Toc146825309"/>
      <w:r>
        <w:rPr>
          <w:rFonts w:asciiTheme="majorHAnsi" w:eastAsiaTheme="majorEastAsia" w:hAnsiTheme="majorHAnsi" w:cstheme="majorBidi"/>
          <w:b/>
          <w:smallCaps/>
          <w:color w:val="851C00" w:themeColor="accent6" w:themeShade="BF"/>
          <w:sz w:val="32"/>
          <w:szCs w:val="32"/>
        </w:rPr>
        <w:lastRenderedPageBreak/>
        <w:t>I</w:t>
      </w:r>
      <w:r w:rsidR="000000D1" w:rsidRPr="000000D1">
        <w:rPr>
          <w:rFonts w:asciiTheme="majorHAnsi" w:eastAsiaTheme="majorEastAsia" w:hAnsiTheme="majorHAnsi" w:cstheme="majorBidi"/>
          <w:b/>
          <w:smallCaps/>
          <w:color w:val="851C00" w:themeColor="accent6" w:themeShade="BF"/>
          <w:sz w:val="32"/>
          <w:szCs w:val="32"/>
        </w:rPr>
        <w:t xml:space="preserve">II. </w:t>
      </w:r>
      <w:bookmarkEnd w:id="77"/>
      <w:r w:rsidR="000000D1" w:rsidRPr="000000D1">
        <w:rPr>
          <w:rFonts w:asciiTheme="majorHAnsi" w:eastAsiaTheme="majorEastAsia" w:hAnsiTheme="majorHAnsi" w:cstheme="majorBidi"/>
          <w:b/>
          <w:smallCaps/>
          <w:color w:val="851C00" w:themeColor="accent6" w:themeShade="BF"/>
          <w:sz w:val="32"/>
          <w:szCs w:val="32"/>
        </w:rPr>
        <w:t>Summary of Multistate Research On State Tax</w:t>
      </w:r>
      <w:bookmarkEnd w:id="78"/>
      <w:r w:rsidR="000000D1" w:rsidRPr="000000D1">
        <w:rPr>
          <w:rFonts w:asciiTheme="majorHAnsi" w:eastAsiaTheme="majorEastAsia" w:hAnsiTheme="majorHAnsi" w:cstheme="majorBidi"/>
          <w:b/>
          <w:smallCaps/>
          <w:color w:val="851C00" w:themeColor="accent6" w:themeShade="BF"/>
          <w:sz w:val="32"/>
          <w:szCs w:val="32"/>
        </w:rPr>
        <w:t xml:space="preserve"> </w:t>
      </w:r>
    </w:p>
    <w:p w14:paraId="4E007235" w14:textId="77777777" w:rsidR="000000D1" w:rsidRPr="000000D1" w:rsidRDefault="000000D1" w:rsidP="000000D1">
      <w:pPr>
        <w:keepNext/>
        <w:keepLines/>
        <w:pBdr>
          <w:bottom w:val="single" w:sz="12" w:space="1" w:color="5B2413" w:themeColor="accent3" w:themeShade="80"/>
        </w:pBdr>
        <w:spacing w:before="480" w:after="360"/>
        <w:contextualSpacing/>
        <w:jc w:val="center"/>
        <w:outlineLvl w:val="0"/>
        <w:rPr>
          <w:rFonts w:asciiTheme="majorHAnsi" w:eastAsiaTheme="majorEastAsia" w:hAnsiTheme="majorHAnsi" w:cstheme="majorBidi"/>
          <w:b/>
          <w:smallCaps/>
          <w:color w:val="851C00" w:themeColor="accent6" w:themeShade="BF"/>
          <w:sz w:val="32"/>
          <w:szCs w:val="32"/>
        </w:rPr>
      </w:pPr>
      <w:bookmarkStart w:id="81" w:name="_Toc195435267"/>
      <w:r w:rsidRPr="000000D1">
        <w:rPr>
          <w:rFonts w:asciiTheme="majorHAnsi" w:eastAsiaTheme="majorEastAsia" w:hAnsiTheme="majorHAnsi" w:cstheme="majorBidi"/>
          <w:b/>
          <w:smallCaps/>
          <w:color w:val="851C00" w:themeColor="accent6" w:themeShade="BF"/>
          <w:sz w:val="32"/>
          <w:szCs w:val="32"/>
        </w:rPr>
        <w:t>Sourcing for Complex Partnership Structures</w:t>
      </w:r>
      <w:bookmarkEnd w:id="81"/>
    </w:p>
    <w:p w14:paraId="022A2BA8" w14:textId="77777777" w:rsidR="000000D1" w:rsidRPr="000000D1" w:rsidRDefault="000000D1" w:rsidP="000000D1">
      <w:pPr>
        <w:jc w:val="center"/>
        <w:rPr>
          <w:rFonts w:eastAsia="Calibri" w:cs="Times New Roman"/>
          <w:i/>
          <w:iCs/>
          <w:sz w:val="18"/>
          <w:szCs w:val="20"/>
        </w:rPr>
      </w:pPr>
      <w:r w:rsidRPr="000000D1">
        <w:rPr>
          <w:rFonts w:eastAsia="Calibri" w:cs="Times New Roman"/>
          <w:i/>
          <w:iCs/>
          <w:sz w:val="18"/>
          <w:szCs w:val="20"/>
        </w:rPr>
        <w:t>Information in this section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p>
    <w:p w14:paraId="26D97BB0" w14:textId="77777777" w:rsidR="000000D1" w:rsidRPr="000000D1" w:rsidRDefault="000000D1" w:rsidP="000000D1">
      <w:pPr>
        <w:rPr>
          <w:rFonts w:eastAsia="Calibri" w:cs="Times New Roman"/>
        </w:rPr>
      </w:pPr>
      <w:r w:rsidRPr="000000D1">
        <w:rPr>
          <w:rFonts w:eastAsia="Calibri" w:cs="Times New Roman"/>
        </w:rPr>
        <w:t xml:space="preserve">Since the federal partnership rules do not address state tax sourcing rules for complex partnership structures,  state specific rules provide necessary clarity. This section summarizes the rules in states that have addressed sourcing in complex partnership structures specifically. But many of the states have not yet explicitly addressed these structures or provided clarity on the full range of potential issues. </w:t>
      </w:r>
    </w:p>
    <w:p w14:paraId="006AD680" w14:textId="29B1230F" w:rsidR="000000D1" w:rsidRPr="000000D1" w:rsidRDefault="008B1BEA" w:rsidP="000000D1">
      <w:pPr>
        <w:keepNext/>
        <w:keepLines/>
        <w:spacing w:before="240" w:after="160"/>
        <w:contextualSpacing/>
        <w:jc w:val="center"/>
        <w:outlineLvl w:val="1"/>
        <w:rPr>
          <w:rFonts w:asciiTheme="majorHAnsi" w:eastAsiaTheme="majorEastAsia" w:hAnsiTheme="majorHAnsi" w:cstheme="majorBidi"/>
          <w:b/>
          <w:color w:val="851C00" w:themeColor="accent6" w:themeShade="BF"/>
          <w:sz w:val="26"/>
          <w:szCs w:val="26"/>
          <w:u w:val="single"/>
        </w:rPr>
      </w:pPr>
      <w:bookmarkStart w:id="82" w:name="_Toc195435268"/>
      <w:bookmarkStart w:id="83" w:name="_Toc153291171"/>
      <w:bookmarkStart w:id="84" w:name="_Hlk132086685"/>
      <w:r>
        <w:rPr>
          <w:rFonts w:asciiTheme="majorHAnsi" w:eastAsiaTheme="majorEastAsia" w:hAnsiTheme="majorHAnsi" w:cstheme="majorBidi"/>
          <w:b/>
          <w:color w:val="851C00" w:themeColor="accent6" w:themeShade="BF"/>
          <w:sz w:val="26"/>
          <w:szCs w:val="26"/>
          <w:u w:val="single"/>
        </w:rPr>
        <w:t>I</w:t>
      </w:r>
      <w:r w:rsidR="000000D1" w:rsidRPr="000000D1">
        <w:rPr>
          <w:rFonts w:asciiTheme="majorHAnsi" w:eastAsiaTheme="majorEastAsia" w:hAnsiTheme="majorHAnsi" w:cstheme="majorBidi"/>
          <w:b/>
          <w:color w:val="851C00" w:themeColor="accent6" w:themeShade="BF"/>
          <w:sz w:val="26"/>
          <w:szCs w:val="26"/>
          <w:u w:val="single"/>
        </w:rPr>
        <w:t>II. A.  Summary of Complex Partnership Structure</w:t>
      </w:r>
      <w:bookmarkEnd w:id="82"/>
      <w:r w:rsidR="000000D1" w:rsidRPr="000000D1">
        <w:rPr>
          <w:rFonts w:asciiTheme="majorHAnsi" w:eastAsiaTheme="majorEastAsia" w:hAnsiTheme="majorHAnsi" w:cstheme="majorBidi"/>
          <w:b/>
          <w:color w:val="851C00" w:themeColor="accent6" w:themeShade="BF"/>
          <w:sz w:val="26"/>
          <w:szCs w:val="26"/>
          <w:u w:val="single"/>
        </w:rPr>
        <w:t xml:space="preserve"> </w:t>
      </w:r>
    </w:p>
    <w:p w14:paraId="1DB3A287" w14:textId="77777777" w:rsidR="000000D1" w:rsidRPr="000000D1" w:rsidRDefault="000000D1" w:rsidP="000000D1">
      <w:pPr>
        <w:keepNext/>
        <w:keepLines/>
        <w:spacing w:before="240" w:after="160"/>
        <w:contextualSpacing/>
        <w:jc w:val="center"/>
        <w:outlineLvl w:val="1"/>
        <w:rPr>
          <w:rFonts w:asciiTheme="majorHAnsi" w:eastAsiaTheme="majorEastAsia" w:hAnsiTheme="majorHAnsi" w:cstheme="majorBidi"/>
          <w:b/>
          <w:color w:val="851C00" w:themeColor="accent6" w:themeShade="BF"/>
          <w:sz w:val="26"/>
          <w:szCs w:val="26"/>
          <w:u w:val="single"/>
        </w:rPr>
      </w:pPr>
      <w:bookmarkStart w:id="85" w:name="_Toc195435269"/>
      <w:r w:rsidRPr="000000D1">
        <w:rPr>
          <w:rFonts w:asciiTheme="majorHAnsi" w:eastAsiaTheme="majorEastAsia" w:hAnsiTheme="majorHAnsi" w:cstheme="majorBidi"/>
          <w:b/>
          <w:color w:val="851C00" w:themeColor="accent6" w:themeShade="BF"/>
          <w:sz w:val="26"/>
          <w:szCs w:val="26"/>
          <w:u w:val="single"/>
        </w:rPr>
        <w:t>Sourcing Issues Addressed by States</w:t>
      </w:r>
      <w:bookmarkEnd w:id="83"/>
      <w:bookmarkEnd w:id="85"/>
      <w:r w:rsidRPr="000000D1">
        <w:rPr>
          <w:rFonts w:asciiTheme="majorHAnsi" w:eastAsiaTheme="majorEastAsia" w:hAnsiTheme="majorHAnsi" w:cstheme="majorBidi"/>
          <w:b/>
          <w:color w:val="851C00" w:themeColor="accent6" w:themeShade="BF"/>
          <w:sz w:val="26"/>
          <w:szCs w:val="26"/>
          <w:u w:val="single"/>
        </w:rPr>
        <w:t xml:space="preserve"> </w:t>
      </w:r>
    </w:p>
    <w:bookmarkEnd w:id="84"/>
    <w:p w14:paraId="0F6EC719" w14:textId="459DF6B7" w:rsidR="000000D1" w:rsidRPr="000000D1" w:rsidRDefault="000000D1" w:rsidP="000000D1">
      <w:pPr>
        <w:rPr>
          <w:rFonts w:eastAsia="Calibri" w:cs="Times New Roman"/>
        </w:rPr>
      </w:pPr>
      <w:r w:rsidRPr="000000D1">
        <w:rPr>
          <w:rFonts w:eastAsia="Calibri" w:cs="Times New Roman"/>
        </w:rPr>
        <w:t xml:space="preserve">State sourcing rules for complex partnership structure take varying approaches with varying levels of detail and clarity. This subsection </w:t>
      </w:r>
      <w:r w:rsidR="00492182">
        <w:rPr>
          <w:rFonts w:eastAsia="Calibri" w:cs="Times New Roman"/>
        </w:rPr>
        <w:t>I</w:t>
      </w:r>
      <w:r w:rsidRPr="000000D1">
        <w:rPr>
          <w:rFonts w:eastAsia="Calibri" w:cs="Times New Roman"/>
        </w:rPr>
        <w:t xml:space="preserve">II. A. summarizes issues states have explicitly addressed in their sourcing rules for complex partnership structures and analyzes the current status of state rules on these issues. The specific state provisions are set forth in Section </w:t>
      </w:r>
      <w:r w:rsidR="009D7DAA">
        <w:rPr>
          <w:rFonts w:eastAsia="Calibri" w:cs="Times New Roman"/>
        </w:rPr>
        <w:t>I</w:t>
      </w:r>
      <w:r w:rsidRPr="000000D1">
        <w:rPr>
          <w:rFonts w:eastAsia="Calibri" w:cs="Times New Roman"/>
        </w:rPr>
        <w:t>II. B. below.</w:t>
      </w:r>
    </w:p>
    <w:p w14:paraId="27D8D5F3"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Are attribution and conduit principles involved in state tax sourcing for complex partnership structures?</w:t>
      </w:r>
    </w:p>
    <w:p w14:paraId="44948E87" w14:textId="77777777" w:rsidR="000000D1" w:rsidRPr="000000D1" w:rsidRDefault="000000D1" w:rsidP="000000D1">
      <w:pPr>
        <w:spacing w:before="240" w:after="240"/>
        <w:ind w:left="720"/>
        <w:rPr>
          <w:rFonts w:eastAsia="Calibri" w:cs="Times New Roman"/>
        </w:rPr>
      </w:pPr>
      <w:r w:rsidRPr="000000D1">
        <w:rPr>
          <w:rFonts w:eastAsia="Calibri" w:cs="Times New Roman"/>
        </w:rPr>
        <w:t xml:space="preserve">Most of the states conform to the federal partnership principals on attribution and the determination of an item’s character at the partnership level. However, a few states, such as Massachusetts and California also have specific language clarifying that the determination of whether an item is apportionable or non-apportionable income takes place at the partnership level. Some states (such as Colorado, Indiana, Massachusetts, Montana, New York, and Virginia) further clarify that the partnership level attribution flows through multiple tiers of owners. </w:t>
      </w:r>
    </w:p>
    <w:p w14:paraId="122C9891"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sourcing when a complex partnership structure includes a corporate partner?</w:t>
      </w:r>
    </w:p>
    <w:p w14:paraId="53E5A16E" w14:textId="6C307984" w:rsidR="000000D1" w:rsidRPr="000000D1" w:rsidRDefault="000000D1" w:rsidP="000000D1">
      <w:pPr>
        <w:spacing w:before="240" w:after="240"/>
        <w:ind w:left="720"/>
        <w:rPr>
          <w:rFonts w:eastAsia="Calibri" w:cs="Times New Roman"/>
        </w:rPr>
      </w:pPr>
      <w:r w:rsidRPr="000000D1">
        <w:rPr>
          <w:rFonts w:eastAsia="Calibri" w:cs="Times New Roman"/>
        </w:rPr>
        <w:t xml:space="preserve">When a corporation owns an interest in a partnership structure, most states have specifically addressed how the corporation should source its share of income that is apportionable to the partnership. The majority of states (including Alabama, Arizona, California, Connecticut, Delaware, District of Columbia, Florida, Georgia, Hawaii, Indiana, Idaho, Illinois, Iowa, Kansas, Kentucky, Maine, Maryland, Massachusetts, Michigan, Minnesota, Montana, Nebraska, New Jersey, New York, North Carolina, North Dakota, </w:t>
      </w:r>
      <w:r w:rsidR="00C24655">
        <w:rPr>
          <w:rFonts w:eastAsia="Calibri" w:cs="Times New Roman"/>
        </w:rPr>
        <w:t xml:space="preserve">Ohio, </w:t>
      </w:r>
      <w:r w:rsidRPr="000000D1">
        <w:rPr>
          <w:rFonts w:eastAsia="Calibri" w:cs="Times New Roman"/>
        </w:rPr>
        <w:t xml:space="preserve">Oregon, Pennsylvania, Rhode Island, Tennessee, Utah, Vermont, Virginia, West Virginia, and Wisconsin) use formulary apportionment and blend the apportionment factors of the corporation with the corporation’s pro rata share of the apportionment factors of the partnership. However, several states expressly limit blended apportionment to situations where there is a unitary relationship (California, Hawaii, Indiana, Illinois, Maryland, Massachusetts, Michigan, Minnesota, Montana, Nebraska, New Jersey, Vermont, West Virginia, Wisconsin); apportionable income (Idaho, North Carolina, North Dakota), or a business interest (Alabama – business interest, Arizona – business interest, Iowa - connection with the taxpayer’s regular trade or business operations, Oregon - part of the corporation's overall business operations).  For non-unitary partnerships in these states, the income is generally sourced at the partnership level and that sourcing is retained as it flows up without reapportionment. If the income is non-apportionable to the partnership, states generally source that income using rules of assignment at the entity level and that sourcing is then attributed to the partners. </w:t>
      </w:r>
    </w:p>
    <w:p w14:paraId="2B6EDFFD"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lastRenderedPageBreak/>
        <w:t>Have the states addressed sourcing when a complex partnership structure includes multiple levels of partnerships?</w:t>
      </w:r>
    </w:p>
    <w:p w14:paraId="5793BD62" w14:textId="71F4A932" w:rsidR="000000D1" w:rsidRPr="000000D1" w:rsidRDefault="000000D1" w:rsidP="000000D1">
      <w:pPr>
        <w:spacing w:before="240" w:after="240"/>
        <w:ind w:left="720"/>
        <w:rPr>
          <w:rFonts w:eastAsia="Calibri" w:cs="Times New Roman"/>
        </w:rPr>
      </w:pPr>
      <w:r w:rsidRPr="000000D1">
        <w:rPr>
          <w:rFonts w:eastAsia="Calibri" w:cs="Times New Roman"/>
        </w:rPr>
        <w:t>When an upper-tier partnership owns an interest in a lower-tier partnership, only 1</w:t>
      </w:r>
      <w:r w:rsidR="00C24655">
        <w:rPr>
          <w:rFonts w:eastAsia="Calibri" w:cs="Times New Roman"/>
        </w:rPr>
        <w:t>5</w:t>
      </w:r>
      <w:r w:rsidRPr="000000D1">
        <w:rPr>
          <w:rFonts w:eastAsia="Calibri" w:cs="Times New Roman"/>
        </w:rPr>
        <w:t xml:space="preserve"> states have specifically addressed how the upper-tier partnership should source its share of income that is apportionable to the lower-tier partnership. </w:t>
      </w:r>
      <w:r w:rsidR="00C24655">
        <w:rPr>
          <w:rFonts w:eastAsia="Calibri" w:cs="Times New Roman"/>
        </w:rPr>
        <w:t>Twelve</w:t>
      </w:r>
      <w:r w:rsidRPr="000000D1">
        <w:rPr>
          <w:rFonts w:eastAsia="Calibri" w:cs="Times New Roman"/>
        </w:rPr>
        <w:t xml:space="preserve"> of these states (Arizona, California, Colorado, Florida, Illinois, Kentucky, Massachusetts, </w:t>
      </w:r>
      <w:r w:rsidR="00C24655">
        <w:rPr>
          <w:rFonts w:eastAsia="Calibri" w:cs="Times New Roman"/>
        </w:rPr>
        <w:t xml:space="preserve">Ohio, </w:t>
      </w:r>
      <w:r w:rsidRPr="000000D1">
        <w:rPr>
          <w:rFonts w:eastAsia="Calibri" w:cs="Times New Roman"/>
        </w:rPr>
        <w:t xml:space="preserve">Utah, Vermont, West Virginia, and Wisconsin) have express provisions using formulary apportionment and blending the apportionment factors of the upper-tier partnership with its pro rata share of the apportionment factors of any lower-tier partnerships. California, Colorado, Illinois, Massachusetts, Vermont, West Virginia, and Wisconsin limit the blended apportionment to situations involving a unitary relationship. For non-unitary partnerships in these states, the income is generally sourced at the lower-tier partnership level and that sourcing is retained as it flows up without reapportionment. New Jersey, New York, and Montana do not use blended apportionment when there are multiple levels of partnerships. Instead, the income is sourced at the level of the lower-tier partnership and that sourcing is retained as it flows through to the upper- tier partnerships.  If the income is non-apportionable to the lower-tier partnership, states generally source that income using rules of assignment at the entity level and that sourcing information is then attributed to the partners. </w:t>
      </w:r>
    </w:p>
    <w:p w14:paraId="59D53596"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defined what a pro rata share is for purposes of blended apportionment?</w:t>
      </w:r>
    </w:p>
    <w:p w14:paraId="6375A54A" w14:textId="5A7CE791" w:rsidR="000000D1" w:rsidRPr="000000D1" w:rsidRDefault="000000D1" w:rsidP="000000D1">
      <w:pPr>
        <w:spacing w:before="240"/>
        <w:ind w:left="720"/>
        <w:rPr>
          <w:rFonts w:eastAsia="Calibri" w:cs="Times New Roman"/>
        </w:rPr>
      </w:pPr>
      <w:r w:rsidRPr="000000D1">
        <w:rPr>
          <w:rFonts w:eastAsia="Calibri" w:cs="Times New Roman"/>
        </w:rPr>
        <w:t>Only 6 states have expressly defined what a pro rata share is for purposes of blended apportionment. Massachusetts and Maine generally look to the profit and loss percentage but have exceptions for certain gains/losses and changes of interest.  Idaho and West Virginia look to the distributive share of partnership income or losses. Oregon uses a ratio involving capital accounts and related entity debt. Finally, Pennsylvania indicates that the pro rata share of apportionment factors shall be determined under the partnership agreement and in accordance with the I</w:t>
      </w:r>
      <w:r w:rsidR="00BC2E84">
        <w:rPr>
          <w:rFonts w:eastAsia="Calibri" w:cs="Times New Roman"/>
        </w:rPr>
        <w:t>RC</w:t>
      </w:r>
      <w:r w:rsidRPr="000000D1">
        <w:rPr>
          <w:rFonts w:eastAsia="Calibri" w:cs="Times New Roman"/>
        </w:rPr>
        <w:t>.</w:t>
      </w:r>
    </w:p>
    <w:p w14:paraId="3352F401"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how intercompany transactions should be treated in the apportionment factor in complex partnership structures?</w:t>
      </w:r>
    </w:p>
    <w:p w14:paraId="1067A854" w14:textId="77777777" w:rsidR="000000D1" w:rsidRPr="000000D1" w:rsidRDefault="000000D1" w:rsidP="000000D1">
      <w:pPr>
        <w:spacing w:before="240" w:after="240"/>
        <w:ind w:left="720"/>
        <w:rPr>
          <w:rFonts w:eastAsia="Calibri" w:cs="Times New Roman"/>
        </w:rPr>
      </w:pPr>
      <w:r w:rsidRPr="000000D1">
        <w:rPr>
          <w:rFonts w:eastAsia="Calibri" w:cs="Times New Roman"/>
        </w:rPr>
        <w:t>States vary on whether intercompany transactions must be eliminated from the apportionment factors in complicated structures. Some examples of states with express provisions where certain intercompany sales are excluded include California, Hawaii, Idaho, Indiana, Maine, Massachusetts, Michigan, Nebraska, New Jersey, and Oregon.</w:t>
      </w:r>
    </w:p>
    <w:p w14:paraId="73B14972"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how special allocations should be treated in complex partnership structures?</w:t>
      </w:r>
    </w:p>
    <w:p w14:paraId="735B9DB0" w14:textId="77777777" w:rsidR="000000D1" w:rsidRPr="000000D1" w:rsidRDefault="000000D1" w:rsidP="000000D1">
      <w:pPr>
        <w:spacing w:before="240" w:after="240"/>
        <w:ind w:left="720"/>
        <w:rPr>
          <w:rFonts w:eastAsia="Calibri" w:cs="Times New Roman"/>
        </w:rPr>
      </w:pPr>
      <w:r w:rsidRPr="000000D1">
        <w:rPr>
          <w:rFonts w:eastAsia="Calibri" w:cs="Times New Roman"/>
        </w:rPr>
        <w:t xml:space="preserve">Most of the states conform to the federal partnership principals on substantial economic effect. Several states (Connecticut, Kansas, Louisiana, Maine, Missouri, New York, Rhode Island, Virginia, West Virginia, and Wisconsin) also expressly state that a special allocation will be disallowed if the principal purpose is to avoid or evade </w:t>
      </w:r>
      <w:r w:rsidRPr="000000D1">
        <w:rPr>
          <w:rFonts w:eastAsia="Calibri" w:cs="Times New Roman"/>
          <w:i/>
          <w:iCs/>
        </w:rPr>
        <w:t>state</w:t>
      </w:r>
      <w:r w:rsidRPr="000000D1">
        <w:rPr>
          <w:rFonts w:eastAsia="Calibri" w:cs="Times New Roman"/>
        </w:rPr>
        <w:t xml:space="preserve"> tax. </w:t>
      </w:r>
    </w:p>
    <w:p w14:paraId="1CBD4BC5"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whether alternative apportionment applies when there are complex partnership structures?</w:t>
      </w:r>
    </w:p>
    <w:p w14:paraId="25108E86" w14:textId="77777777" w:rsidR="000000D1" w:rsidRPr="000000D1" w:rsidRDefault="000000D1" w:rsidP="000000D1">
      <w:pPr>
        <w:ind w:left="720"/>
        <w:contextualSpacing/>
        <w:rPr>
          <w:rFonts w:eastAsia="Calibri" w:cs="Times New Roman"/>
        </w:rPr>
      </w:pPr>
      <w:r w:rsidRPr="000000D1">
        <w:rPr>
          <w:rFonts w:eastAsia="Calibri" w:cs="Times New Roman"/>
        </w:rPr>
        <w:t xml:space="preserve">Several states (Arkansas, Florida, Illinois, Kansas, Maryland, Massachusetts, New Jersey, North Carolina, Ohio, Rhode Island, Tennessee, Virginia and West Virginia) have alternative apportionment provisions that are expressly applicable when partnerships are involved and the requirements for alternative apportionment are otherwise met. In addition, some state alternative apportionment rules are applicable to “taxpayers.” If a state includes partnerships in their definition for taxpayers, alternative apportionment could be applicable if the statutory requirements are otherwise met. </w:t>
      </w:r>
    </w:p>
    <w:p w14:paraId="073868E0" w14:textId="77777777" w:rsidR="000000D1" w:rsidRPr="000000D1" w:rsidRDefault="000000D1" w:rsidP="000000D1">
      <w:pPr>
        <w:spacing w:line="276" w:lineRule="auto"/>
        <w:jc w:val="left"/>
        <w:rPr>
          <w:rFonts w:asciiTheme="majorHAnsi" w:eastAsiaTheme="majorEastAsia" w:hAnsiTheme="majorHAnsi" w:cstheme="majorBidi"/>
          <w:b/>
          <w:color w:val="851C00" w:themeColor="accent6" w:themeShade="BF"/>
          <w:sz w:val="26"/>
          <w:szCs w:val="26"/>
          <w:u w:val="single"/>
        </w:rPr>
      </w:pPr>
    </w:p>
    <w:p w14:paraId="1A1C03B6" w14:textId="42ABAFAA" w:rsidR="000000D1" w:rsidRPr="000000D1" w:rsidRDefault="000000D1" w:rsidP="000000D1">
      <w:pPr>
        <w:keepNext/>
        <w:keepLines/>
        <w:spacing w:before="240" w:after="160"/>
        <w:jc w:val="center"/>
        <w:outlineLvl w:val="1"/>
        <w:rPr>
          <w:rFonts w:asciiTheme="majorHAnsi" w:eastAsiaTheme="majorEastAsia" w:hAnsiTheme="majorHAnsi" w:cstheme="majorBidi"/>
          <w:b/>
          <w:color w:val="851C00" w:themeColor="accent6" w:themeShade="BF"/>
          <w:sz w:val="26"/>
          <w:szCs w:val="26"/>
          <w:u w:val="single"/>
        </w:rPr>
      </w:pPr>
      <w:bookmarkStart w:id="86" w:name="_Toc153291172"/>
      <w:bookmarkStart w:id="87" w:name="_Toc195435270"/>
      <w:r w:rsidRPr="000000D1">
        <w:rPr>
          <w:rFonts w:asciiTheme="majorHAnsi" w:eastAsiaTheme="majorEastAsia" w:hAnsiTheme="majorHAnsi" w:cstheme="majorBidi"/>
          <w:b/>
          <w:color w:val="851C00" w:themeColor="accent6" w:themeShade="BF"/>
          <w:sz w:val="26"/>
          <w:szCs w:val="26"/>
          <w:u w:val="single"/>
        </w:rPr>
        <w:t>I</w:t>
      </w:r>
      <w:r w:rsidR="008B1BEA">
        <w:rPr>
          <w:rFonts w:asciiTheme="majorHAnsi" w:eastAsiaTheme="majorEastAsia" w:hAnsiTheme="majorHAnsi" w:cstheme="majorBidi"/>
          <w:b/>
          <w:color w:val="851C00" w:themeColor="accent6" w:themeShade="BF"/>
          <w:sz w:val="26"/>
          <w:szCs w:val="26"/>
          <w:u w:val="single"/>
        </w:rPr>
        <w:t>II</w:t>
      </w:r>
      <w:r w:rsidRPr="000000D1">
        <w:rPr>
          <w:rFonts w:asciiTheme="majorHAnsi" w:eastAsiaTheme="majorEastAsia" w:hAnsiTheme="majorHAnsi" w:cstheme="majorBidi"/>
          <w:b/>
          <w:color w:val="851C00" w:themeColor="accent6" w:themeShade="BF"/>
          <w:sz w:val="26"/>
          <w:szCs w:val="26"/>
          <w:u w:val="single"/>
        </w:rPr>
        <w:t xml:space="preserve">. B.  State Rules on </w:t>
      </w:r>
      <w:bookmarkEnd w:id="86"/>
      <w:r w:rsidRPr="000000D1">
        <w:rPr>
          <w:rFonts w:asciiTheme="majorHAnsi" w:eastAsiaTheme="majorEastAsia" w:hAnsiTheme="majorHAnsi" w:cstheme="majorBidi"/>
          <w:b/>
          <w:color w:val="851C00" w:themeColor="accent6" w:themeShade="BF"/>
          <w:sz w:val="26"/>
          <w:szCs w:val="26"/>
          <w:u w:val="single"/>
        </w:rPr>
        <w:t>Sourcing for Complex Partnership Sourcing</w:t>
      </w:r>
      <w:bookmarkEnd w:id="87"/>
    </w:p>
    <w:p w14:paraId="3FC728A5" w14:textId="22166D5C" w:rsidR="000000D1" w:rsidRPr="000000D1" w:rsidRDefault="000000D1" w:rsidP="000000D1">
      <w:pPr>
        <w:rPr>
          <w:rFonts w:eastAsia="Calibri" w:cs="Times New Roman"/>
        </w:rPr>
      </w:pPr>
      <w:r w:rsidRPr="000000D1">
        <w:rPr>
          <w:rFonts w:eastAsia="Calibri" w:cs="Times New Roman"/>
        </w:rPr>
        <w:t xml:space="preserve">This subsection </w:t>
      </w:r>
      <w:r w:rsidR="00C24655">
        <w:rPr>
          <w:rFonts w:eastAsia="Calibri" w:cs="Times New Roman"/>
        </w:rPr>
        <w:t>II</w:t>
      </w:r>
      <w:r w:rsidRPr="000000D1">
        <w:rPr>
          <w:rFonts w:eastAsia="Calibri" w:cs="Times New Roman"/>
        </w:rPr>
        <w:t>I. B. sets forth the detailed rules in states that have explicitly addressed sourcing for complex partnership structures in statutes, regulations, cases, form instructions, or guidance.</w:t>
      </w:r>
    </w:p>
    <w:p w14:paraId="566F1F6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88" w:name="_Toc146825312"/>
      <w:bookmarkStart w:id="89" w:name="_Toc195435271"/>
      <w:bookmarkEnd w:id="79"/>
      <w:bookmarkEnd w:id="80"/>
      <w:r w:rsidRPr="000000D1">
        <w:rPr>
          <w:rFonts w:ascii="Californian FB" w:eastAsia="Times New Roman" w:hAnsi="Californian FB" w:cs="Times New Roman"/>
          <w:b/>
          <w:color w:val="851C00"/>
          <w:sz w:val="24"/>
          <w:szCs w:val="24"/>
          <w:u w:val="single"/>
        </w:rPr>
        <w:t>Alabama</w:t>
      </w:r>
      <w:bookmarkEnd w:id="88"/>
      <w:bookmarkEnd w:id="89"/>
    </w:p>
    <w:p w14:paraId="00139320" w14:textId="77777777" w:rsidR="000000D1" w:rsidRPr="000000D1" w:rsidRDefault="000000D1" w:rsidP="000000D1">
      <w:pPr>
        <w:ind w:left="720"/>
        <w:rPr>
          <w:rFonts w:eastAsia="Calibri" w:cs="Times New Roman"/>
        </w:rPr>
      </w:pPr>
      <w:r w:rsidRPr="000000D1">
        <w:rPr>
          <w:rFonts w:eastAsia="Calibri" w:cs="Times New Roman"/>
        </w:rPr>
        <w:t xml:space="preserve">Ala. Admin Code r. 810-27-1-.09(3) </w:t>
      </w:r>
    </w:p>
    <w:p w14:paraId="09FFDFA9" w14:textId="77777777" w:rsidR="000000D1" w:rsidRPr="000000D1" w:rsidRDefault="000000D1" w:rsidP="000000D1">
      <w:pPr>
        <w:ind w:left="1440"/>
        <w:rPr>
          <w:rFonts w:eastAsia="Calibri" w:cs="Times New Roman"/>
        </w:rPr>
      </w:pPr>
      <w:r w:rsidRPr="000000D1">
        <w:rPr>
          <w:rFonts w:eastAsia="Calibri" w:cs="Times New Roman"/>
        </w:rPr>
        <w:t>For taxpayers with a business interest in an unincorporated entity (e.g., partnership, unincorporated joint-venture, limited liability company taxed as a partnership, etc.), the apportionment formula shall include the pro rata share of the unincorporated entity's factor data.</w:t>
      </w:r>
    </w:p>
    <w:p w14:paraId="3834103E" w14:textId="77777777" w:rsidR="000000D1" w:rsidRPr="000000D1" w:rsidRDefault="000000D1" w:rsidP="000000D1">
      <w:pPr>
        <w:pBdr>
          <w:bottom w:val="single" w:sz="4" w:space="0" w:color="auto"/>
        </w:pBdr>
        <w:rPr>
          <w:rFonts w:eastAsia="Calibri" w:cs="Times New Roman"/>
        </w:rPr>
      </w:pPr>
    </w:p>
    <w:p w14:paraId="405FE45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0" w:name="_Toc195435272"/>
      <w:bookmarkStart w:id="91" w:name="_Toc146825313"/>
      <w:r w:rsidRPr="000000D1">
        <w:rPr>
          <w:rFonts w:ascii="Californian FB" w:eastAsia="Times New Roman" w:hAnsi="Californian FB" w:cs="Times New Roman"/>
          <w:b/>
          <w:color w:val="851C00"/>
          <w:sz w:val="24"/>
          <w:szCs w:val="24"/>
          <w:u w:val="single"/>
        </w:rPr>
        <w:t>Alaska</w:t>
      </w:r>
      <w:bookmarkEnd w:id="90"/>
    </w:p>
    <w:p w14:paraId="39C7F91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Alaska Form 6900 Instructions from 2022 </w:t>
      </w:r>
    </w:p>
    <w:p w14:paraId="47AB70CC" w14:textId="77777777" w:rsidR="000000D1" w:rsidRPr="000000D1" w:rsidRDefault="000000D1" w:rsidP="000000D1">
      <w:pPr>
        <w:contextualSpacing/>
        <w:rPr>
          <w:rFonts w:eastAsia="Calibri" w:cs="Times New Roman"/>
        </w:rPr>
      </w:pPr>
    </w:p>
    <w:p w14:paraId="1713179B" w14:textId="77777777" w:rsidR="000000D1" w:rsidRPr="000000D1" w:rsidRDefault="000000D1" w:rsidP="000000D1">
      <w:pPr>
        <w:ind w:left="1440"/>
        <w:rPr>
          <w:rFonts w:eastAsia="Calibri" w:cs="Times New Roman"/>
        </w:rPr>
      </w:pPr>
      <w:r w:rsidRPr="000000D1">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 . . . 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 . . . A lower-tiered partnership is required to file Form 6900 if it has nexus in Alaska and any partner is a corporation or another partnership, even if the partners of the higher-level partnership are all natural persons or those effectively treated as natural persons . . . Indicate whether the partnership has an ownership interest in any foreign partnership. Attach a schedule showing the name, EIN, and the ownership percentage held of each foreign partnership. If the foreign partnership has an ownership interest in a foreign corporation, the ownership is attributed to the upper- tier partnership, including all tax attributes such as apportionment factor . . .</w:t>
      </w:r>
      <w:r w:rsidRPr="000000D1">
        <w:t xml:space="preserve"> </w:t>
      </w:r>
      <w:r w:rsidRPr="000000D1">
        <w:rPr>
          <w:rFonts w:eastAsia="Calibri" w:cs="Times New Roman"/>
        </w:rPr>
        <w:t>If you answered yes to question 1c on page 1 of Form 6900,  then the amounts in Schedule A, column A must include amounts attributed to the partnership from lower-tier partnerships.</w:t>
      </w:r>
    </w:p>
    <w:p w14:paraId="527D5273" w14:textId="77777777" w:rsidR="000000D1" w:rsidRPr="000000D1" w:rsidRDefault="000000D1" w:rsidP="000000D1">
      <w:pPr>
        <w:ind w:left="720"/>
        <w:contextualSpacing/>
        <w:rPr>
          <w:rFonts w:eastAsia="Calibri" w:cs="Times New Roman"/>
        </w:rPr>
      </w:pPr>
      <w:r w:rsidRPr="000000D1">
        <w:rPr>
          <w:rFonts w:eastAsia="Calibri" w:cs="Times New Roman"/>
        </w:rPr>
        <w:t xml:space="preserve">Alaska Admin. Code tit. 15, § 20.320(a) </w:t>
      </w:r>
    </w:p>
    <w:p w14:paraId="2CD0E803" w14:textId="77777777" w:rsidR="000000D1" w:rsidRPr="000000D1" w:rsidRDefault="000000D1" w:rsidP="000000D1">
      <w:pPr>
        <w:contextualSpacing/>
        <w:rPr>
          <w:rFonts w:eastAsia="Calibri" w:cs="Times New Roman"/>
        </w:rPr>
      </w:pPr>
    </w:p>
    <w:p w14:paraId="65617395" w14:textId="77777777" w:rsidR="000000D1" w:rsidRPr="000000D1" w:rsidRDefault="000000D1" w:rsidP="000000D1">
      <w:pPr>
        <w:ind w:left="1440"/>
        <w:rPr>
          <w:rFonts w:eastAsia="Calibri" w:cs="Times New Roman"/>
        </w:rPr>
      </w:pPr>
      <w:r w:rsidRPr="000000D1">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669C19AE" w14:textId="77777777" w:rsidR="000000D1" w:rsidRPr="000000D1" w:rsidRDefault="000000D1" w:rsidP="000000D1">
      <w:pPr>
        <w:pBdr>
          <w:bottom w:val="single" w:sz="4" w:space="0" w:color="auto"/>
        </w:pBdr>
        <w:rPr>
          <w:rFonts w:eastAsia="Calibri" w:cs="Times New Roman"/>
        </w:rPr>
      </w:pPr>
    </w:p>
    <w:p w14:paraId="0D92206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2" w:name="_Toc195435273"/>
      <w:r w:rsidRPr="000000D1">
        <w:rPr>
          <w:rFonts w:ascii="Californian FB" w:eastAsia="Times New Roman" w:hAnsi="Californian FB" w:cs="Times New Roman"/>
          <w:b/>
          <w:color w:val="851C00"/>
          <w:sz w:val="24"/>
          <w:szCs w:val="24"/>
          <w:u w:val="single"/>
        </w:rPr>
        <w:t>Arizona</w:t>
      </w:r>
      <w:bookmarkEnd w:id="92"/>
    </w:p>
    <w:p w14:paraId="39F1AA0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Ariz. Rev. Stat. Ann. § 43-306 </w:t>
      </w:r>
    </w:p>
    <w:p w14:paraId="071447CE" w14:textId="77777777" w:rsidR="000000D1" w:rsidRPr="000000D1" w:rsidRDefault="000000D1" w:rsidP="000000D1">
      <w:pPr>
        <w:contextualSpacing/>
        <w:rPr>
          <w:rFonts w:eastAsia="Calibri" w:cs="Times New Roman"/>
        </w:rPr>
      </w:pPr>
    </w:p>
    <w:p w14:paraId="30134FFA" w14:textId="77777777" w:rsidR="000000D1" w:rsidRPr="000000D1" w:rsidRDefault="000000D1" w:rsidP="000000D1">
      <w:pPr>
        <w:ind w:left="1440"/>
        <w:rPr>
          <w:rFonts w:eastAsia="Calibri" w:cs="Times New Roman"/>
        </w:rPr>
      </w:pPr>
      <w:r w:rsidRPr="000000D1">
        <w:rPr>
          <w:rFonts w:eastAsia="Calibri" w:cs="Times New Roman"/>
        </w:rPr>
        <w:t>The allocation and apportionment of income of a partnership that has nonresident partners shall be made pursuant to chapter 11, article 4 of this title.</w:t>
      </w:r>
    </w:p>
    <w:p w14:paraId="6FEFEEC0"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Arizona Corporate Tax Ruling No. 93-9 (04/30/1993) </w:t>
      </w:r>
    </w:p>
    <w:p w14:paraId="62A74026" w14:textId="77777777" w:rsidR="000000D1" w:rsidRPr="000000D1" w:rsidRDefault="000000D1" w:rsidP="000000D1">
      <w:pPr>
        <w:contextualSpacing/>
        <w:rPr>
          <w:rFonts w:eastAsia="Calibri" w:cs="Times New Roman"/>
        </w:rPr>
      </w:pPr>
    </w:p>
    <w:p w14:paraId="4554CA25" w14:textId="77777777" w:rsidR="000000D1" w:rsidRPr="000000D1" w:rsidRDefault="000000D1" w:rsidP="000000D1">
      <w:pPr>
        <w:ind w:left="1440"/>
        <w:rPr>
          <w:rFonts w:eastAsia="Calibri" w:cs="Times New Roman"/>
        </w:rPr>
      </w:pPr>
      <w:r w:rsidRPr="000000D1">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60DBCD33" w14:textId="77777777" w:rsidR="000000D1" w:rsidRPr="000000D1" w:rsidRDefault="000000D1" w:rsidP="000000D1">
      <w:pPr>
        <w:ind w:left="1440"/>
        <w:rPr>
          <w:rFonts w:eastAsia="Calibri" w:cs="Times New Roman"/>
        </w:rPr>
      </w:pPr>
      <w:r w:rsidRPr="000000D1">
        <w:rPr>
          <w:rFonts w:eastAsia="Calibri" w:cs="Times New Roman"/>
        </w:rPr>
        <w:t>Example:</w:t>
      </w:r>
    </w:p>
    <w:p w14:paraId="6B5BFC9C" w14:textId="77777777" w:rsidR="000000D1" w:rsidRPr="000000D1" w:rsidRDefault="000000D1" w:rsidP="000000D1">
      <w:pPr>
        <w:ind w:left="1440"/>
        <w:rPr>
          <w:rFonts w:eastAsia="Calibri" w:cs="Times New Roman"/>
        </w:rPr>
      </w:pPr>
      <w:r w:rsidRPr="000000D1">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42F6D9C5" w14:textId="77777777" w:rsidR="000000D1" w:rsidRPr="000000D1" w:rsidRDefault="000000D1" w:rsidP="000000D1">
      <w:pPr>
        <w:ind w:left="1440"/>
        <w:rPr>
          <w:rFonts w:eastAsia="Calibri" w:cs="Times New Roman"/>
        </w:rPr>
      </w:pPr>
      <w:r w:rsidRPr="000000D1">
        <w:rPr>
          <w:rFonts w:eastAsia="Calibri" w:cs="Times New Roman"/>
        </w:rPr>
        <w:t>Corporation C must file an Arizona corporate income tax return apportioning its income from business activities within and without 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130D2007"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Arizona Corporate Tax Ruling No. 93-10 (04/30/1993) </w:t>
      </w:r>
    </w:p>
    <w:p w14:paraId="79926EA0" w14:textId="77777777" w:rsidR="000000D1" w:rsidRPr="000000D1" w:rsidRDefault="000000D1" w:rsidP="000000D1">
      <w:pPr>
        <w:contextualSpacing/>
        <w:rPr>
          <w:rFonts w:eastAsia="Calibri" w:cs="Times New Roman"/>
        </w:rPr>
      </w:pPr>
    </w:p>
    <w:p w14:paraId="01AAF846" w14:textId="77777777" w:rsidR="000000D1" w:rsidRPr="000000D1" w:rsidRDefault="000000D1" w:rsidP="000000D1">
      <w:pPr>
        <w:ind w:left="1440"/>
        <w:rPr>
          <w:rFonts w:eastAsia="Calibri" w:cs="Times New Roman"/>
        </w:rPr>
      </w:pPr>
      <w:r w:rsidRPr="000000D1">
        <w:rPr>
          <w:rFonts w:eastAsia="Calibri" w:cs="Times New Roman"/>
        </w:rPr>
        <w:t>A corporation that does not have any connection with Arizona, other than a partnership interest in a partnership that is a partner in a tiered partnership, must apportion or allocate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7034A8F" w14:textId="77777777" w:rsidR="000000D1" w:rsidRPr="000000D1" w:rsidRDefault="000000D1" w:rsidP="000000D1">
      <w:pPr>
        <w:ind w:left="1440"/>
        <w:rPr>
          <w:rFonts w:eastAsia="Calibri" w:cs="Times New Roman"/>
        </w:rPr>
      </w:pPr>
      <w:r w:rsidRPr="000000D1">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744FFB1B" w14:textId="77777777" w:rsidR="000000D1" w:rsidRPr="000000D1" w:rsidRDefault="000000D1" w:rsidP="000000D1">
      <w:pPr>
        <w:ind w:firstLine="720"/>
        <w:contextualSpacing/>
        <w:rPr>
          <w:rFonts w:eastAsia="Calibri" w:cs="Times New Roman"/>
        </w:rPr>
      </w:pPr>
      <w:r w:rsidRPr="000000D1">
        <w:rPr>
          <w:rFonts w:eastAsia="Calibri" w:cs="Times New Roman"/>
        </w:rPr>
        <w:t>Arizona DOR Publication No. 713 (2/1/2023)</w:t>
      </w:r>
    </w:p>
    <w:p w14:paraId="3B6143A1" w14:textId="77777777" w:rsidR="000000D1" w:rsidRPr="000000D1" w:rsidRDefault="000000D1" w:rsidP="000000D1">
      <w:pPr>
        <w:ind w:left="720"/>
        <w:contextualSpacing/>
        <w:rPr>
          <w:rFonts w:eastAsia="Calibri" w:cs="Times New Roman"/>
        </w:rPr>
      </w:pPr>
    </w:p>
    <w:p w14:paraId="1D6C450B" w14:textId="77777777" w:rsidR="000000D1" w:rsidRPr="000000D1" w:rsidRDefault="000000D1" w:rsidP="000000D1">
      <w:pPr>
        <w:ind w:left="720" w:firstLine="720"/>
        <w:contextualSpacing/>
        <w:rPr>
          <w:rFonts w:eastAsia="Calibri" w:cs="Times New Roman"/>
          <w:i/>
          <w:iCs/>
        </w:rPr>
      </w:pPr>
      <w:r w:rsidRPr="000000D1">
        <w:rPr>
          <w:rFonts w:eastAsia="Calibri" w:cs="Times New Roman"/>
          <w:i/>
          <w:iCs/>
        </w:rPr>
        <w:t>Example of a Partnership Using a Special  Allocation</w:t>
      </w:r>
    </w:p>
    <w:p w14:paraId="5DA16A65" w14:textId="77777777" w:rsidR="000000D1" w:rsidRPr="000000D1" w:rsidRDefault="000000D1" w:rsidP="000000D1">
      <w:pPr>
        <w:ind w:left="1440"/>
        <w:contextualSpacing/>
        <w:rPr>
          <w:rFonts w:eastAsia="Calibri" w:cs="Times New Roman"/>
        </w:rPr>
      </w:pPr>
      <w:r w:rsidRPr="000000D1">
        <w:rPr>
          <w:rFonts w:eastAsia="Calibri" w:cs="Times New Roman"/>
        </w:rPr>
        <w:t>The PTE Credit and PTE Taxes Paid are allocated to the partner based on his/her proportionate share of income that is attributable to that partner for Arizona tax purposes. For example, if the taxable income of a partner is 60% of the partnership's taxable income, that partner is entitled to 60% of the PTE Credit, and 60% of the PTE taxes paid by the partnership.</w:t>
      </w:r>
    </w:p>
    <w:p w14:paraId="147B95C3" w14:textId="77777777" w:rsidR="000000D1" w:rsidRPr="000000D1" w:rsidRDefault="000000D1" w:rsidP="000000D1">
      <w:pPr>
        <w:ind w:left="720"/>
        <w:contextualSpacing/>
        <w:rPr>
          <w:rFonts w:eastAsia="Calibri" w:cs="Times New Roman"/>
        </w:rPr>
      </w:pPr>
    </w:p>
    <w:p w14:paraId="642D10FC" w14:textId="77777777" w:rsidR="000000D1" w:rsidRPr="000000D1" w:rsidRDefault="000000D1" w:rsidP="000000D1">
      <w:pPr>
        <w:ind w:left="1440"/>
        <w:contextualSpacing/>
        <w:rPr>
          <w:rFonts w:eastAsia="Calibri" w:cs="Times New Roman"/>
        </w:rPr>
      </w:pPr>
      <w:r w:rsidRPr="000000D1">
        <w:rPr>
          <w:rFonts w:eastAsia="Calibri" w:cs="Times New Roman"/>
        </w:rPr>
        <w:t>NOTE: The total of all PTE Credits or PTE taxes paid that is distributed to the partners cannot exceed the maximum amount of the credit or the total amount of PTE taxes paid.</w:t>
      </w:r>
    </w:p>
    <w:p w14:paraId="2FF187C3" w14:textId="77777777" w:rsidR="000000D1" w:rsidRPr="000000D1" w:rsidRDefault="000000D1" w:rsidP="000000D1">
      <w:pPr>
        <w:ind w:left="720"/>
        <w:contextualSpacing/>
        <w:rPr>
          <w:rFonts w:eastAsia="Calibri" w:cs="Times New Roman"/>
        </w:rPr>
      </w:pPr>
    </w:p>
    <w:p w14:paraId="5FF2131D"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EXAMPLE: A partnership has two partners, A &amp; B. The partnership made the PTE election. Both partners, A &amp; B did not opt out of the PTE election. The partnership's Arizona taxable income for the year is $100,000. Due to a special  allocation, Partner A's distribution of the partnership income is $120,000. Partner B's distribution is ($20,000). The partnership's PTE tax credit for the year is $2,980 ($100,000 * 2.98%).</w:t>
      </w:r>
    </w:p>
    <w:p w14:paraId="64D4201E" w14:textId="77777777" w:rsidR="000000D1" w:rsidRPr="000000D1" w:rsidRDefault="000000D1" w:rsidP="000000D1">
      <w:pPr>
        <w:ind w:left="720"/>
        <w:contextualSpacing/>
        <w:rPr>
          <w:rFonts w:eastAsia="Calibri" w:cs="Times New Roman"/>
        </w:rPr>
      </w:pPr>
    </w:p>
    <w:p w14:paraId="38E0FDE9" w14:textId="77777777" w:rsidR="000000D1" w:rsidRPr="000000D1" w:rsidRDefault="000000D1" w:rsidP="000000D1">
      <w:pPr>
        <w:ind w:left="720" w:firstLine="720"/>
        <w:contextualSpacing/>
        <w:rPr>
          <w:rFonts w:eastAsia="Calibri" w:cs="Times New Roman"/>
        </w:rPr>
      </w:pPr>
      <w:r w:rsidRPr="000000D1">
        <w:rPr>
          <w:rFonts w:eastAsia="Calibri" w:cs="Times New Roman"/>
        </w:rPr>
        <w:t>Partner A's pass-through PTE tax credit is $2,980.</w:t>
      </w:r>
    </w:p>
    <w:p w14:paraId="2A799369" w14:textId="77777777" w:rsidR="000000D1" w:rsidRPr="000000D1" w:rsidRDefault="000000D1" w:rsidP="000000D1">
      <w:pPr>
        <w:ind w:left="720"/>
        <w:contextualSpacing/>
        <w:rPr>
          <w:rFonts w:eastAsia="Calibri" w:cs="Times New Roman"/>
        </w:rPr>
      </w:pPr>
    </w:p>
    <w:p w14:paraId="1518ECBA" w14:textId="77777777" w:rsidR="000000D1" w:rsidRPr="000000D1" w:rsidRDefault="000000D1" w:rsidP="000000D1">
      <w:pPr>
        <w:ind w:left="720" w:firstLine="720"/>
        <w:contextualSpacing/>
        <w:rPr>
          <w:rFonts w:eastAsia="Calibri" w:cs="Times New Roman"/>
        </w:rPr>
      </w:pPr>
      <w:r w:rsidRPr="000000D1">
        <w:rPr>
          <w:rFonts w:eastAsia="Calibri" w:cs="Times New Roman"/>
        </w:rPr>
        <w:t>Partner B does not receive a pass-through of the PTE tax credit.</w:t>
      </w:r>
    </w:p>
    <w:p w14:paraId="783E5D48" w14:textId="77777777" w:rsidR="000000D1" w:rsidRPr="000000D1" w:rsidRDefault="000000D1" w:rsidP="000000D1">
      <w:pPr>
        <w:ind w:left="720"/>
        <w:contextualSpacing/>
        <w:rPr>
          <w:rFonts w:eastAsia="Calibri" w:cs="Times New Roman"/>
        </w:rPr>
      </w:pPr>
    </w:p>
    <w:p w14:paraId="0B8D7876" w14:textId="77777777" w:rsidR="000000D1" w:rsidRPr="000000D1" w:rsidRDefault="000000D1" w:rsidP="000000D1">
      <w:pPr>
        <w:ind w:left="1440"/>
        <w:contextualSpacing/>
        <w:rPr>
          <w:rFonts w:eastAsia="Calibri" w:cs="Times New Roman"/>
          <w:i/>
          <w:iCs/>
        </w:rPr>
      </w:pPr>
      <w:r w:rsidRPr="000000D1">
        <w:rPr>
          <w:rFonts w:eastAsia="Calibri" w:cs="Times New Roman"/>
        </w:rPr>
        <w:t>NOTE: If a partnership uses a special allocation to distribute partnership income rather than ownership share, complete Schedules D and E of Form 165 using that special  allocation  method for each partner.</w:t>
      </w:r>
    </w:p>
    <w:p w14:paraId="4D531085" w14:textId="77777777" w:rsidR="000000D1" w:rsidRPr="000000D1" w:rsidRDefault="000000D1" w:rsidP="000000D1">
      <w:pPr>
        <w:pBdr>
          <w:bottom w:val="single" w:sz="4" w:space="0" w:color="auto"/>
        </w:pBdr>
        <w:rPr>
          <w:rFonts w:eastAsia="Calibri" w:cs="Times New Roman"/>
        </w:rPr>
      </w:pPr>
    </w:p>
    <w:p w14:paraId="06ADAD5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3" w:name="_Toc195435274"/>
      <w:r w:rsidRPr="000000D1">
        <w:rPr>
          <w:rFonts w:ascii="Californian FB" w:eastAsia="Times New Roman" w:hAnsi="Californian FB" w:cs="Times New Roman"/>
          <w:b/>
          <w:color w:val="851C00"/>
          <w:sz w:val="24"/>
          <w:szCs w:val="24"/>
          <w:u w:val="single"/>
        </w:rPr>
        <w:t>Arkansas</w:t>
      </w:r>
      <w:bookmarkEnd w:id="93"/>
    </w:p>
    <w:p w14:paraId="4FE0839A"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Ark. Code Ann. § 26-51-802(c) </w:t>
      </w:r>
    </w:p>
    <w:p w14:paraId="73259B56" w14:textId="77777777" w:rsidR="000000D1" w:rsidRPr="000000D1" w:rsidRDefault="000000D1" w:rsidP="000000D1">
      <w:pPr>
        <w:ind w:left="720"/>
        <w:contextualSpacing/>
        <w:rPr>
          <w:rFonts w:eastAsia="Calibri" w:cs="Times New Roman"/>
        </w:rPr>
      </w:pPr>
    </w:p>
    <w:p w14:paraId="04C51DC5" w14:textId="77777777" w:rsidR="000000D1" w:rsidRPr="000000D1" w:rsidRDefault="000000D1" w:rsidP="000000D1">
      <w:pPr>
        <w:ind w:left="1440"/>
        <w:contextualSpacing/>
        <w:rPr>
          <w:rFonts w:eastAsia="Calibri" w:cs="Times New Roman"/>
        </w:rPr>
      </w:pPr>
      <w:r w:rsidRPr="000000D1">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1913B4DC" w14:textId="77777777" w:rsidR="000000D1" w:rsidRPr="000000D1" w:rsidRDefault="000000D1" w:rsidP="000000D1">
      <w:pPr>
        <w:contextualSpacing/>
        <w:rPr>
          <w:rFonts w:eastAsia="Calibri" w:cs="Times New Roman"/>
        </w:rPr>
      </w:pPr>
    </w:p>
    <w:p w14:paraId="240E086E" w14:textId="77777777" w:rsidR="000000D1" w:rsidRPr="000000D1" w:rsidRDefault="000000D1" w:rsidP="000000D1">
      <w:pPr>
        <w:ind w:left="1440"/>
        <w:rPr>
          <w:rFonts w:eastAsia="Calibri" w:cs="Times New Roman"/>
        </w:rPr>
      </w:pPr>
      <w:r w:rsidRPr="000000D1">
        <w:rPr>
          <w:rFonts w:eastAsia="Calibri" w:cs="Times New Roman"/>
        </w:rPr>
        <w:t>Subject to the provisions of § 26-51-202(e), all partnership income from activities within this state that is reflected on a partnership return shall be allocated to this state.</w:t>
      </w:r>
    </w:p>
    <w:p w14:paraId="496639C1"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Ark. Corp. Inc. Tax Regs. 1.26-51-802(b) </w:t>
      </w:r>
    </w:p>
    <w:p w14:paraId="71C27A20" w14:textId="77777777" w:rsidR="000000D1" w:rsidRPr="000000D1" w:rsidRDefault="000000D1" w:rsidP="000000D1">
      <w:pPr>
        <w:contextualSpacing/>
        <w:rPr>
          <w:rFonts w:eastAsia="Calibri" w:cs="Times New Roman"/>
        </w:rPr>
      </w:pPr>
    </w:p>
    <w:p w14:paraId="4CD415BC" w14:textId="77777777" w:rsidR="000000D1" w:rsidRPr="000000D1" w:rsidRDefault="000000D1" w:rsidP="000000D1">
      <w:pPr>
        <w:ind w:left="1440"/>
        <w:rPr>
          <w:rFonts w:eastAsia="Calibri" w:cs="Times New Roman"/>
        </w:rPr>
      </w:pPr>
      <w:r w:rsidRPr="000000D1">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7F52ADBA" w14:textId="77777777" w:rsidR="000000D1" w:rsidRPr="000000D1" w:rsidRDefault="000000D1" w:rsidP="000000D1">
      <w:pPr>
        <w:ind w:left="720"/>
        <w:contextualSpacing/>
        <w:rPr>
          <w:rFonts w:eastAsia="Calibri" w:cs="Times New Roman"/>
        </w:rPr>
      </w:pPr>
      <w:r w:rsidRPr="000000D1">
        <w:rPr>
          <w:rFonts w:eastAsia="Calibri" w:cs="Times New Roman"/>
        </w:rPr>
        <w:t xml:space="preserve">2023 Form AR1050 Instructions – Partnership Income Tax </w:t>
      </w:r>
    </w:p>
    <w:p w14:paraId="21DFB002" w14:textId="77777777" w:rsidR="000000D1" w:rsidRPr="000000D1" w:rsidRDefault="000000D1" w:rsidP="000000D1">
      <w:pPr>
        <w:ind w:left="720"/>
        <w:contextualSpacing/>
        <w:rPr>
          <w:rFonts w:eastAsia="Calibri" w:cs="Times New Roman"/>
        </w:rPr>
      </w:pPr>
    </w:p>
    <w:p w14:paraId="1D7004E3" w14:textId="77777777" w:rsidR="000000D1" w:rsidRPr="000000D1" w:rsidRDefault="000000D1" w:rsidP="000000D1">
      <w:pPr>
        <w:ind w:left="1440"/>
        <w:contextualSpacing/>
        <w:rPr>
          <w:rFonts w:eastAsia="Calibri" w:cs="Times New Roman"/>
        </w:rPr>
      </w:pPr>
      <w:r w:rsidRPr="000000D1">
        <w:rPr>
          <w:rFonts w:eastAsia="Calibri" w:cs="Times New Roman"/>
        </w:rPr>
        <w:t>If the allocation and apportionment provisions as set out above do not fairly represent the extent of the taxpayer's business activity in this State, the taxpayer may petition for, or the Commissioner of Revenue, Department of Finance and Administration may require in respect to all or any part of the taxpayer's business activity, if reasonable:</w:t>
      </w:r>
    </w:p>
    <w:p w14:paraId="6D7828DE" w14:textId="77777777" w:rsidR="000000D1" w:rsidRPr="000000D1" w:rsidRDefault="000000D1" w:rsidP="000000D1">
      <w:pPr>
        <w:ind w:left="1440"/>
        <w:contextualSpacing/>
        <w:rPr>
          <w:rFonts w:eastAsia="Calibri" w:cs="Times New Roman"/>
        </w:rPr>
      </w:pPr>
    </w:p>
    <w:p w14:paraId="35C4B387" w14:textId="77777777" w:rsidR="000000D1" w:rsidRPr="000000D1" w:rsidRDefault="000000D1" w:rsidP="000000D1">
      <w:pPr>
        <w:ind w:left="1440"/>
        <w:contextualSpacing/>
        <w:rPr>
          <w:rFonts w:eastAsia="Calibri" w:cs="Times New Roman"/>
        </w:rPr>
      </w:pPr>
      <w:r w:rsidRPr="000000D1">
        <w:rPr>
          <w:rFonts w:eastAsia="Calibri" w:cs="Times New Roman"/>
        </w:rPr>
        <w:t>A) Separate accounting</w:t>
      </w:r>
    </w:p>
    <w:p w14:paraId="562804A7" w14:textId="77777777" w:rsidR="000000D1" w:rsidRPr="000000D1" w:rsidRDefault="000000D1" w:rsidP="000000D1">
      <w:pPr>
        <w:ind w:left="1440"/>
        <w:contextualSpacing/>
        <w:rPr>
          <w:rFonts w:eastAsia="Calibri" w:cs="Times New Roman"/>
        </w:rPr>
      </w:pPr>
      <w:r w:rsidRPr="000000D1">
        <w:rPr>
          <w:rFonts w:eastAsia="Calibri" w:cs="Times New Roman"/>
        </w:rPr>
        <w:t>B) The inclusion of one or more additional factors which will fairly represent the taxpayer's business activity in this State, or</w:t>
      </w:r>
    </w:p>
    <w:p w14:paraId="584766DD" w14:textId="77777777" w:rsidR="000000D1" w:rsidRPr="000000D1" w:rsidRDefault="000000D1" w:rsidP="000000D1">
      <w:pPr>
        <w:ind w:left="1440"/>
        <w:contextualSpacing/>
        <w:rPr>
          <w:rFonts w:eastAsia="Calibri" w:cs="Times New Roman"/>
        </w:rPr>
      </w:pPr>
      <w:r w:rsidRPr="000000D1">
        <w:rPr>
          <w:rFonts w:eastAsia="Calibri" w:cs="Times New Roman"/>
        </w:rPr>
        <w:t>C) The employment of any other method to effectuate an equitable allocation and apportionment of the taxpayer's income.</w:t>
      </w:r>
    </w:p>
    <w:p w14:paraId="46421137" w14:textId="77777777" w:rsidR="000000D1" w:rsidRPr="000000D1" w:rsidRDefault="000000D1" w:rsidP="000000D1">
      <w:pPr>
        <w:ind w:left="1440"/>
        <w:contextualSpacing/>
        <w:rPr>
          <w:rFonts w:eastAsia="Calibri" w:cs="Times New Roman"/>
        </w:rPr>
      </w:pPr>
    </w:p>
    <w:p w14:paraId="6F9B3827" w14:textId="77777777" w:rsidR="000000D1" w:rsidRPr="000000D1" w:rsidRDefault="000000D1" w:rsidP="000000D1">
      <w:pPr>
        <w:ind w:left="1440"/>
        <w:contextualSpacing/>
        <w:rPr>
          <w:rFonts w:eastAsia="Calibri" w:cs="Times New Roman"/>
        </w:rPr>
      </w:pPr>
      <w:r w:rsidRPr="000000D1">
        <w:rPr>
          <w:rFonts w:eastAsia="Calibri" w:cs="Times New Roman"/>
        </w:rPr>
        <w:t>A petition must be a formal written request submitted to and approved by the Department of Finance and Administration prior to the filing of a return using the proposed method. The approval letter should be attached to all returns filed using the approved alternative apportionment method.</w:t>
      </w:r>
    </w:p>
    <w:p w14:paraId="30C633D1" w14:textId="77777777" w:rsidR="000000D1" w:rsidRPr="000000D1" w:rsidRDefault="000000D1" w:rsidP="000000D1">
      <w:pPr>
        <w:pBdr>
          <w:bottom w:val="single" w:sz="4" w:space="0" w:color="auto"/>
        </w:pBdr>
        <w:rPr>
          <w:rFonts w:eastAsia="Calibri" w:cs="Times New Roman"/>
        </w:rPr>
      </w:pPr>
    </w:p>
    <w:p w14:paraId="3EBEB84F"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4" w:name="_Toc195435275"/>
      <w:r w:rsidRPr="000000D1">
        <w:rPr>
          <w:rFonts w:ascii="Californian FB" w:eastAsia="Times New Roman" w:hAnsi="Californian FB" w:cs="Times New Roman"/>
          <w:b/>
          <w:color w:val="851C00"/>
          <w:sz w:val="24"/>
          <w:szCs w:val="24"/>
          <w:u w:val="single"/>
        </w:rPr>
        <w:t>California</w:t>
      </w:r>
      <w:bookmarkEnd w:id="94"/>
    </w:p>
    <w:p w14:paraId="35B1914E"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 Code Regs. tit. 18, § 25137-1 </w:t>
      </w:r>
    </w:p>
    <w:p w14:paraId="782038AC" w14:textId="77777777" w:rsidR="000000D1" w:rsidRPr="000000D1" w:rsidRDefault="000000D1" w:rsidP="000000D1">
      <w:pPr>
        <w:contextualSpacing/>
        <w:rPr>
          <w:rFonts w:eastAsia="Calibri" w:cs="Times New Roman"/>
        </w:rPr>
      </w:pPr>
    </w:p>
    <w:p w14:paraId="072B0870" w14:textId="77777777" w:rsidR="000000D1" w:rsidRPr="000000D1" w:rsidRDefault="000000D1" w:rsidP="000000D1">
      <w:pPr>
        <w:ind w:left="1440"/>
        <w:rPr>
          <w:rFonts w:eastAsia="Calibri" w:cs="Times New Roman"/>
          <w:b/>
          <w:bCs/>
        </w:rPr>
      </w:pPr>
      <w:r w:rsidRPr="000000D1">
        <w:rPr>
          <w:rFonts w:eastAsia="Calibri" w:cs="Times New Roman"/>
        </w:rPr>
        <w:lastRenderedPageBreak/>
        <w:t>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The same principle applies when a taxpayer has an interest in a partnership that itself owns an interest, directly or indirectly, in one or more other partnerships.</w:t>
      </w:r>
    </w:p>
    <w:p w14:paraId="18EF5E2C" w14:textId="77777777" w:rsidR="000000D1" w:rsidRPr="000000D1" w:rsidRDefault="000000D1" w:rsidP="000000D1">
      <w:pPr>
        <w:ind w:left="1440"/>
        <w:rPr>
          <w:rFonts w:eastAsia="Calibri" w:cs="Times New Roman"/>
        </w:rPr>
      </w:pPr>
      <w:r w:rsidRPr="000000D1">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31FC7B47" w14:textId="77777777" w:rsidR="000000D1" w:rsidRPr="000000D1" w:rsidRDefault="000000D1" w:rsidP="000000D1">
      <w:pPr>
        <w:ind w:left="1440"/>
        <w:rPr>
          <w:rFonts w:eastAsia="Calibri" w:cs="Times New Roman"/>
        </w:rPr>
      </w:pPr>
      <w:r w:rsidRPr="000000D1">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 . . .</w:t>
      </w:r>
      <w:r w:rsidRPr="000000D1">
        <w:t xml:space="preserve"> </w:t>
      </w:r>
      <w:r w:rsidRPr="000000D1">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3E121C99" w14:textId="77777777" w:rsidR="000000D1" w:rsidRPr="000000D1" w:rsidRDefault="000000D1" w:rsidP="000000D1">
      <w:pPr>
        <w:ind w:left="1440"/>
        <w:rPr>
          <w:rFonts w:eastAsia="Calibri" w:cs="Times New Roman"/>
        </w:rPr>
      </w:pPr>
      <w:r w:rsidRPr="000000D1">
        <w:rPr>
          <w:rFonts w:eastAsia="Calibri" w:cs="Times New Roman"/>
        </w:rPr>
        <w:t>(f) If the partnership's activities and the taxpayer's activities constitute a unitary business under established standards, disregarding ownership requirements, the business 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 . . .</w:t>
      </w:r>
    </w:p>
    <w:p w14:paraId="57DFF033" w14:textId="77777777" w:rsidR="000000D1" w:rsidRPr="000000D1" w:rsidRDefault="000000D1" w:rsidP="000000D1">
      <w:pPr>
        <w:ind w:left="1440"/>
        <w:rPr>
          <w:rFonts w:eastAsia="Calibri" w:cs="Times New Roman"/>
        </w:rPr>
      </w:pPr>
      <w:r w:rsidRPr="000000D1">
        <w:rPr>
          <w:rFonts w:eastAsia="Calibri" w:cs="Times New Roman"/>
        </w:rPr>
        <w:t xml:space="preserve">(f)(3)(A) The partnership's sales which give rise to business income, shall be included in the denominator of the taxpayer's sales factor to the extent of the taxpayer's interest in the partnership. The amount of such sales attributable to this state shall also be </w:t>
      </w:r>
      <w:r w:rsidRPr="000000D1">
        <w:rPr>
          <w:rFonts w:eastAsia="Calibri" w:cs="Times New Roman"/>
        </w:rPr>
        <w:lastRenderedPageBreak/>
        <w:t>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450EAD78" w14:textId="77777777" w:rsidR="000000D1" w:rsidRPr="000000D1" w:rsidRDefault="000000D1" w:rsidP="000000D1">
      <w:pPr>
        <w:ind w:left="1440"/>
        <w:rPr>
          <w:rFonts w:eastAsia="Calibri" w:cs="Times New Roman"/>
        </w:rPr>
      </w:pPr>
      <w:r w:rsidRPr="000000D1">
        <w:rPr>
          <w:rFonts w:eastAsia="Calibri" w:cs="Times New Roman"/>
        </w:rPr>
        <w:t>(i) Sales by the taxpayer, or any member of the taxpayer's combined reporting group, to the partnership to the extent of the taxpayer's interest in the partnership.</w:t>
      </w:r>
    </w:p>
    <w:p w14:paraId="5F219F5F" w14:textId="77777777" w:rsidR="000000D1" w:rsidRPr="000000D1" w:rsidRDefault="000000D1" w:rsidP="000000D1">
      <w:pPr>
        <w:ind w:left="1440"/>
        <w:rPr>
          <w:rFonts w:eastAsia="Calibri" w:cs="Times New Roman"/>
        </w:rPr>
      </w:pPr>
      <w:r w:rsidRPr="000000D1">
        <w:rPr>
          <w:rFonts w:eastAsia="Calibri" w:cs="Times New Roman"/>
        </w:rPr>
        <w:t>(ii) Sales by the partnership to the taxpayer, or any member of the taxpayer's combined reporting group, not to exceed the taxpayer's interest in all partnership sales.</w:t>
      </w:r>
    </w:p>
    <w:p w14:paraId="27EBE3FE" w14:textId="77777777" w:rsidR="000000D1" w:rsidRPr="000000D1" w:rsidRDefault="000000D1" w:rsidP="000000D1">
      <w:pPr>
        <w:ind w:left="1440"/>
        <w:rPr>
          <w:rFonts w:eastAsia="Calibri" w:cs="Times New Roman"/>
        </w:rPr>
      </w:pPr>
      <w:r w:rsidRPr="000000D1">
        <w:rPr>
          <w:rFonts w:eastAsia="Calibri" w:cs="Times New Roman"/>
        </w:rPr>
        <w:t xml:space="preserve">(f)(3)(B) Notwithstanding any intercompany eliminations described in subparagraph (A) above, sales made to nonpartners, other than members of the partner taxpayer's combined reporting group, shall be included in the denominator of the taxpayer's sales factor in an amount equal to such taxpayer's interest in the partnership. </w:t>
      </w:r>
    </w:p>
    <w:p w14:paraId="1F965101" w14:textId="77777777" w:rsidR="000000D1" w:rsidRPr="000000D1" w:rsidRDefault="000000D1" w:rsidP="000000D1">
      <w:pPr>
        <w:ind w:left="1440"/>
        <w:rPr>
          <w:rFonts w:eastAsia="Calibri" w:cs="Times New Roman"/>
        </w:rPr>
      </w:pPr>
      <w:r w:rsidRPr="000000D1">
        <w:rPr>
          <w:rFonts w:eastAsia="Calibri" w:cs="Times New Roman"/>
        </w:rPr>
        <w:t>(f)(4) A taxpayer's partnership interest for the purpose of computing the portion of the partnership's property, payroll and sales to be included in the taxpayer's property, payroll or sales factor shall be determined by the taxpayer's "interest in the partnership". The taxpayer's interest in the partnership shall be determined by reference to its interest in profits of the partnership.</w:t>
      </w:r>
    </w:p>
    <w:p w14:paraId="64AE6303" w14:textId="77777777" w:rsidR="000000D1" w:rsidRPr="000000D1" w:rsidRDefault="000000D1" w:rsidP="000000D1">
      <w:pPr>
        <w:ind w:left="1440"/>
        <w:rPr>
          <w:rFonts w:eastAsia="Calibri" w:cs="Times New Roman"/>
        </w:rPr>
      </w:pPr>
      <w:r w:rsidRPr="000000D1">
        <w:rPr>
          <w:rFonts w:eastAsia="Calibri" w:cs="Times New Roman"/>
        </w:rPr>
        <w:t>(f)(5) If a partnership and a corporation are engaged in a unitary business and their accounting periods are different, if necessary, in order to avoid distortion, the income and factors of the partnership will be determined on the basis of the corporate partner's accounting period.</w:t>
      </w:r>
    </w:p>
    <w:p w14:paraId="11194727" w14:textId="77777777" w:rsidR="000000D1" w:rsidRPr="000000D1" w:rsidRDefault="000000D1" w:rsidP="000000D1">
      <w:pPr>
        <w:ind w:left="1440"/>
        <w:rPr>
          <w:rFonts w:eastAsia="Calibri" w:cs="Times New Roman"/>
        </w:rPr>
      </w:pPr>
      <w:r w:rsidRPr="000000D1">
        <w:rPr>
          <w:rFonts w:eastAsia="Calibri" w:cs="Times New Roman"/>
        </w:rPr>
        <w:t xml:space="preserve">(g) 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11CB6D93"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 Code Regs. tit. 18, § 17951-4(d) </w:t>
      </w:r>
    </w:p>
    <w:p w14:paraId="4437620A" w14:textId="77777777" w:rsidR="000000D1" w:rsidRPr="000000D1" w:rsidRDefault="000000D1" w:rsidP="000000D1">
      <w:pPr>
        <w:contextualSpacing/>
        <w:rPr>
          <w:rFonts w:eastAsia="Calibri" w:cs="Times New Roman"/>
        </w:rPr>
      </w:pPr>
    </w:p>
    <w:p w14:paraId="1BB8F7F8" w14:textId="77777777" w:rsidR="000000D1" w:rsidRPr="000000D1" w:rsidRDefault="000000D1" w:rsidP="000000D1">
      <w:pPr>
        <w:ind w:left="1440"/>
        <w:rPr>
          <w:rFonts w:eastAsia="Calibri" w:cs="Times New Roman"/>
        </w:rPr>
      </w:pPr>
      <w:r w:rsidRPr="000000D1">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220DB2DF"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0293DD52"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7D9E5120"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The source of guaranteed payments received by a nonresident partner from a partnership shall be determined as if the guaranteed payments were a distributive share of partnership business income.</w:t>
      </w:r>
    </w:p>
    <w:p w14:paraId="3D9B3DA0"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lastRenderedPageBreak/>
        <w:t>The source of a partner's distributive share of items which do not constitute business income shall be determined in accordance with the sourcing rules of Sections 17951 through 17955, Revenue and Taxation Code, and the regulations thereunder, as if the income producing activity were undertaken by the partner in its individual capacity.</w:t>
      </w:r>
    </w:p>
    <w:p w14:paraId="0797FD6B"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6CE1A0A0"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26DC0127" w14:textId="77777777" w:rsidR="000000D1" w:rsidRPr="000000D1" w:rsidRDefault="000000D1" w:rsidP="000000D1">
      <w:pPr>
        <w:ind w:left="1800"/>
        <w:rPr>
          <w:rFonts w:eastAsia="Calibri" w:cs="Times New Roman"/>
        </w:rPr>
      </w:pPr>
      <w:r w:rsidRPr="000000D1">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12505B7" w14:textId="77777777" w:rsidR="000000D1" w:rsidRPr="000000D1" w:rsidRDefault="000000D1" w:rsidP="000000D1">
      <w:pPr>
        <w:ind w:left="1800"/>
        <w:rPr>
          <w:rFonts w:eastAsia="Calibri" w:cs="Times New Roman"/>
        </w:rPr>
      </w:pPr>
      <w:r w:rsidRPr="000000D1">
        <w:rPr>
          <w:rFonts w:eastAsia="Calibri" w:cs="Times New Roman"/>
        </w:rPr>
        <w:t>(B) For purposes of this subsection (d)(6), the actual or constructive ownership of a capital or profits interest in a partnership shall be determined in accordance with the following rules:</w:t>
      </w:r>
    </w:p>
    <w:p w14:paraId="6459216F" w14:textId="77777777" w:rsidR="000000D1" w:rsidRPr="000000D1" w:rsidRDefault="000000D1" w:rsidP="000000D1">
      <w:pPr>
        <w:ind w:left="1800"/>
        <w:rPr>
          <w:rFonts w:eastAsia="Calibri" w:cs="Times New Roman"/>
        </w:rPr>
      </w:pPr>
      <w:r w:rsidRPr="000000D1">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4A648500" w14:textId="77777777" w:rsidR="000000D1" w:rsidRPr="000000D1" w:rsidRDefault="000000D1" w:rsidP="000000D1">
      <w:pPr>
        <w:ind w:left="1800"/>
        <w:rPr>
          <w:rFonts w:eastAsia="Calibri" w:cs="Times New Roman"/>
        </w:rPr>
      </w:pPr>
      <w:r w:rsidRPr="000000D1">
        <w:rPr>
          <w:rFonts w:eastAsia="Calibri" w:cs="Times New Roman"/>
        </w:rPr>
        <w:lastRenderedPageBreak/>
        <w:t>2. An individual shall be considered as owning the interest in partnership capital or profits owned, directly or indirectly, by or for his or her family.</w:t>
      </w:r>
    </w:p>
    <w:p w14:paraId="0D4F3D80" w14:textId="77777777" w:rsidR="000000D1" w:rsidRPr="000000D1" w:rsidRDefault="000000D1" w:rsidP="000000D1">
      <w:pPr>
        <w:ind w:left="1800"/>
        <w:rPr>
          <w:rFonts w:eastAsia="Calibri" w:cs="Times New Roman"/>
        </w:rPr>
      </w:pPr>
      <w:r w:rsidRPr="000000D1">
        <w:rPr>
          <w:rFonts w:eastAsia="Calibri" w:cs="Times New Roman"/>
        </w:rPr>
        <w:t>3. The family of an individual shall include only his or her brothers and sisters (whether by the whole or half blood), spouse, ancestors, and lineal descendants, and</w:t>
      </w:r>
    </w:p>
    <w:p w14:paraId="33F70B94" w14:textId="77777777" w:rsidR="000000D1" w:rsidRPr="000000D1" w:rsidRDefault="000000D1" w:rsidP="000000D1">
      <w:pPr>
        <w:ind w:left="1800"/>
        <w:rPr>
          <w:rFonts w:eastAsia="Calibri" w:cs="Times New Roman"/>
        </w:rPr>
      </w:pPr>
      <w:r w:rsidRPr="000000D1">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2783E976" w14:textId="77777777" w:rsidR="000000D1" w:rsidRPr="000000D1" w:rsidRDefault="000000D1" w:rsidP="000000D1">
      <w:pPr>
        <w:ind w:left="1800"/>
        <w:rPr>
          <w:rFonts w:eastAsia="Calibri" w:cs="Times New Roman"/>
        </w:rPr>
      </w:pPr>
      <w:r w:rsidRPr="000000D1">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0AA00C4B" w14:textId="77777777" w:rsidR="000000D1" w:rsidRPr="000000D1" w:rsidRDefault="000000D1" w:rsidP="000000D1">
      <w:pPr>
        <w:ind w:left="720"/>
        <w:rPr>
          <w:rFonts w:eastAsia="Calibri" w:cs="Times New Roman"/>
          <w:i/>
          <w:iCs/>
        </w:rPr>
      </w:pPr>
      <w:bookmarkStart w:id="95" w:name="_Hlk160090565"/>
      <w:r w:rsidRPr="000000D1">
        <w:rPr>
          <w:rFonts w:eastAsia="Calibri" w:cs="Times New Roman"/>
          <w:i/>
          <w:iCs/>
        </w:rPr>
        <w:t>Appeal of Smith</w:t>
      </w:r>
      <w:r w:rsidRPr="000000D1">
        <w:rPr>
          <w:rFonts w:eastAsia="Calibri" w:cs="Times New Roman"/>
        </w:rPr>
        <w:t>, California Office of Tax Appeals Decision No. 20036033 (Dec. 7, 2022)</w:t>
      </w:r>
    </w:p>
    <w:bookmarkEnd w:id="95"/>
    <w:p w14:paraId="3904441B" w14:textId="77777777" w:rsidR="000000D1" w:rsidRPr="000000D1" w:rsidRDefault="000000D1" w:rsidP="000000D1">
      <w:pPr>
        <w:ind w:left="1440"/>
        <w:rPr>
          <w:rFonts w:eastAsia="Calibri" w:cs="Times New Roman"/>
        </w:rPr>
      </w:pPr>
      <w:r w:rsidRPr="000000D1">
        <w:rPr>
          <w:rFonts w:eastAsia="Calibri" w:cs="Times New Roman"/>
        </w:rPr>
        <w:t>Applies Cal. Code Regs. tit. 18, § 25137-1 to a tiered partnership. The partnership's apportionment factors flowed through to the pass-through holding company partner.</w:t>
      </w:r>
    </w:p>
    <w:p w14:paraId="73B595C0" w14:textId="77777777" w:rsidR="000000D1" w:rsidRPr="000000D1" w:rsidRDefault="000000D1" w:rsidP="000000D1">
      <w:pPr>
        <w:ind w:left="720"/>
        <w:rPr>
          <w:rFonts w:eastAsia="Calibri" w:cs="Times New Roman"/>
          <w:i/>
          <w:iCs/>
        </w:rPr>
      </w:pPr>
      <w:r w:rsidRPr="000000D1">
        <w:rPr>
          <w:rFonts w:eastAsia="Calibri" w:cs="Times New Roman"/>
          <w:i/>
          <w:iCs/>
        </w:rPr>
        <w:t>Matter of J. Blau</w:t>
      </w:r>
      <w:r w:rsidRPr="000000D1">
        <w:rPr>
          <w:rFonts w:eastAsia="Calibri" w:cs="Times New Roman"/>
        </w:rPr>
        <w:t xml:space="preserve">, California Office of Tax Appeals Decision No. 21088383 (July 7, 2023, </w:t>
      </w:r>
      <w:r w:rsidRPr="000000D1">
        <w:rPr>
          <w:rFonts w:eastAsia="Calibri" w:cs="Times New Roman"/>
          <w:i/>
          <w:iCs/>
        </w:rPr>
        <w:t>rehearing denied</w:t>
      </w:r>
      <w:r w:rsidRPr="000000D1">
        <w:rPr>
          <w:rFonts w:eastAsia="Calibri" w:cs="Times New Roman"/>
        </w:rPr>
        <w:t xml:space="preserve"> May 9, 2024) </w:t>
      </w:r>
      <w:r w:rsidRPr="000000D1">
        <w:rPr>
          <w:rFonts w:eastAsia="Calibri" w:cs="Times New Roman"/>
          <w:i/>
          <w:iCs/>
        </w:rPr>
        <w:t>S</w:t>
      </w:r>
    </w:p>
    <w:p w14:paraId="183ECDB4" w14:textId="77777777" w:rsidR="000000D1" w:rsidRPr="000000D1" w:rsidRDefault="000000D1" w:rsidP="000000D1">
      <w:pPr>
        <w:ind w:left="1440"/>
        <w:rPr>
          <w:rFonts w:eastAsia="Calibri" w:cs="Times New Roman"/>
        </w:rPr>
      </w:pPr>
      <w:r w:rsidRPr="000000D1">
        <w:rPr>
          <w:rFonts w:eastAsia="Calibri" w:cs="Times New Roman"/>
        </w:rPr>
        <w:t xml:space="preserve">Involves the use of blended apportionment in a tiered partnership. “Appellant contends that the ‘TRC LP apportionment factor should flow[-]through to [appellant]’; therefore, FTB should use the California apportionment percentage of 9.2511 from TRC LP, as modified by appellant, to source the 1231 net gain business income.  However, appellant has not provided any details as to the composition of the apportionment factors for Yukon and TRC LP.  Also, appellant did not explain the discrepancy between the California apportionment percentages originally reported by Yukon, 10.0640 percent, and TRC LP, 12.1215 percent.  In sum, appellant fails to show potentially relevant facts of how income and apportionment factors should flow-through from the various underlying pass-through entities to TRC LP and from TRC LP to Yukon.  For example, appellant did not establish whether some or all of the underlying pass-through entities (where the various 1231 net gain transactions originated) were unitary with TRC LP and whether Yukon was unitary with TRC LP.  As such, appellant has not shown the 1231 net gain (generated by the various underlying pass-through entities) is properly apportioned using TRC LP’s apportionment factors (modified to include the 1231 net gain transactions generated by the various underlying pass-through entities) without regard to Yukon’s apportionment factors.  (See Cal. Code Regs., tit. 18, § 25137-1(f) and (g).)  Therefore, appellant has not established any basis to rebut FTB’s determination </w:t>
      </w:r>
      <w:r w:rsidRPr="000000D1">
        <w:rPr>
          <w:rFonts w:eastAsia="Calibri" w:cs="Times New Roman"/>
        </w:rPr>
        <w:lastRenderedPageBreak/>
        <w:t>which used the reported California apportionment percentage from Yukon to source the 1231 net gain business income to California.”</w:t>
      </w:r>
    </w:p>
    <w:p w14:paraId="3C663C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California FTB Legal Ruling No. 2021-01 </w:t>
      </w:r>
    </w:p>
    <w:p w14:paraId="391A610A" w14:textId="77777777" w:rsidR="000000D1" w:rsidRPr="000000D1" w:rsidRDefault="000000D1" w:rsidP="000000D1">
      <w:pPr>
        <w:contextualSpacing/>
        <w:rPr>
          <w:rFonts w:eastAsia="Calibri" w:cs="Times New Roman"/>
        </w:rPr>
      </w:pPr>
    </w:p>
    <w:p w14:paraId="44099DD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Analyzes whether pass-through entity holding companies are unitary with other pass-through entities in various situations. </w:t>
      </w:r>
    </w:p>
    <w:p w14:paraId="3FF824F5" w14:textId="77777777" w:rsidR="000000D1" w:rsidRPr="000000D1" w:rsidRDefault="000000D1" w:rsidP="000000D1">
      <w:pPr>
        <w:ind w:left="1440"/>
        <w:contextualSpacing/>
        <w:rPr>
          <w:rFonts w:eastAsia="Calibri" w:cs="Times New Roman"/>
        </w:rPr>
      </w:pPr>
    </w:p>
    <w:p w14:paraId="2DAE902A" w14:textId="77777777" w:rsidR="000000D1" w:rsidRPr="000000D1" w:rsidRDefault="000000D1" w:rsidP="000000D1">
      <w:pPr>
        <w:ind w:left="1440"/>
        <w:contextualSpacing/>
        <w:rPr>
          <w:rFonts w:eastAsia="Calibri" w:cs="Times New Roman"/>
        </w:rPr>
      </w:pPr>
      <w:r w:rsidRPr="000000D1">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 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 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 As long as unitary indicia, as discussed above, exist, a pass-through entity holding company can be unitary with an operating entity. If a pass-through entity holding company provides value and support to the operating business, it will be properly treated as unitary with that business.”</w:t>
      </w:r>
    </w:p>
    <w:p w14:paraId="1CDD67D6" w14:textId="77777777" w:rsidR="000000D1" w:rsidRPr="000000D1" w:rsidRDefault="000000D1" w:rsidP="000000D1">
      <w:pPr>
        <w:contextualSpacing/>
        <w:rPr>
          <w:rFonts w:eastAsia="Calibri" w:cs="Times New Roman"/>
        </w:rPr>
      </w:pPr>
    </w:p>
    <w:p w14:paraId="74E548A4" w14:textId="77777777" w:rsidR="000000D1" w:rsidRPr="000000D1" w:rsidRDefault="000000D1" w:rsidP="000000D1">
      <w:pPr>
        <w:ind w:left="720"/>
        <w:contextualSpacing/>
        <w:rPr>
          <w:rFonts w:eastAsia="Calibri" w:cs="Times New Roman"/>
          <w:i/>
          <w:iCs/>
        </w:rPr>
      </w:pPr>
      <w:r w:rsidRPr="000000D1">
        <w:rPr>
          <w:rFonts w:eastAsia="Calibri" w:cs="Times New Roman"/>
          <w:i/>
          <w:iCs/>
        </w:rPr>
        <w:t>Matter of the Appeal of: JOHN E. FRANTZ</w:t>
      </w:r>
      <w:r w:rsidRPr="000000D1">
        <w:rPr>
          <w:rFonts w:eastAsia="Calibri" w:cs="Times New Roman"/>
        </w:rPr>
        <w:t>, California State Board of Equalization Decision No. 461562 (May 30, 2012) (finding substantial economic effect for an allocation of losses).</w:t>
      </w:r>
    </w:p>
    <w:p w14:paraId="1B20BBDC" w14:textId="77777777" w:rsidR="000000D1" w:rsidRPr="000000D1" w:rsidRDefault="000000D1" w:rsidP="000000D1">
      <w:pPr>
        <w:ind w:left="720"/>
        <w:contextualSpacing/>
        <w:rPr>
          <w:rFonts w:eastAsia="Calibri" w:cs="Times New Roman"/>
        </w:rPr>
      </w:pPr>
    </w:p>
    <w:p w14:paraId="51D39933" w14:textId="77777777" w:rsidR="000000D1" w:rsidRPr="000000D1" w:rsidRDefault="000000D1" w:rsidP="000000D1">
      <w:pPr>
        <w:ind w:left="720"/>
        <w:contextualSpacing/>
        <w:rPr>
          <w:rFonts w:eastAsia="Calibri" w:cs="Times New Roman"/>
        </w:rPr>
      </w:pPr>
      <w:r w:rsidRPr="000000D1">
        <w:rPr>
          <w:rFonts w:eastAsia="Calibri" w:cs="Times New Roman"/>
        </w:rPr>
        <w:t>California Form 565 Instructions (2023)</w:t>
      </w:r>
    </w:p>
    <w:p w14:paraId="3DA90ECC" w14:textId="77777777" w:rsidR="000000D1" w:rsidRPr="000000D1" w:rsidRDefault="000000D1" w:rsidP="000000D1">
      <w:pPr>
        <w:ind w:left="720"/>
        <w:contextualSpacing/>
        <w:rPr>
          <w:rFonts w:eastAsia="Calibri" w:cs="Times New Roman"/>
        </w:rPr>
      </w:pPr>
    </w:p>
    <w:p w14:paraId="19A976B6" w14:textId="77777777" w:rsidR="000000D1" w:rsidRPr="000000D1" w:rsidRDefault="000000D1" w:rsidP="000000D1">
      <w:pPr>
        <w:ind w:left="1440"/>
        <w:contextualSpacing/>
        <w:rPr>
          <w:rFonts w:eastAsia="Calibri" w:cs="Times New Roman"/>
        </w:rPr>
      </w:pPr>
      <w:r w:rsidRPr="000000D1">
        <w:rPr>
          <w:rFonts w:eastAsia="Calibri" w:cs="Times New Roman"/>
        </w:rPr>
        <w:t>For section 704(c) property use the California tax basis to determine section 704(c) built-in gain or loss.</w:t>
      </w:r>
    </w:p>
    <w:p w14:paraId="153BEC5A" w14:textId="77777777" w:rsidR="000000D1" w:rsidRPr="000000D1" w:rsidRDefault="000000D1" w:rsidP="000000D1">
      <w:pPr>
        <w:ind w:left="720"/>
        <w:contextualSpacing/>
        <w:rPr>
          <w:rFonts w:eastAsia="Calibri" w:cs="Times New Roman"/>
        </w:rPr>
      </w:pPr>
    </w:p>
    <w:p w14:paraId="36E6F011" w14:textId="77777777" w:rsidR="000000D1" w:rsidRPr="000000D1" w:rsidRDefault="000000D1" w:rsidP="000000D1">
      <w:pPr>
        <w:pBdr>
          <w:bottom w:val="single" w:sz="4" w:space="0" w:color="auto"/>
        </w:pBdr>
        <w:rPr>
          <w:rFonts w:eastAsia="Calibri" w:cs="Times New Roman"/>
        </w:rPr>
      </w:pPr>
    </w:p>
    <w:p w14:paraId="54949E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6" w:name="_Toc195435276"/>
      <w:r w:rsidRPr="000000D1">
        <w:rPr>
          <w:rFonts w:ascii="Californian FB" w:eastAsia="Times New Roman" w:hAnsi="Californian FB" w:cs="Times New Roman"/>
          <w:b/>
          <w:color w:val="851C00"/>
          <w:sz w:val="24"/>
          <w:szCs w:val="24"/>
          <w:u w:val="single"/>
        </w:rPr>
        <w:t>Colorado</w:t>
      </w:r>
      <w:bookmarkEnd w:id="96"/>
    </w:p>
    <w:p w14:paraId="64A1F9BC"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Colo. Rev. Stat. § 39-22-203(1)(a) </w:t>
      </w:r>
    </w:p>
    <w:p w14:paraId="34F68301" w14:textId="77777777" w:rsidR="000000D1" w:rsidRPr="000000D1" w:rsidRDefault="000000D1" w:rsidP="000000D1">
      <w:pPr>
        <w:contextualSpacing/>
        <w:rPr>
          <w:rFonts w:eastAsia="Calibri" w:cs="Times New Roman"/>
        </w:rPr>
      </w:pPr>
    </w:p>
    <w:p w14:paraId="700C91CE" w14:textId="77777777" w:rsidR="000000D1" w:rsidRPr="000000D1" w:rsidRDefault="000000D1" w:rsidP="000000D1">
      <w:pPr>
        <w:ind w:left="1440"/>
        <w:rPr>
          <w:rFonts w:eastAsia="Calibri" w:cs="Times New Roman"/>
        </w:rPr>
      </w:pPr>
      <w:r w:rsidRPr="000000D1">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2D4280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Colo. Code Regs. § 39-22-109(3)(c) </w:t>
      </w:r>
    </w:p>
    <w:p w14:paraId="6B56E0B9" w14:textId="77777777" w:rsidR="000000D1" w:rsidRPr="000000D1" w:rsidRDefault="000000D1" w:rsidP="000000D1">
      <w:pPr>
        <w:contextualSpacing/>
        <w:rPr>
          <w:rFonts w:eastAsia="Calibri" w:cs="Times New Roman"/>
        </w:rPr>
      </w:pPr>
    </w:p>
    <w:p w14:paraId="7EF800C1" w14:textId="77777777" w:rsidR="000000D1" w:rsidRPr="000000D1" w:rsidRDefault="000000D1" w:rsidP="000000D1">
      <w:pPr>
        <w:ind w:left="1440"/>
        <w:rPr>
          <w:rFonts w:eastAsia="Calibri" w:cs="Times New Roman"/>
        </w:rPr>
      </w:pPr>
      <w:r w:rsidRPr="000000D1">
        <w:rPr>
          <w:rFonts w:eastAsia="Calibri" w:cs="Times New Roman"/>
        </w:rPr>
        <w:t xml:space="preserve">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w:t>
      </w:r>
      <w:r w:rsidRPr="000000D1">
        <w:rPr>
          <w:rFonts w:eastAsia="Calibri" w:cs="Times New Roman"/>
        </w:rPr>
        <w:lastRenderedPageBreak/>
        <w:t>limited liability partnership, limited liability limited partnership) or the status of the Member (e.g., limited or general).</w:t>
      </w:r>
    </w:p>
    <w:p w14:paraId="0B41ED85" w14:textId="77777777" w:rsidR="000000D1" w:rsidRPr="000000D1" w:rsidRDefault="000000D1" w:rsidP="000000D1">
      <w:pPr>
        <w:ind w:left="1440"/>
        <w:rPr>
          <w:rFonts w:eastAsia="Calibri" w:cs="Times New Roman"/>
        </w:rPr>
      </w:pPr>
      <w:r w:rsidRPr="000000D1">
        <w:rPr>
          <w:rFonts w:eastAsia="Calibri" w:cs="Times New Roman"/>
        </w:rPr>
        <w:t>(i) A Nonresident has Nexus with Colorado if the Nonresident is a Member of a Pass-through entity doing business in Colorado.</w:t>
      </w:r>
    </w:p>
    <w:p w14:paraId="7B41AF1A" w14:textId="77777777" w:rsidR="000000D1" w:rsidRPr="000000D1" w:rsidRDefault="000000D1" w:rsidP="000000D1">
      <w:pPr>
        <w:ind w:left="1440"/>
        <w:rPr>
          <w:rFonts w:eastAsia="Calibri" w:cs="Times New Roman"/>
        </w:rPr>
      </w:pPr>
      <w:r w:rsidRPr="000000D1">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21E76398" w14:textId="77777777" w:rsidR="000000D1" w:rsidRPr="000000D1" w:rsidRDefault="000000D1" w:rsidP="000000D1">
      <w:pPr>
        <w:ind w:left="1440"/>
        <w:rPr>
          <w:rFonts w:eastAsia="Calibri" w:cs="Times New Roman"/>
        </w:rPr>
      </w:pPr>
      <w:r w:rsidRPr="000000D1">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44E48E78" w14:textId="77777777" w:rsidR="000000D1" w:rsidRPr="000000D1" w:rsidRDefault="000000D1" w:rsidP="000000D1">
      <w:pPr>
        <w:ind w:left="1440"/>
        <w:rPr>
          <w:rFonts w:eastAsia="Calibri" w:cs="Times New Roman"/>
        </w:rPr>
      </w:pPr>
      <w:r w:rsidRPr="000000D1">
        <w:rPr>
          <w:rFonts w:eastAsia="Calibri" w:cs="Times New Roman"/>
        </w:rPr>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0F3A59AE" w14:textId="77777777" w:rsidR="000000D1" w:rsidRPr="000000D1" w:rsidRDefault="000000D1" w:rsidP="000000D1">
      <w:pPr>
        <w:ind w:left="1440"/>
        <w:rPr>
          <w:rFonts w:eastAsia="Calibri" w:cs="Times New Roman"/>
        </w:rPr>
      </w:pPr>
      <w:r w:rsidRPr="000000D1">
        <w:rPr>
          <w:rFonts w:eastAsia="Calibri" w:cs="Times New Roman"/>
        </w:rPr>
        <w:t>(v) In the case of a Nonresident who is a Member of a partnership ("first partnership"), which partnership is a partner in another partnership ("second partnership"), the following rules apply:</w:t>
      </w:r>
    </w:p>
    <w:p w14:paraId="4C8F11A5" w14:textId="77777777" w:rsidR="000000D1" w:rsidRPr="000000D1" w:rsidRDefault="000000D1" w:rsidP="000000D1">
      <w:pPr>
        <w:ind w:left="1440"/>
        <w:rPr>
          <w:rFonts w:eastAsia="Calibri" w:cs="Times New Roman"/>
        </w:rPr>
      </w:pPr>
      <w:r w:rsidRPr="000000D1">
        <w:rPr>
          <w:rFonts w:eastAsia="Calibri" w:cs="Times New Roman"/>
        </w:rPr>
        <w:t>(A) Unitary Partnerships. In the case of unitary partnerships, the election made by the second partnership is irrelevant to the treatment of income of the first partnership.</w:t>
      </w:r>
    </w:p>
    <w:p w14:paraId="27A4D1F1" w14:textId="77777777" w:rsidR="000000D1" w:rsidRPr="000000D1" w:rsidRDefault="000000D1" w:rsidP="000000D1">
      <w:pPr>
        <w:ind w:left="1440"/>
        <w:rPr>
          <w:rFonts w:eastAsia="Calibri" w:cs="Times New Roman"/>
        </w:rPr>
      </w:pPr>
      <w:r w:rsidRPr="000000D1">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7916CCB6" w14:textId="77777777" w:rsidR="000000D1" w:rsidRPr="000000D1" w:rsidRDefault="000000D1" w:rsidP="000000D1">
      <w:pPr>
        <w:ind w:left="1440"/>
        <w:rPr>
          <w:rFonts w:eastAsia="Calibri" w:cs="Times New Roman"/>
        </w:rPr>
      </w:pPr>
      <w:r w:rsidRPr="000000D1">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7AB84ADD" w14:textId="77777777" w:rsidR="000000D1" w:rsidRPr="000000D1" w:rsidRDefault="000000D1" w:rsidP="000000D1">
      <w:pPr>
        <w:ind w:left="1440"/>
        <w:rPr>
          <w:rFonts w:eastAsia="Calibri" w:cs="Times New Roman"/>
        </w:rPr>
      </w:pPr>
      <w:r w:rsidRPr="000000D1">
        <w:rPr>
          <w:rFonts w:eastAsia="Calibri" w:cs="Times New Roman"/>
        </w:rPr>
        <w:t>(B) Non-Unitary Partnerships. In the case of non-unitary partnerships, the election made by the first partnership is irrelevant to the treatment of income of the second partnership.</w:t>
      </w:r>
    </w:p>
    <w:p w14:paraId="0B1CFE18" w14:textId="77777777" w:rsidR="000000D1" w:rsidRPr="000000D1" w:rsidRDefault="000000D1" w:rsidP="000000D1">
      <w:pPr>
        <w:ind w:left="1440"/>
        <w:rPr>
          <w:rFonts w:eastAsia="Calibri" w:cs="Times New Roman"/>
        </w:rPr>
      </w:pPr>
      <w:r w:rsidRPr="000000D1">
        <w:rPr>
          <w:rFonts w:eastAsia="Calibri" w:cs="Times New Roman"/>
        </w:rPr>
        <w:t>(I) If the two partnerships are non-unitary, then regardless of the election made by the first partnership, the first partnership's pro-rata share of the second partnership's Colorado-source income is directly allocated by the first partnership to Colorado and is not apportioned. The pro-rata share of such income passes through to the Nonresident Member as Colorado-source income.</w:t>
      </w:r>
    </w:p>
    <w:p w14:paraId="724C914B" w14:textId="77777777" w:rsidR="000000D1" w:rsidRPr="000000D1" w:rsidRDefault="000000D1" w:rsidP="000000D1">
      <w:pPr>
        <w:ind w:left="1440"/>
        <w:rPr>
          <w:rFonts w:eastAsia="Calibri" w:cs="Times New Roman"/>
        </w:rPr>
      </w:pPr>
      <w:r w:rsidRPr="000000D1">
        <w:rPr>
          <w:rFonts w:eastAsia="Calibri" w:cs="Times New Roman"/>
        </w:rPr>
        <w:t xml:space="preserve">(vi) A Nonresident individual may include as a credit for taxes paid on their Nonresident individual income tax return any payment made on their behalf by a partnership </w:t>
      </w:r>
      <w:r w:rsidRPr="000000D1">
        <w:rPr>
          <w:rFonts w:eastAsia="Calibri" w:cs="Times New Roman"/>
        </w:rPr>
        <w:lastRenderedPageBreak/>
        <w:t xml:space="preserve">or Subchapter S corporation on a composite return. See §§ 39-22-601 (2.5) and (5), C.R.S. . . .        </w:t>
      </w:r>
    </w:p>
    <w:p w14:paraId="7E6EDB62" w14:textId="77777777" w:rsidR="000000D1" w:rsidRPr="000000D1" w:rsidRDefault="000000D1" w:rsidP="000000D1">
      <w:pPr>
        <w:pBdr>
          <w:bottom w:val="single" w:sz="4" w:space="0" w:color="auto"/>
        </w:pBdr>
        <w:rPr>
          <w:rFonts w:eastAsia="Calibri" w:cs="Times New Roman"/>
        </w:rPr>
      </w:pPr>
    </w:p>
    <w:p w14:paraId="7DE34997"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7" w:name="_Toc195435277"/>
      <w:r w:rsidRPr="000000D1">
        <w:rPr>
          <w:rFonts w:ascii="Californian FB" w:eastAsia="Times New Roman" w:hAnsi="Californian FB" w:cs="Times New Roman"/>
          <w:b/>
          <w:color w:val="851C00"/>
          <w:sz w:val="24"/>
          <w:szCs w:val="24"/>
          <w:u w:val="single"/>
        </w:rPr>
        <w:t>Connecticut</w:t>
      </w:r>
      <w:bookmarkEnd w:id="97"/>
    </w:p>
    <w:p w14:paraId="138B23F6"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Conn. Gen. Stat. § 12-218(g) </w:t>
      </w:r>
    </w:p>
    <w:p w14:paraId="5BEF62D1"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9AECC96"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11EB561C"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0C532B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Conn. Gen. Stat. § 12-219a </w:t>
      </w:r>
    </w:p>
    <w:p w14:paraId="6DC4BAE1" w14:textId="77777777" w:rsidR="000000D1" w:rsidRPr="000000D1" w:rsidRDefault="000000D1" w:rsidP="000000D1">
      <w:pPr>
        <w:ind w:left="720"/>
        <w:contextualSpacing/>
        <w:rPr>
          <w:rFonts w:eastAsia="Calibri" w:cs="Times New Roman"/>
        </w:rPr>
      </w:pPr>
    </w:p>
    <w:p w14:paraId="2F422E4B" w14:textId="77777777" w:rsidR="000000D1" w:rsidRPr="000000D1" w:rsidRDefault="000000D1" w:rsidP="000000D1">
      <w:pPr>
        <w:ind w:left="1440"/>
        <w:rPr>
          <w:rFonts w:eastAsia="Calibri" w:cs="Times New Roman"/>
        </w:rPr>
      </w:pPr>
      <w:r w:rsidRPr="000000D1">
        <w:rPr>
          <w:rFonts w:eastAsia="Calibri" w:cs="Times New Roman"/>
        </w:rPr>
        <w:t xml:space="preserve">(b)(1) 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the denominator of its apportionment fraction shall be its proportionate part of the partnership's apportionment factors. For purposes of this section, the partnership shall </w:t>
      </w:r>
      <w:r w:rsidRPr="000000D1">
        <w:rPr>
          <w:rFonts w:eastAsia="Calibri" w:cs="Times New Roman"/>
        </w:rPr>
        <w:lastRenderedPageBreak/>
        <w:t>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18F6C419" w14:textId="77777777" w:rsidR="000000D1" w:rsidRPr="000000D1" w:rsidRDefault="000000D1" w:rsidP="000000D1">
      <w:pPr>
        <w:ind w:left="1440"/>
        <w:rPr>
          <w:rFonts w:eastAsia="Calibri" w:cs="Times New Roman"/>
        </w:rPr>
      </w:pPr>
      <w:r w:rsidRPr="000000D1">
        <w:rPr>
          <w:rFonts w:eastAsia="Calibri" w:cs="Times New Roman"/>
        </w:rPr>
        <w:t>(b)(2)Any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4DCDA62F" w14:textId="77777777" w:rsidR="000000D1" w:rsidRPr="000000D1" w:rsidRDefault="000000D1" w:rsidP="000000D1">
      <w:pPr>
        <w:ind w:left="1440"/>
        <w:rPr>
          <w:rFonts w:eastAsia="Calibri" w:cs="Times New Roman"/>
        </w:rPr>
      </w:pPr>
      <w:r w:rsidRPr="000000D1">
        <w:rPr>
          <w:rFonts w:eastAsia="Calibri" w:cs="Times New Roman"/>
        </w:rPr>
        <w:t>(b)(3) 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656D2E44" w14:textId="77777777" w:rsidR="000000D1" w:rsidRPr="000000D1" w:rsidRDefault="000000D1" w:rsidP="000000D1">
      <w:pPr>
        <w:ind w:left="1440"/>
        <w:contextualSpacing/>
        <w:rPr>
          <w:rFonts w:eastAsia="Calibri" w:cs="Times New Roman"/>
        </w:rPr>
      </w:pPr>
      <w:r w:rsidRPr="000000D1">
        <w:rPr>
          <w:rFonts w:eastAsia="Calibri" w:cs="Times New Roman"/>
        </w:rPr>
        <w:t>(d)The additional tax base of taxable and nontaxable members of a combined group required to file a combined unitary tax return pursuant to section 12-222 shall be apportioned as provided in subsection (g) of section 12-218e.</w:t>
      </w:r>
    </w:p>
    <w:p w14:paraId="2894D4B3" w14:textId="77777777" w:rsidR="000000D1" w:rsidRPr="000000D1" w:rsidRDefault="000000D1" w:rsidP="000000D1">
      <w:pPr>
        <w:ind w:left="720"/>
        <w:contextualSpacing/>
        <w:rPr>
          <w:rFonts w:eastAsia="Calibri" w:cs="Times New Roman"/>
        </w:rPr>
      </w:pPr>
    </w:p>
    <w:p w14:paraId="70B0A36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Conn. Gen. Stat. § 12-213(a)(32) </w:t>
      </w:r>
    </w:p>
    <w:p w14:paraId="43789D99" w14:textId="77777777" w:rsidR="000000D1" w:rsidRPr="000000D1" w:rsidRDefault="000000D1" w:rsidP="000000D1">
      <w:pPr>
        <w:ind w:left="720"/>
        <w:contextualSpacing/>
        <w:rPr>
          <w:rFonts w:eastAsia="Calibri" w:cs="Times New Roman"/>
        </w:rPr>
      </w:pPr>
    </w:p>
    <w:p w14:paraId="0542DD03" w14:textId="77777777" w:rsidR="000000D1" w:rsidRPr="000000D1" w:rsidRDefault="000000D1" w:rsidP="000000D1">
      <w:pPr>
        <w:ind w:left="1440"/>
        <w:contextualSpacing/>
        <w:rPr>
          <w:rFonts w:eastAsia="Calibri" w:cs="Times New Roman"/>
        </w:rPr>
      </w:pPr>
      <w:r w:rsidRPr="000000D1">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71257B2D" w14:textId="77777777" w:rsidR="000000D1" w:rsidRPr="000000D1" w:rsidRDefault="000000D1" w:rsidP="000000D1">
      <w:pPr>
        <w:ind w:left="1440"/>
        <w:contextualSpacing/>
        <w:rPr>
          <w:rFonts w:eastAsia="Calibri" w:cs="Times New Roman"/>
        </w:rPr>
      </w:pPr>
    </w:p>
    <w:p w14:paraId="45F36B4D" w14:textId="77777777" w:rsidR="000000D1" w:rsidRPr="000000D1" w:rsidRDefault="000000D1" w:rsidP="000000D1">
      <w:pPr>
        <w:ind w:firstLine="720"/>
        <w:contextualSpacing/>
        <w:rPr>
          <w:rFonts w:eastAsia="Calibri" w:cs="Times New Roman"/>
        </w:rPr>
      </w:pPr>
      <w:r w:rsidRPr="000000D1">
        <w:rPr>
          <w:rFonts w:eastAsia="Calibri" w:cs="Times New Roman"/>
        </w:rPr>
        <w:t>Conn. Agencies Regs. § 12-715(a)-1</w:t>
      </w:r>
    </w:p>
    <w:p w14:paraId="26684FDA" w14:textId="77777777" w:rsidR="000000D1" w:rsidRPr="000000D1" w:rsidRDefault="000000D1" w:rsidP="000000D1">
      <w:pPr>
        <w:ind w:firstLine="720"/>
        <w:contextualSpacing/>
        <w:rPr>
          <w:rFonts w:eastAsia="Calibri" w:cs="Times New Roman"/>
        </w:rPr>
      </w:pPr>
      <w:r w:rsidRPr="000000D1">
        <w:rPr>
          <w:rFonts w:eastAsia="Calibri" w:cs="Times New Roman"/>
        </w:rPr>
        <w:tab/>
      </w:r>
    </w:p>
    <w:p w14:paraId="0ACC20BC"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(c) The amount of any modification to be made by a partner with respect to a partnership item of income, gain, loss or deduction is to be determined as follows:</w:t>
      </w:r>
    </w:p>
    <w:p w14:paraId="54108B29"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any item subject to special allocation among the partners under the partnership agreement, which item is therefore accounted for separately for federal income tax purposes, the amount of each partner's share of the modification is determined by such partner's distributive share of such item for federal income tax purposes.</w:t>
      </w:r>
    </w:p>
    <w:p w14:paraId="19B78CF2"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 item that is included in computing the partnership's taxable income or loss generally (i.e., that portion of federal adjusted gross income described in section 702(a)(8) of the Internal Revenue Code), other than an item subject to a special allocation among the partners under the partnership agreement that differs from the allocation of partnership taxable income or loss generally, each partner's modification relating to that item is determined by such partner's distributive share for federal income tax purposes of the taxable income or loss of the partnership required to be reported in accordance with said section 702(a)(8).</w:t>
      </w:r>
    </w:p>
    <w:p w14:paraId="31A6ECB7"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 item that is not taken into account for federal income tax purposes (such as interest income on bonds of other states) and such item is not one which is subject to a special allocation among the partners under the partnership agreement that differs from the allocation of partnership taxable income or loss generally, each partner's modification in respect to such an item is determined by such partner's distributive share for federal income tax purposes of the taxable income or loss of the partnership described in section 702(a)(8) of the Internal Revenue Code.</w:t>
      </w:r>
    </w:p>
    <w:p w14:paraId="6BD40949"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 item that is not taken into account for federal income tax purposes (such as interest income on bonds of other states) and such item is one which is subject to a special allocation among the partners under the partnership agreement that differs from the allocation of partnership taxable income or loss generally, each partner's modification in respect to such an item is determined by the allocation provided for in the partnership agreement.</w:t>
      </w:r>
    </w:p>
    <w:p w14:paraId="4075296F" w14:textId="77777777" w:rsidR="000000D1" w:rsidRPr="000000D1" w:rsidRDefault="000000D1" w:rsidP="00E10036">
      <w:pPr>
        <w:numPr>
          <w:ilvl w:val="0"/>
          <w:numId w:val="39"/>
        </w:numPr>
        <w:contextualSpacing/>
        <w:rPr>
          <w:rFonts w:eastAsia="Calibri" w:cs="Times New Roman"/>
        </w:rPr>
      </w:pPr>
      <w:r w:rsidRPr="000000D1">
        <w:rPr>
          <w:rFonts w:eastAsia="Calibri" w:cs="Times New Roman"/>
        </w:rPr>
        <w:t>The modifications covered by this section do not apply to any item attributable to the partner directly and not reflected on the Connecticut partnership informational return (Form CT-1065), such as a gain that the partner realizes on the sale of the partnership interest.</w:t>
      </w:r>
    </w:p>
    <w:p w14:paraId="69C36129" w14:textId="77777777" w:rsidR="000000D1" w:rsidRPr="000000D1" w:rsidRDefault="000000D1" w:rsidP="000000D1">
      <w:pPr>
        <w:ind w:firstLine="720"/>
        <w:rPr>
          <w:rFonts w:eastAsia="Calibri" w:cs="Times New Roman"/>
        </w:rPr>
      </w:pPr>
      <w:r w:rsidRPr="000000D1">
        <w:rPr>
          <w:rFonts w:eastAsia="Calibri" w:cs="Times New Roman"/>
        </w:rPr>
        <w:t>Conn. Agencies Regs. § 12-715(c)-1</w:t>
      </w:r>
    </w:p>
    <w:p w14:paraId="077359EF" w14:textId="77777777" w:rsidR="000000D1" w:rsidRPr="000000D1" w:rsidRDefault="000000D1" w:rsidP="00E10036">
      <w:pPr>
        <w:numPr>
          <w:ilvl w:val="0"/>
          <w:numId w:val="40"/>
        </w:numPr>
        <w:contextualSpacing/>
        <w:rPr>
          <w:rFonts w:eastAsia="Calibri" w:cs="Times New Roman"/>
        </w:rPr>
      </w:pPr>
      <w:r w:rsidRPr="000000D1">
        <w:rPr>
          <w:rFonts w:eastAsia="Calibri" w:cs="Times New Roman"/>
        </w:rPr>
        <w:t>If a partnership agreement provides for a special  allocation among the partners of any item of partnership income, gain, loss or deduction, federal income tax law requires that such a provision be disregarded for federal income tax purposes, where its principal purpose is the avoidance or evasion of federal income tax. In such a case, each partner's distributive share of such item is determined by such partner's distributive share for federal income tax purposes of the taxable income or loss of the partnership as described in section 702(a)(8) of the Internal revenue Code. This treatment and distribution of the item is reflected in each partner's federal adjusted gross income and, therefore, in each partner's Connecticut adjusted gross income, even though in a particular case no Connecticut income tax avoidance or evasion may be involved.</w:t>
      </w:r>
    </w:p>
    <w:p w14:paraId="6F4DD8D9" w14:textId="77777777" w:rsidR="000000D1" w:rsidRPr="000000D1" w:rsidRDefault="000000D1" w:rsidP="00E10036">
      <w:pPr>
        <w:numPr>
          <w:ilvl w:val="0"/>
          <w:numId w:val="40"/>
        </w:numPr>
        <w:contextualSpacing/>
        <w:rPr>
          <w:rFonts w:eastAsia="Calibri" w:cs="Times New Roman"/>
        </w:rPr>
      </w:pPr>
      <w:r w:rsidRPr="000000D1">
        <w:rPr>
          <w:rFonts w:eastAsia="Calibri" w:cs="Times New Roman"/>
        </w:rPr>
        <w:t>In certain cases, however, a provision for special allocation does not have as its principal purpose the avoidance or evasion of federal income tax, but has as its principal purpose the avoidance or evasion of Connecticut income tax. In such an instance, any such provision shall be disregarded and each partner's share of the pertinent item of partnership income, gain, loss or deduction shall also be determined by the partner's distributive share for federal income tax purposes of the taxable income or loss of the partnership as described in section 702(a)(8) of the Internal Revenue Code.</w:t>
      </w:r>
    </w:p>
    <w:p w14:paraId="1884F16C" w14:textId="77777777" w:rsidR="000000D1" w:rsidRPr="000000D1" w:rsidRDefault="000000D1" w:rsidP="00E10036">
      <w:pPr>
        <w:numPr>
          <w:ilvl w:val="0"/>
          <w:numId w:val="40"/>
        </w:numPr>
        <w:contextualSpacing/>
        <w:rPr>
          <w:rFonts w:eastAsia="Calibri" w:cs="Times New Roman"/>
        </w:rPr>
      </w:pPr>
      <w:r w:rsidRPr="000000D1">
        <w:rPr>
          <w:rFonts w:eastAsia="Calibri" w:cs="Times New Roman"/>
        </w:rPr>
        <w:lastRenderedPageBreak/>
        <w:t>Whether the principal purpose of a special  allocation  of an item is the avoidance or evasion of Connecticut income tax depends on the surrounding facts and circumstances. Among the relevant facts to be considered are the following: whether the partnership or partner individually has a business purpose for the allocation; whether the allocation has substantial economic effect, as the term is used in section 704(b)(2) of the Internal Revenue Code (i.e., whether the allocation may actually affect the dollar amount of the partners' shares of the total partnership income or loss independently of Connecticut income tax consequences); whether related items of income, gain, loss or deduction from the same source are subject to the same allocation; whether the allocation was made without recognition of normal business factors and only after the amount of the specially  allocated  item could reasonably be estimated; the duration of the allocation; and the overall Connecticut income tax consequences of the allocation.</w:t>
      </w:r>
    </w:p>
    <w:p w14:paraId="3F2E87FD" w14:textId="77777777" w:rsidR="000000D1" w:rsidRPr="000000D1" w:rsidRDefault="000000D1" w:rsidP="000000D1">
      <w:pPr>
        <w:ind w:left="1800"/>
        <w:rPr>
          <w:rFonts w:eastAsia="Calibri" w:cs="Times New Roman"/>
        </w:rPr>
      </w:pPr>
      <w:r w:rsidRPr="000000D1">
        <w:rPr>
          <w:rFonts w:eastAsia="Calibri" w:cs="Times New Roman"/>
        </w:rPr>
        <w:t>Example: A and B are equal partners. The partnership agreement, however, allocates to A, who has a higher effective rate of Connecticut income tax than B, all interest income on bonds of the State of Connecticut held by the partnership and allocates to B all interest income on bonds of other states. The partnership agreement also provides that any difference in the amounts of such interest income allocated to each partner is to be equalized out of other partnership income. Because the purpose and effect of this allocation is solely to reduce the Connecticut income tax of A without actually affecting the distributive shares of A and B in partnership income, such allocation is not recognized. Accordingly, in determining their respective Connecticut adjusted gross incomes, A and B each shall add to federal adjusted gross income one-half of the interest income from bonds of other states under § 12-701(a)(20)-2 of Part I.</w:t>
      </w:r>
    </w:p>
    <w:p w14:paraId="7723C0E2" w14:textId="77777777" w:rsidR="000000D1" w:rsidRPr="000000D1" w:rsidRDefault="000000D1" w:rsidP="000000D1">
      <w:pPr>
        <w:ind w:left="1800"/>
        <w:rPr>
          <w:rFonts w:eastAsia="Calibri" w:cs="Times New Roman"/>
        </w:rPr>
      </w:pPr>
      <w:r w:rsidRPr="000000D1">
        <w:rPr>
          <w:rFonts w:eastAsia="Calibri" w:cs="Times New Roman"/>
        </w:rPr>
        <w:t>(d) While this section pertains to Section 12-715(c) of the general statutes, for purposes of supplementary interpretation, as the phrase is used in Section 12-2 of the general statutes, the adoption of this section is authorized by Section 12-740(a) of the general statutes.</w:t>
      </w:r>
    </w:p>
    <w:p w14:paraId="31ABA559" w14:textId="77777777" w:rsidR="000000D1" w:rsidRPr="000000D1" w:rsidRDefault="000000D1" w:rsidP="000000D1">
      <w:pPr>
        <w:pBdr>
          <w:bottom w:val="single" w:sz="4" w:space="0" w:color="auto"/>
        </w:pBdr>
        <w:rPr>
          <w:rFonts w:eastAsia="Calibri" w:cs="Times New Roman"/>
        </w:rPr>
      </w:pPr>
    </w:p>
    <w:p w14:paraId="20F31B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8" w:name="_Toc195435278"/>
      <w:r w:rsidRPr="000000D1">
        <w:rPr>
          <w:rFonts w:ascii="Californian FB" w:eastAsia="Times New Roman" w:hAnsi="Californian FB" w:cs="Times New Roman"/>
          <w:b/>
          <w:color w:val="851C00"/>
          <w:sz w:val="24"/>
          <w:szCs w:val="24"/>
          <w:u w:val="single"/>
        </w:rPr>
        <w:t>Delaware</w:t>
      </w:r>
      <w:bookmarkEnd w:id="98"/>
    </w:p>
    <w:p w14:paraId="29832FB6"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Del. Code Ann. tit. 30, § 1622 </w:t>
      </w:r>
    </w:p>
    <w:p w14:paraId="28CA2013" w14:textId="77777777" w:rsidR="000000D1" w:rsidRPr="000000D1" w:rsidRDefault="000000D1" w:rsidP="000000D1">
      <w:pPr>
        <w:contextualSpacing/>
        <w:rPr>
          <w:rFonts w:eastAsia="Calibri" w:cs="Times New Roman"/>
        </w:rPr>
      </w:pPr>
    </w:p>
    <w:p w14:paraId="6D3D5343" w14:textId="77777777" w:rsidR="000000D1" w:rsidRPr="000000D1" w:rsidRDefault="000000D1" w:rsidP="000000D1">
      <w:pPr>
        <w:ind w:left="1440"/>
        <w:rPr>
          <w:rFonts w:eastAsia="Calibri" w:cs="Times New Roman"/>
        </w:rPr>
      </w:pPr>
      <w:r w:rsidRPr="000000D1">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64B033CA" w14:textId="77777777" w:rsidR="000000D1" w:rsidRPr="000000D1" w:rsidRDefault="000000D1" w:rsidP="000000D1">
      <w:pPr>
        <w:ind w:left="720"/>
        <w:contextualSpacing/>
        <w:rPr>
          <w:rFonts w:eastAsia="Calibri" w:cs="Times New Roman"/>
        </w:rPr>
      </w:pPr>
      <w:r w:rsidRPr="000000D1">
        <w:rPr>
          <w:rFonts w:eastAsia="Calibri" w:cs="Times New Roman"/>
        </w:rPr>
        <w:t xml:space="preserve">Del. Code Ann. tit. 30, § 1623 </w:t>
      </w:r>
    </w:p>
    <w:p w14:paraId="56BFAF5D" w14:textId="77777777" w:rsidR="000000D1" w:rsidRPr="000000D1" w:rsidRDefault="000000D1" w:rsidP="000000D1">
      <w:pPr>
        <w:contextualSpacing/>
        <w:rPr>
          <w:rFonts w:eastAsia="Calibri" w:cs="Times New Roman"/>
        </w:rPr>
      </w:pPr>
    </w:p>
    <w:p w14:paraId="12B75A9B" w14:textId="77777777" w:rsidR="000000D1" w:rsidRPr="000000D1" w:rsidRDefault="000000D1" w:rsidP="000000D1">
      <w:pPr>
        <w:ind w:left="1440"/>
        <w:rPr>
          <w:rFonts w:eastAsia="Calibri" w:cs="Times New Roman"/>
        </w:rPr>
      </w:pPr>
      <w:r w:rsidRPr="000000D1">
        <w:rPr>
          <w:rFonts w:eastAsia="Calibri" w:cs="Times New Roman"/>
        </w:rPr>
        <w:t xml:space="preserve">(c) 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w:t>
      </w:r>
      <w:r w:rsidRPr="000000D1">
        <w:rPr>
          <w:rFonts w:eastAsia="Calibri" w:cs="Times New Roman"/>
        </w:rPr>
        <w:lastRenderedPageBreak/>
        <w:t>member of a pass-through entity from qualifying for exemption from taxation under Chapter 19 pursuant to § 1902(b)(8) of this title.</w:t>
      </w:r>
    </w:p>
    <w:p w14:paraId="1F1B9B4A" w14:textId="77777777" w:rsidR="000000D1" w:rsidRPr="000000D1" w:rsidRDefault="000000D1" w:rsidP="000000D1">
      <w:pPr>
        <w:ind w:left="1440"/>
        <w:rPr>
          <w:rFonts w:eastAsia="Calibri" w:cs="Times New Roman"/>
        </w:rPr>
      </w:pPr>
      <w:r w:rsidRPr="000000D1">
        <w:rPr>
          <w:rFonts w:eastAsia="Calibri" w:cs="Times New Roman"/>
        </w:rPr>
        <w:t>(d) Allocation and apportionment of income. — In determining the tax liability under Chapter 19 of this title of a corporation that is a member of a pass-through entity doing business or having real or tangible personal property in this State:</w:t>
      </w:r>
    </w:p>
    <w:p w14:paraId="01213B75" w14:textId="77777777" w:rsidR="000000D1" w:rsidRPr="000000D1" w:rsidRDefault="000000D1" w:rsidP="000000D1">
      <w:pPr>
        <w:ind w:left="1440"/>
        <w:rPr>
          <w:rFonts w:eastAsia="Calibri" w:cs="Times New Roman"/>
        </w:rPr>
      </w:pPr>
      <w:r w:rsidRPr="000000D1">
        <w:rPr>
          <w:rFonts w:eastAsia="Calibri" w:cs="Times New Roman"/>
        </w:rPr>
        <w:t>Such corporation’s federal taxable income shall be increased or decreased, as the case may be, by its distributive share of such pass-through entity’s items, if any, described in § 1903(a) of this title;</w:t>
      </w:r>
    </w:p>
    <w:p w14:paraId="72F2953F" w14:textId="77777777" w:rsidR="000000D1" w:rsidRPr="000000D1" w:rsidRDefault="000000D1" w:rsidP="000000D1">
      <w:pPr>
        <w:ind w:left="1440"/>
        <w:rPr>
          <w:rFonts w:eastAsia="Calibri" w:cs="Times New Roman"/>
        </w:rPr>
      </w:pPr>
      <w:r w:rsidRPr="000000D1">
        <w:rPr>
          <w:rFonts w:eastAsia="Calibri" w:cs="Times New Roman"/>
        </w:rPr>
        <w:t>Such corporation’s distributive share of any item of such pass-through entity that is described in any of § 1903(b)(1) through (5) of this title shall be included in the entire net income of such corporation only if such item is properly allocable to this State under such § 1903(b) of this title; and</w:t>
      </w:r>
    </w:p>
    <w:p w14:paraId="5F54965C" w14:textId="77777777" w:rsidR="000000D1" w:rsidRPr="000000D1" w:rsidRDefault="000000D1" w:rsidP="000000D1">
      <w:pPr>
        <w:ind w:left="1440"/>
        <w:rPr>
          <w:rFonts w:eastAsia="Calibri" w:cs="Times New Roman"/>
        </w:rPr>
      </w:pPr>
      <w:r w:rsidRPr="000000D1">
        <w:rPr>
          <w:rFonts w:eastAsia="Calibri" w:cs="Times New Roman"/>
        </w:rPr>
        <w:t>In applying § 1903(b)(6) of this title to such corporation,</w:t>
      </w:r>
    </w:p>
    <w:p w14:paraId="4B193232" w14:textId="77777777" w:rsidR="000000D1" w:rsidRPr="000000D1" w:rsidRDefault="000000D1" w:rsidP="000000D1">
      <w:pPr>
        <w:ind w:left="1440"/>
        <w:rPr>
          <w:rFonts w:eastAsia="Calibri" w:cs="Times New Roman"/>
        </w:rPr>
      </w:pPr>
      <w:r w:rsidRPr="000000D1">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20A77BC9" w14:textId="77777777" w:rsidR="000000D1" w:rsidRPr="000000D1" w:rsidRDefault="000000D1" w:rsidP="000000D1">
      <w:pPr>
        <w:ind w:left="1440"/>
        <w:rPr>
          <w:rFonts w:eastAsia="Calibri" w:cs="Times New Roman"/>
        </w:rPr>
      </w:pPr>
      <w:r w:rsidRPr="000000D1">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54449CC5" w14:textId="77777777" w:rsidR="000000D1" w:rsidRPr="000000D1" w:rsidRDefault="000000D1" w:rsidP="000000D1">
      <w:pPr>
        <w:ind w:left="1440"/>
        <w:rPr>
          <w:rFonts w:eastAsia="Calibri" w:cs="Times New Roman"/>
        </w:rPr>
      </w:pPr>
      <w:r w:rsidRPr="000000D1">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673F07BB" w14:textId="77777777" w:rsidR="000000D1" w:rsidRPr="000000D1" w:rsidRDefault="000000D1" w:rsidP="000000D1">
      <w:pPr>
        <w:pBdr>
          <w:bottom w:val="single" w:sz="4" w:space="0" w:color="auto"/>
        </w:pBdr>
        <w:rPr>
          <w:rFonts w:eastAsia="Calibri" w:cs="Times New Roman"/>
        </w:rPr>
      </w:pPr>
    </w:p>
    <w:p w14:paraId="78188CC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9" w:name="_Toc195435279"/>
      <w:r w:rsidRPr="000000D1">
        <w:rPr>
          <w:rFonts w:ascii="Californian FB" w:eastAsia="Times New Roman" w:hAnsi="Californian FB" w:cs="Times New Roman"/>
          <w:b/>
          <w:color w:val="851C00"/>
          <w:sz w:val="24"/>
          <w:szCs w:val="24"/>
          <w:u w:val="single"/>
        </w:rPr>
        <w:t>District of Columbia</w:t>
      </w:r>
      <w:bookmarkEnd w:id="99"/>
    </w:p>
    <w:p w14:paraId="60DE04E3" w14:textId="77777777" w:rsidR="000000D1" w:rsidRPr="000000D1" w:rsidRDefault="000000D1" w:rsidP="000000D1">
      <w:pPr>
        <w:ind w:firstLine="720"/>
      </w:pPr>
      <w:r w:rsidRPr="000000D1">
        <w:t>D.C. Code § 47-1801.4(55)(B)</w:t>
      </w:r>
      <w:r w:rsidRPr="000000D1">
        <w:rPr>
          <w:i/>
          <w:iCs/>
        </w:rPr>
        <w:t xml:space="preserve"> </w:t>
      </w:r>
    </w:p>
    <w:p w14:paraId="406E5AB2" w14:textId="77777777" w:rsidR="000000D1" w:rsidRPr="000000D1" w:rsidRDefault="000000D1" w:rsidP="000000D1">
      <w:pPr>
        <w:ind w:left="1440"/>
      </w:pPr>
      <w:r w:rsidRPr="000000D1">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 persons are members of the same commonly controlled group.</w:t>
      </w:r>
    </w:p>
    <w:p w14:paraId="649A3D85" w14:textId="77777777" w:rsidR="000000D1" w:rsidRPr="000000D1" w:rsidRDefault="000000D1" w:rsidP="000000D1">
      <w:pPr>
        <w:ind w:firstLine="720"/>
      </w:pPr>
      <w:r w:rsidRPr="000000D1">
        <w:t xml:space="preserve">D.C. Code § 47-1810.02 </w:t>
      </w:r>
    </w:p>
    <w:p w14:paraId="0C3715E0" w14:textId="77777777" w:rsidR="000000D1" w:rsidRPr="000000D1" w:rsidRDefault="000000D1" w:rsidP="000000D1">
      <w:pPr>
        <w:ind w:left="1440"/>
      </w:pPr>
      <w:r w:rsidRPr="000000D1">
        <w:t>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unincorporated business, or the unrelated business income of an exempt organization, is derived from sources within and without the District, the taxpayer shall apportion business income and allocate non-business income as provided in this section.</w:t>
      </w:r>
    </w:p>
    <w:p w14:paraId="384EDDD6" w14:textId="77777777" w:rsidR="000000D1" w:rsidRPr="000000D1" w:rsidRDefault="000000D1" w:rsidP="000000D1">
      <w:pPr>
        <w:ind w:firstLine="720"/>
      </w:pPr>
      <w:r w:rsidRPr="000000D1">
        <w:lastRenderedPageBreak/>
        <w:t>D.C. Code § 47-1810.04(c)(1)(B)(2)</w:t>
      </w:r>
      <w:r w:rsidRPr="000000D1">
        <w:rPr>
          <w:i/>
          <w:iCs/>
        </w:rPr>
        <w:t xml:space="preserve"> </w:t>
      </w:r>
    </w:p>
    <w:p w14:paraId="44A11BB4" w14:textId="77777777" w:rsidR="000000D1" w:rsidRPr="000000D1" w:rsidRDefault="000000D1" w:rsidP="000000D1">
      <w:pPr>
        <w:ind w:left="1440"/>
      </w:pPr>
      <w:r w:rsidRPr="000000D1">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73B0B4BC" w14:textId="77777777" w:rsidR="000000D1" w:rsidRPr="000000D1" w:rsidRDefault="000000D1" w:rsidP="000000D1">
      <w:pPr>
        <w:ind w:firstLine="720"/>
      </w:pPr>
      <w:r w:rsidRPr="000000D1">
        <w:t xml:space="preserve">D.C. Mun. Regs. tit. 9, § 109.20(h) </w:t>
      </w:r>
    </w:p>
    <w:p w14:paraId="5D128329" w14:textId="77777777" w:rsidR="000000D1" w:rsidRPr="000000D1" w:rsidRDefault="000000D1" w:rsidP="000000D1">
      <w:pPr>
        <w:ind w:left="1440"/>
      </w:pPr>
      <w:r w:rsidRPr="000000D1">
        <w:t>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District of Columbia partnerships. The affiliated group should include a separate schedule to show the distribution to each partner.</w:t>
      </w:r>
    </w:p>
    <w:p w14:paraId="2A3EA74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Agency Website </w:t>
      </w:r>
    </w:p>
    <w:p w14:paraId="40A3C0B5" w14:textId="77777777" w:rsidR="000000D1" w:rsidRPr="000000D1" w:rsidRDefault="000000D1" w:rsidP="000000D1">
      <w:pPr>
        <w:contextualSpacing/>
        <w:rPr>
          <w:rFonts w:eastAsia="Calibri" w:cs="Times New Roman"/>
        </w:rPr>
      </w:pPr>
    </w:p>
    <w:p w14:paraId="6524B3E5" w14:textId="77777777" w:rsidR="000000D1" w:rsidRPr="000000D1" w:rsidRDefault="000000D1" w:rsidP="000000D1">
      <w:pPr>
        <w:ind w:left="1440"/>
        <w:rPr>
          <w:rFonts w:eastAsia="Calibri" w:cs="Times New Roman"/>
        </w:rPr>
      </w:pPr>
      <w:r w:rsidRPr="000000D1">
        <w:rPr>
          <w:rFonts w:eastAsia="Calibri" w:cs="Times New Roman"/>
        </w:rPr>
        <w:t>If a partner is a combined group member, the partner must include or exclude its distributive share of income or loss in the following manner:</w:t>
      </w:r>
    </w:p>
    <w:p w14:paraId="4C1657B8" w14:textId="77777777" w:rsidR="000000D1" w:rsidRPr="000000D1" w:rsidRDefault="000000D1" w:rsidP="000000D1">
      <w:pPr>
        <w:ind w:left="1440"/>
        <w:rPr>
          <w:rFonts w:eastAsia="Calibri" w:cs="Times New Roman"/>
        </w:rPr>
      </w:pPr>
      <w:r w:rsidRPr="000000D1">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10300D88" w14:textId="77777777" w:rsidR="000000D1" w:rsidRPr="000000D1" w:rsidRDefault="000000D1" w:rsidP="000000D1">
      <w:pPr>
        <w:ind w:left="1440"/>
        <w:rPr>
          <w:rFonts w:eastAsia="Calibri" w:cs="Times New Roman"/>
        </w:rPr>
      </w:pPr>
      <w:r w:rsidRPr="000000D1">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p>
    <w:p w14:paraId="1E83CC29" w14:textId="77777777" w:rsidR="000000D1" w:rsidRPr="000000D1" w:rsidRDefault="000000D1" w:rsidP="000000D1">
      <w:pPr>
        <w:ind w:left="1440"/>
        <w:rPr>
          <w:rFonts w:eastAsia="Calibri" w:cs="Times New Roman"/>
        </w:rPr>
      </w:pPr>
      <w:r w:rsidRPr="000000D1">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413C0BC0" w14:textId="77777777" w:rsidR="000000D1" w:rsidRPr="000000D1" w:rsidRDefault="000000D1" w:rsidP="000000D1">
      <w:pPr>
        <w:ind w:left="1440"/>
        <w:rPr>
          <w:rFonts w:eastAsia="Calibri" w:cs="Times New Roman"/>
        </w:rPr>
      </w:pPr>
      <w:r w:rsidRPr="000000D1">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379B89D6" w14:textId="77777777" w:rsidR="000000D1" w:rsidRPr="000000D1" w:rsidRDefault="000000D1" w:rsidP="000000D1">
      <w:pPr>
        <w:ind w:left="1440"/>
        <w:rPr>
          <w:rFonts w:eastAsia="Calibri" w:cs="Times New Roman"/>
        </w:rPr>
      </w:pPr>
      <w:r w:rsidRPr="000000D1">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65039C59" w14:textId="77777777" w:rsidR="000000D1" w:rsidRPr="000000D1" w:rsidRDefault="000000D1" w:rsidP="000000D1">
      <w:pPr>
        <w:ind w:left="1440"/>
        <w:rPr>
          <w:rFonts w:eastAsia="Calibri" w:cs="Times New Roman"/>
        </w:rPr>
      </w:pPr>
      <w:r w:rsidRPr="000000D1">
        <w:rPr>
          <w:rFonts w:eastAsia="Calibri" w:cs="Times New Roman"/>
        </w:rPr>
        <w:t xml:space="preserve">(f) To calculate the apportionment factor to apply to the untaxed income as indicated in (e): </w:t>
      </w:r>
    </w:p>
    <w:p w14:paraId="5691F8B8" w14:textId="77777777" w:rsidR="000000D1" w:rsidRPr="000000D1" w:rsidRDefault="000000D1" w:rsidP="000000D1">
      <w:pPr>
        <w:ind w:left="1440"/>
        <w:rPr>
          <w:rFonts w:eastAsia="Calibri" w:cs="Times New Roman"/>
        </w:rPr>
      </w:pPr>
      <w:r w:rsidRPr="000000D1">
        <w:rPr>
          <w:rFonts w:eastAsia="Calibri" w:cs="Times New Roman"/>
        </w:rPr>
        <w:lastRenderedPageBreak/>
        <w:t xml:space="preserve">(1) Denominator.  The denominator shall be the total net unreported and untaxed distributive share of the income which shall be added to the partner’s sales factor. </w:t>
      </w:r>
    </w:p>
    <w:p w14:paraId="38FF8462" w14:textId="77777777" w:rsidR="000000D1" w:rsidRPr="000000D1" w:rsidRDefault="000000D1" w:rsidP="000000D1">
      <w:pPr>
        <w:ind w:left="1440"/>
        <w:rPr>
          <w:rFonts w:eastAsia="Calibri" w:cs="Times New Roman"/>
        </w:rPr>
      </w:pPr>
      <w:r w:rsidRPr="000000D1">
        <w:rPr>
          <w:rFonts w:eastAsia="Calibri" w:cs="Times New Roman"/>
        </w:rPr>
        <w:t xml:space="preserve">(2) Numerator.  The numerator shall be the unreported and untaxed portion of the distributive share multiplied by the UB’s or partnership’s apportionment percentage. </w:t>
      </w:r>
    </w:p>
    <w:p w14:paraId="3D867FC4" w14:textId="77777777" w:rsidR="000000D1" w:rsidRPr="000000D1" w:rsidRDefault="000000D1" w:rsidP="000000D1">
      <w:pPr>
        <w:ind w:left="1440"/>
        <w:rPr>
          <w:rFonts w:eastAsia="Calibri" w:cs="Times New Roman"/>
        </w:rPr>
      </w:pPr>
      <w:r w:rsidRPr="000000D1">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BE045B6" w14:textId="77777777" w:rsidR="000000D1" w:rsidRPr="000000D1" w:rsidRDefault="000000D1" w:rsidP="000000D1">
      <w:pPr>
        <w:ind w:left="1440"/>
      </w:pPr>
      <w:r w:rsidRPr="000000D1">
        <w:t>(g) UB filing requirements:  If a UB is a member of the combined group, the UB shall report all its income and apportionment factors on the combined report only and not file a stand-alone return.</w:t>
      </w:r>
    </w:p>
    <w:p w14:paraId="15DF4A36" w14:textId="77777777" w:rsidR="000000D1" w:rsidRPr="000000D1" w:rsidRDefault="000000D1" w:rsidP="000000D1">
      <w:pPr>
        <w:pBdr>
          <w:bottom w:val="single" w:sz="4" w:space="0" w:color="auto"/>
        </w:pBdr>
        <w:rPr>
          <w:rFonts w:eastAsia="Calibri" w:cs="Times New Roman"/>
        </w:rPr>
      </w:pPr>
    </w:p>
    <w:p w14:paraId="322EAD18"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0" w:name="_Toc195435280"/>
      <w:r w:rsidRPr="000000D1">
        <w:rPr>
          <w:rFonts w:ascii="Californian FB" w:eastAsia="Times New Roman" w:hAnsi="Californian FB" w:cs="Times New Roman"/>
          <w:b/>
          <w:color w:val="851C00"/>
          <w:sz w:val="24"/>
          <w:szCs w:val="24"/>
          <w:u w:val="single"/>
        </w:rPr>
        <w:t>Florida</w:t>
      </w:r>
      <w:bookmarkEnd w:id="100"/>
    </w:p>
    <w:p w14:paraId="43B34364"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Fla. Admin. Code Ann. r. 12C-1.015(10) </w:t>
      </w:r>
    </w:p>
    <w:p w14:paraId="4F2D2CB8" w14:textId="77777777" w:rsidR="000000D1" w:rsidRPr="000000D1" w:rsidRDefault="000000D1" w:rsidP="000000D1">
      <w:pPr>
        <w:contextualSpacing/>
        <w:rPr>
          <w:rFonts w:eastAsia="Calibri" w:cs="Times New Roman"/>
        </w:rPr>
      </w:pPr>
    </w:p>
    <w:p w14:paraId="13195D12" w14:textId="77777777" w:rsidR="000000D1" w:rsidRPr="000000D1" w:rsidRDefault="000000D1" w:rsidP="000000D1">
      <w:pPr>
        <w:ind w:left="1440"/>
        <w:rPr>
          <w:rFonts w:eastAsia="Calibri" w:cs="Times New Roman"/>
        </w:rPr>
      </w:pPr>
      <w:r w:rsidRPr="000000D1">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4F14474A"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Florida TAA # 11C1-001(February 2, 2011) </w:t>
      </w:r>
    </w:p>
    <w:p w14:paraId="57FFD439" w14:textId="77777777" w:rsidR="000000D1" w:rsidRPr="000000D1" w:rsidRDefault="000000D1" w:rsidP="000000D1">
      <w:pPr>
        <w:contextualSpacing/>
        <w:rPr>
          <w:rFonts w:eastAsia="Calibri" w:cs="Times New Roman"/>
        </w:rPr>
      </w:pPr>
    </w:p>
    <w:p w14:paraId="0C7D6F98" w14:textId="77777777" w:rsidR="000000D1" w:rsidRPr="000000D1" w:rsidRDefault="000000D1" w:rsidP="000000D1">
      <w:pPr>
        <w:ind w:left="1440"/>
        <w:rPr>
          <w:rFonts w:eastAsia="Calibri" w:cs="Times New Roman"/>
        </w:rPr>
      </w:pPr>
      <w:r w:rsidRPr="000000D1">
        <w:rPr>
          <w:rFonts w:eastAsia="Calibri" w:cs="Times New Roman"/>
        </w:rPr>
        <w:t xml:space="preserve">Whether the taxpayer's sales, payroll, and property factors of the apportionment formula should include the taxpayer's interest in various partnerships . . . </w:t>
      </w:r>
    </w:p>
    <w:p w14:paraId="432EC860" w14:textId="77777777" w:rsidR="000000D1" w:rsidRPr="000000D1" w:rsidRDefault="000000D1" w:rsidP="000000D1">
      <w:pPr>
        <w:ind w:left="1440"/>
        <w:rPr>
          <w:rFonts w:eastAsia="Calibri" w:cs="Times New Roman"/>
        </w:rPr>
      </w:pPr>
      <w:r w:rsidRPr="000000D1">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74C9E084" w14:textId="77777777" w:rsidR="000000D1" w:rsidRPr="000000D1" w:rsidRDefault="000000D1" w:rsidP="000000D1">
      <w:pPr>
        <w:ind w:left="1440"/>
        <w:rPr>
          <w:rFonts w:eastAsia="Calibri" w:cs="Times New Roman"/>
        </w:rPr>
      </w:pPr>
      <w:r w:rsidRPr="000000D1">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7FB71964" w14:textId="77777777" w:rsidR="000000D1" w:rsidRPr="000000D1" w:rsidRDefault="000000D1" w:rsidP="000000D1">
      <w:pPr>
        <w:ind w:left="1440"/>
        <w:rPr>
          <w:rFonts w:eastAsia="Calibri" w:cs="Times New Roman"/>
        </w:rPr>
      </w:pPr>
      <w:r w:rsidRPr="000000D1">
        <w:rPr>
          <w:rFonts w:eastAsia="Calibri" w:cs="Times New Roman"/>
        </w:rPr>
        <w:t xml:space="preserve">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sales should be combined with the taxpayer's property, payroll, and sales, for purposes </w:t>
      </w:r>
      <w:r w:rsidRPr="000000D1">
        <w:rPr>
          <w:rFonts w:eastAsia="Calibri" w:cs="Times New Roman"/>
        </w:rPr>
        <w:lastRenderedPageBreak/>
        <w:t>of determining the taxpayer's apportionment factor as provided by Rule 12C-1.0153(9), F.A.C., Rule 12C-1.0154(6), F.A.C., and Rule 12C-1.0155(4), F.A.C.</w:t>
      </w:r>
    </w:p>
    <w:p w14:paraId="2E5611D5" w14:textId="77777777" w:rsidR="000000D1" w:rsidRPr="000000D1" w:rsidRDefault="000000D1" w:rsidP="000000D1">
      <w:pPr>
        <w:ind w:left="1440"/>
        <w:rPr>
          <w:rFonts w:eastAsia="Calibri" w:cs="Times New Roman"/>
        </w:rPr>
      </w:pPr>
      <w:r w:rsidRPr="000000D1">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36F6DFA3"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Florida TAA # 23C1-012 (October 3, 2023) </w:t>
      </w:r>
    </w:p>
    <w:p w14:paraId="37EE4017" w14:textId="77777777" w:rsidR="000000D1" w:rsidRPr="000000D1" w:rsidRDefault="000000D1" w:rsidP="000000D1">
      <w:pPr>
        <w:contextualSpacing/>
        <w:rPr>
          <w:rFonts w:eastAsia="Calibri" w:cs="Times New Roman"/>
        </w:rPr>
      </w:pPr>
    </w:p>
    <w:p w14:paraId="4A1D7DF5" w14:textId="77777777" w:rsidR="000000D1" w:rsidRPr="000000D1" w:rsidRDefault="000000D1" w:rsidP="000000D1">
      <w:pPr>
        <w:ind w:left="1440"/>
        <w:rPr>
          <w:rFonts w:eastAsia="Calibri" w:cs="Times New Roman"/>
        </w:rPr>
      </w:pPr>
      <w:r w:rsidRPr="000000D1">
        <w:rPr>
          <w:rFonts w:eastAsia="Calibri" w:cs="Times New Roman"/>
        </w:rPr>
        <w:t>In the case of a flow-through entity (i.e.,  whose income flows through to Taxpayer, Taxpayer’s portion of the sales factor provided to it by _____  for inclusion in Taxpayer’s own factors should reflect the proper sourcing of the _____ based on the location of  _____customers.</w:t>
      </w:r>
    </w:p>
    <w:p w14:paraId="68760468" w14:textId="77777777" w:rsidR="000000D1" w:rsidRPr="000000D1" w:rsidRDefault="000000D1" w:rsidP="000000D1">
      <w:pPr>
        <w:ind w:left="720"/>
        <w:contextualSpacing/>
        <w:rPr>
          <w:rFonts w:eastAsia="Calibri" w:cs="Times New Roman"/>
        </w:rPr>
      </w:pPr>
      <w:r w:rsidRPr="000000D1">
        <w:rPr>
          <w:rFonts w:eastAsia="Calibri" w:cs="Times New Roman"/>
        </w:rPr>
        <w:t>Florida TAA # (November 10, 2014)</w:t>
      </w:r>
    </w:p>
    <w:p w14:paraId="1293F2E9" w14:textId="77777777" w:rsidR="000000D1" w:rsidRPr="000000D1" w:rsidRDefault="000000D1" w:rsidP="000000D1">
      <w:pPr>
        <w:ind w:left="720"/>
        <w:contextualSpacing/>
        <w:rPr>
          <w:rFonts w:eastAsia="Calibri" w:cs="Times New Roman"/>
        </w:rPr>
      </w:pPr>
    </w:p>
    <w:p w14:paraId="50DA820D" w14:textId="77777777" w:rsidR="000000D1" w:rsidRPr="000000D1" w:rsidRDefault="000000D1" w:rsidP="000000D1">
      <w:pPr>
        <w:ind w:left="1440"/>
        <w:contextualSpacing/>
        <w:rPr>
          <w:rFonts w:eastAsia="Calibri" w:cs="Times New Roman"/>
        </w:rPr>
      </w:pPr>
      <w:r w:rsidRPr="000000D1">
        <w:rPr>
          <w:rFonts w:eastAsia="Calibri" w:cs="Times New Roman"/>
        </w:rPr>
        <w:t>While section 220.152, F.S., authorizes a taxpayer to petition the Department to use an alternative apportionment method if the methods of sections 220.15 and 220.151, F.S., do not fairly represent the taxpayer's tax base attributable to Florida, the taxpayer is also required to show that use of the apportionment method provided by section 220.15, F.S., causes its tax base attributable to Florida to be unfairly represented. Here, Florida law requires the taxpayer to include its share of the LLC's property, payroll, and sales, with its own, in computing its Florida apportionment factor. The taxpayer has not shown that using this apportionment method causes its tax base attributable to Florida to be unfairly represented. Therefore, the Department cannot approve an alternative apportionment method.</w:t>
      </w:r>
    </w:p>
    <w:p w14:paraId="69BC0968" w14:textId="77777777" w:rsidR="000000D1" w:rsidRPr="000000D1" w:rsidRDefault="000000D1" w:rsidP="000000D1">
      <w:pPr>
        <w:ind w:left="1440"/>
        <w:contextualSpacing/>
        <w:rPr>
          <w:rFonts w:eastAsia="Calibri" w:cs="Times New Roman"/>
        </w:rPr>
      </w:pPr>
    </w:p>
    <w:p w14:paraId="6DC1CF11" w14:textId="77777777" w:rsidR="000000D1" w:rsidRPr="000000D1" w:rsidRDefault="000000D1" w:rsidP="000000D1">
      <w:pPr>
        <w:ind w:left="1440"/>
        <w:contextualSpacing/>
        <w:rPr>
          <w:rFonts w:eastAsia="Calibri" w:cs="Times New Roman"/>
        </w:rPr>
      </w:pPr>
      <w:r w:rsidRPr="000000D1">
        <w:rPr>
          <w:rFonts w:eastAsia="Calibri" w:cs="Times New Roman"/>
        </w:rPr>
        <w:t>CONCLUSION</w:t>
      </w:r>
    </w:p>
    <w:p w14:paraId="3F31BBC8" w14:textId="77777777" w:rsidR="000000D1" w:rsidRPr="000000D1" w:rsidRDefault="000000D1" w:rsidP="000000D1">
      <w:pPr>
        <w:ind w:left="1440"/>
        <w:contextualSpacing/>
        <w:rPr>
          <w:rFonts w:eastAsia="Calibri" w:cs="Times New Roman"/>
        </w:rPr>
      </w:pPr>
    </w:p>
    <w:p w14:paraId="71FDC431" w14:textId="77777777" w:rsidR="000000D1" w:rsidRPr="000000D1" w:rsidRDefault="000000D1" w:rsidP="000000D1">
      <w:pPr>
        <w:ind w:left="1440"/>
        <w:contextualSpacing/>
        <w:rPr>
          <w:rFonts w:eastAsia="Calibri" w:cs="Times New Roman"/>
        </w:rPr>
      </w:pPr>
      <w:r w:rsidRPr="000000D1">
        <w:rPr>
          <w:rFonts w:eastAsia="Calibri" w:cs="Times New Roman"/>
        </w:rPr>
        <w:t>Based on the discussion above, Florida law requires the taxpayer to include its share of the LLC's property, payroll, and sales, when determining the taxpayer's apportionment factor. Additionally, as the taxpayer has failed to show that use of the apportionment method provided by section 220.15, F.S., causes its tax base attributable to Florida to be unreasonably and arbitrarily represented, the taxpayer is required to use the apportionment method provided by section 220.15, F.S., in apportioning its income to Florida.</w:t>
      </w:r>
    </w:p>
    <w:p w14:paraId="2F5C7227" w14:textId="77777777" w:rsidR="000000D1" w:rsidRPr="000000D1" w:rsidRDefault="000000D1" w:rsidP="000000D1">
      <w:pPr>
        <w:ind w:left="1440"/>
        <w:contextualSpacing/>
        <w:rPr>
          <w:rFonts w:eastAsia="Calibri" w:cs="Times New Roman"/>
        </w:rPr>
      </w:pPr>
    </w:p>
    <w:p w14:paraId="089420CE" w14:textId="77777777" w:rsidR="000000D1" w:rsidRPr="000000D1" w:rsidRDefault="000000D1" w:rsidP="000000D1">
      <w:pPr>
        <w:ind w:firstLine="720"/>
        <w:rPr>
          <w:rFonts w:eastAsia="Calibri" w:cs="Times New Roman"/>
          <w:i/>
          <w:iCs/>
        </w:rPr>
      </w:pPr>
      <w:r w:rsidRPr="000000D1">
        <w:rPr>
          <w:rFonts w:eastAsia="Calibri" w:cs="Times New Roman"/>
        </w:rPr>
        <w:t xml:space="preserve">Florida Form F-1065: Partnership Information Return Instructions (2022) </w:t>
      </w:r>
    </w:p>
    <w:p w14:paraId="35BB421F" w14:textId="77777777" w:rsidR="000000D1" w:rsidRPr="000000D1" w:rsidRDefault="000000D1" w:rsidP="000000D1">
      <w:pPr>
        <w:ind w:left="1440"/>
        <w:rPr>
          <w:rFonts w:eastAsia="Calibri" w:cs="Times New Roman"/>
        </w:rPr>
      </w:pPr>
      <w:r w:rsidRPr="000000D1">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6BE47D72" w14:textId="77777777" w:rsidR="000000D1" w:rsidRPr="000000D1" w:rsidRDefault="000000D1" w:rsidP="000000D1">
      <w:pPr>
        <w:pBdr>
          <w:bottom w:val="single" w:sz="4" w:space="0" w:color="auto"/>
        </w:pBdr>
        <w:rPr>
          <w:rFonts w:eastAsia="Calibri" w:cs="Times New Roman"/>
        </w:rPr>
      </w:pPr>
    </w:p>
    <w:p w14:paraId="37AD649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1" w:name="_Toc195435281"/>
      <w:r w:rsidRPr="000000D1">
        <w:rPr>
          <w:rFonts w:ascii="Californian FB" w:eastAsia="Times New Roman" w:hAnsi="Californian FB" w:cs="Times New Roman"/>
          <w:b/>
          <w:color w:val="851C00"/>
          <w:sz w:val="24"/>
          <w:szCs w:val="24"/>
          <w:u w:val="single"/>
        </w:rPr>
        <w:t>Georgia</w:t>
      </w:r>
      <w:bookmarkEnd w:id="101"/>
    </w:p>
    <w:p w14:paraId="11F9D1F3" w14:textId="77777777" w:rsidR="000000D1" w:rsidRPr="000000D1" w:rsidRDefault="000000D1" w:rsidP="000000D1">
      <w:pPr>
        <w:ind w:left="720"/>
        <w:contextualSpacing/>
        <w:rPr>
          <w:rFonts w:eastAsia="Calibri" w:cs="Times New Roman"/>
        </w:rPr>
      </w:pPr>
      <w:r w:rsidRPr="000000D1">
        <w:rPr>
          <w:rFonts w:eastAsia="Calibri" w:cs="Times New Roman"/>
        </w:rPr>
        <w:t xml:space="preserve">Ga. Comp. R. &amp; Regs.  § 560-7-7-.03(4)(e) and 5(f) </w:t>
      </w:r>
    </w:p>
    <w:p w14:paraId="37F814DF" w14:textId="77777777" w:rsidR="000000D1" w:rsidRPr="000000D1" w:rsidRDefault="000000D1" w:rsidP="000000D1">
      <w:pPr>
        <w:contextualSpacing/>
        <w:rPr>
          <w:rFonts w:eastAsia="Calibri" w:cs="Times New Roman"/>
        </w:rPr>
      </w:pPr>
    </w:p>
    <w:p w14:paraId="43456E54" w14:textId="77777777" w:rsidR="000000D1" w:rsidRPr="000000D1" w:rsidRDefault="000000D1" w:rsidP="000000D1">
      <w:pPr>
        <w:ind w:left="1440"/>
        <w:rPr>
          <w:rFonts w:eastAsia="Calibri" w:cs="Times New Roman"/>
        </w:rPr>
      </w:pPr>
      <w:r w:rsidRPr="000000D1">
        <w:rPr>
          <w:rFonts w:eastAsia="Calibri" w:cs="Times New Roman"/>
        </w:rPr>
        <w:lastRenderedPageBreak/>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9A652A6" w14:textId="77777777" w:rsidR="000000D1" w:rsidRPr="000000D1" w:rsidRDefault="000000D1" w:rsidP="000000D1">
      <w:pPr>
        <w:ind w:left="720"/>
        <w:contextualSpacing/>
        <w:rPr>
          <w:rFonts w:eastAsia="Calibri" w:cs="Times New Roman"/>
        </w:rPr>
      </w:pPr>
      <w:r w:rsidRPr="000000D1">
        <w:rPr>
          <w:rFonts w:eastAsia="Calibri" w:cs="Times New Roman"/>
        </w:rPr>
        <w:t xml:space="preserve">Ga. Code Ann. § 48-7-53(c)(3)(C) </w:t>
      </w:r>
      <w:r w:rsidRPr="000000D1">
        <w:rPr>
          <w:rFonts w:eastAsia="Calibri" w:cs="Times New Roman"/>
          <w:i/>
          <w:iCs/>
        </w:rPr>
        <w:t>(</w:t>
      </w:r>
      <w:r w:rsidRPr="000000D1">
        <w:rPr>
          <w:rFonts w:eastAsia="Calibri" w:cs="Times New Roman"/>
        </w:rPr>
        <w:t>in audit situation)</w:t>
      </w:r>
    </w:p>
    <w:p w14:paraId="5CBD84BE" w14:textId="77777777" w:rsidR="000000D1" w:rsidRPr="000000D1" w:rsidRDefault="000000D1" w:rsidP="000000D1">
      <w:pPr>
        <w:contextualSpacing/>
        <w:rPr>
          <w:rFonts w:eastAsia="Calibri" w:cs="Times New Roman"/>
        </w:rPr>
      </w:pPr>
    </w:p>
    <w:p w14:paraId="6D9A5014" w14:textId="77777777" w:rsidR="000000D1" w:rsidRPr="000000D1" w:rsidRDefault="000000D1" w:rsidP="000000D1">
      <w:pPr>
        <w:ind w:left="1440"/>
        <w:rPr>
          <w:rFonts w:eastAsia="Calibri" w:cs="Times New Roman"/>
        </w:rPr>
      </w:pPr>
      <w:r w:rsidRPr="000000D1">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p>
    <w:p w14:paraId="53FEEE0D" w14:textId="77777777" w:rsidR="000000D1" w:rsidRPr="000000D1" w:rsidRDefault="000000D1" w:rsidP="000000D1">
      <w:pPr>
        <w:pBdr>
          <w:bottom w:val="single" w:sz="4" w:space="0" w:color="auto"/>
        </w:pBdr>
        <w:rPr>
          <w:rFonts w:eastAsia="Calibri" w:cs="Times New Roman"/>
        </w:rPr>
      </w:pPr>
    </w:p>
    <w:p w14:paraId="75FF3A0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2" w:name="_Toc195435282"/>
      <w:r w:rsidRPr="000000D1">
        <w:rPr>
          <w:rFonts w:ascii="Californian FB" w:eastAsia="Times New Roman" w:hAnsi="Californian FB" w:cs="Times New Roman"/>
          <w:b/>
          <w:color w:val="851C00"/>
          <w:sz w:val="24"/>
          <w:szCs w:val="24"/>
          <w:u w:val="single"/>
        </w:rPr>
        <w:t>Hawaii</w:t>
      </w:r>
      <w:bookmarkEnd w:id="102"/>
    </w:p>
    <w:p w14:paraId="5B61AEBA" w14:textId="77777777" w:rsidR="000000D1" w:rsidRPr="000000D1" w:rsidRDefault="000000D1" w:rsidP="000000D1">
      <w:pPr>
        <w:ind w:left="720"/>
        <w:contextualSpacing/>
        <w:rPr>
          <w:rFonts w:eastAsia="Calibri" w:cs="Times New Roman"/>
        </w:rPr>
      </w:pPr>
      <w:r w:rsidRPr="000000D1">
        <w:rPr>
          <w:rFonts w:eastAsia="Calibri" w:cs="Times New Roman"/>
        </w:rPr>
        <w:t xml:space="preserve">Haw. Code R. § 18-235-29-04 </w:t>
      </w:r>
    </w:p>
    <w:p w14:paraId="4D78F866" w14:textId="77777777" w:rsidR="000000D1" w:rsidRPr="000000D1" w:rsidRDefault="000000D1" w:rsidP="000000D1">
      <w:pPr>
        <w:contextualSpacing/>
        <w:rPr>
          <w:rFonts w:eastAsia="Calibri" w:cs="Times New Roman"/>
        </w:rPr>
      </w:pPr>
    </w:p>
    <w:p w14:paraId="34DE514C" w14:textId="77777777" w:rsidR="000000D1" w:rsidRPr="000000D1" w:rsidRDefault="000000D1" w:rsidP="000000D1">
      <w:pPr>
        <w:ind w:left="1440"/>
        <w:rPr>
          <w:rFonts w:eastAsia="Calibri" w:cs="Times New Roman"/>
        </w:rPr>
      </w:pPr>
      <w:r w:rsidRPr="000000D1">
        <w:rPr>
          <w:rFonts w:eastAsia="Calibri" w:cs="Times New Roman"/>
        </w:rPr>
        <w:t>(a) If a taxpayer is a partner in a partnership, and the partnership's activities and the taxpayer's activities constitute a unitary business:</w:t>
      </w:r>
    </w:p>
    <w:p w14:paraId="4FE1AE32" w14:textId="77777777" w:rsidR="000000D1" w:rsidRPr="000000D1" w:rsidRDefault="000000D1" w:rsidP="000000D1">
      <w:pPr>
        <w:ind w:left="1440"/>
        <w:rPr>
          <w:rFonts w:eastAsia="Calibri" w:cs="Times New Roman"/>
        </w:rPr>
      </w:pPr>
      <w:r w:rsidRPr="000000D1">
        <w:rPr>
          <w:rFonts w:eastAsia="Calibri" w:cs="Times New Roman"/>
        </w:rPr>
        <w:t>(1) The taxpayer's share of the partnership's trade or business shall be combined with the taxpayer's trade or business;</w:t>
      </w:r>
    </w:p>
    <w:p w14:paraId="1FE488FC" w14:textId="77777777" w:rsidR="000000D1" w:rsidRPr="000000D1" w:rsidRDefault="000000D1" w:rsidP="000000D1">
      <w:pPr>
        <w:ind w:left="1440"/>
        <w:rPr>
          <w:rFonts w:eastAsia="Calibri" w:cs="Times New Roman"/>
        </w:rPr>
      </w:pPr>
      <w:r w:rsidRPr="000000D1">
        <w:rPr>
          <w:rFonts w:eastAsia="Calibri" w:cs="Times New Roman"/>
        </w:rPr>
        <w:t>(2) The property, payroll, and sales factors, or other applicable factors, of the taxpayer and the partnership shall be combined; and</w:t>
      </w:r>
    </w:p>
    <w:p w14:paraId="1D67F6B4" w14:textId="77777777" w:rsidR="000000D1" w:rsidRPr="000000D1" w:rsidRDefault="000000D1" w:rsidP="000000D1">
      <w:pPr>
        <w:ind w:left="1440"/>
        <w:rPr>
          <w:rFonts w:eastAsia="Calibri" w:cs="Times New Roman"/>
        </w:rPr>
      </w:pPr>
      <w:r w:rsidRPr="000000D1">
        <w:rPr>
          <w:rFonts w:eastAsia="Calibri" w:cs="Times New Roman"/>
        </w:rPr>
        <w:t>(3) Intercompany items shall be eliminated, under the principles set forth in section 18-235-22-03.</w:t>
      </w:r>
    </w:p>
    <w:p w14:paraId="387011FC" w14:textId="77777777" w:rsidR="000000D1" w:rsidRPr="000000D1" w:rsidRDefault="000000D1" w:rsidP="000000D1">
      <w:pPr>
        <w:ind w:left="1440"/>
        <w:rPr>
          <w:rFonts w:eastAsia="Calibri" w:cs="Times New Roman"/>
        </w:rPr>
      </w:pPr>
      <w:r w:rsidRPr="000000D1">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E6ECC09" w14:textId="77777777" w:rsidR="000000D1" w:rsidRPr="000000D1" w:rsidRDefault="000000D1" w:rsidP="000000D1">
      <w:pPr>
        <w:ind w:left="1440"/>
        <w:rPr>
          <w:rFonts w:eastAsia="Calibri" w:cs="Times New Roman"/>
        </w:rPr>
      </w:pPr>
      <w:r w:rsidRPr="000000D1">
        <w:rPr>
          <w:rFonts w:eastAsia="Calibri" w:cs="Times New Roman"/>
        </w:rPr>
        <w:t>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totaling $96,800 attributable to the building.</w:t>
      </w:r>
    </w:p>
    <w:p w14:paraId="3B9646CB" w14:textId="77777777" w:rsidR="000000D1" w:rsidRPr="000000D1" w:rsidRDefault="000000D1" w:rsidP="000000D1">
      <w:pPr>
        <w:ind w:left="1440"/>
        <w:rPr>
          <w:rFonts w:eastAsia="Calibri" w:cs="Times New Roman"/>
        </w:rPr>
      </w:pPr>
      <w:r w:rsidRPr="000000D1">
        <w:rPr>
          <w:rFonts w:eastAsia="Calibri" w:cs="Times New Roman"/>
        </w:rPr>
        <w:t xml:space="preserve">(b) If a taxpayer is a partner in a partnership, and the partnership's activities and the taxpayer's activities do not constitute a unitary business, the partnership shall allocate </w:t>
      </w:r>
      <w:r w:rsidRPr="000000D1">
        <w:rPr>
          <w:rFonts w:eastAsia="Calibri" w:cs="Times New Roman"/>
        </w:rPr>
        <w:lastRenderedPageBreak/>
        <w:t>and apportion its income at the partnership level. The taxpayer's distributive share of the partnership's income allocated or apportioned to this State shall not be subject to further apportionment by the taxpayer.</w:t>
      </w:r>
    </w:p>
    <w:p w14:paraId="0F26A534" w14:textId="77777777" w:rsidR="000000D1" w:rsidRPr="000000D1" w:rsidRDefault="000000D1" w:rsidP="000000D1">
      <w:pPr>
        <w:ind w:left="1440"/>
        <w:rPr>
          <w:rFonts w:eastAsia="Calibri" w:cs="Times New Roman"/>
        </w:rPr>
      </w:pPr>
      <w:r w:rsidRPr="000000D1">
        <w:rPr>
          <w:rFonts w:eastAsia="Calibri" w:cs="Times New Roman"/>
        </w:rPr>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589C6BFE" w14:textId="77777777" w:rsidR="000000D1" w:rsidRPr="000000D1" w:rsidRDefault="000000D1" w:rsidP="000000D1">
      <w:pPr>
        <w:pBdr>
          <w:bottom w:val="single" w:sz="4" w:space="0" w:color="auto"/>
        </w:pBdr>
        <w:rPr>
          <w:rFonts w:eastAsia="Calibri" w:cs="Times New Roman"/>
        </w:rPr>
      </w:pPr>
    </w:p>
    <w:p w14:paraId="03E7E0A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3" w:name="_Toc195435283"/>
      <w:r w:rsidRPr="000000D1">
        <w:rPr>
          <w:rFonts w:ascii="Californian FB" w:eastAsia="Times New Roman" w:hAnsi="Californian FB" w:cs="Times New Roman"/>
          <w:b/>
          <w:color w:val="851C00"/>
          <w:sz w:val="24"/>
          <w:szCs w:val="24"/>
          <w:u w:val="single"/>
        </w:rPr>
        <w:t>Idaho</w:t>
      </w:r>
      <w:bookmarkEnd w:id="103"/>
    </w:p>
    <w:p w14:paraId="71A1C699" w14:textId="77777777" w:rsidR="000000D1" w:rsidRPr="000000D1" w:rsidRDefault="000000D1" w:rsidP="000000D1">
      <w:pPr>
        <w:ind w:left="720"/>
        <w:contextualSpacing/>
        <w:rPr>
          <w:rFonts w:eastAsia="Calibri" w:cs="Times New Roman"/>
        </w:rPr>
      </w:pPr>
      <w:r w:rsidRPr="000000D1">
        <w:rPr>
          <w:rFonts w:eastAsia="Calibri" w:cs="Times New Roman"/>
        </w:rPr>
        <w:t xml:space="preserve">Idaho Admin. Code r. 35.01.01.620 </w:t>
      </w:r>
    </w:p>
    <w:p w14:paraId="664CBF4F" w14:textId="77777777" w:rsidR="000000D1" w:rsidRPr="000000D1" w:rsidRDefault="000000D1" w:rsidP="000000D1">
      <w:pPr>
        <w:contextualSpacing/>
        <w:rPr>
          <w:rFonts w:eastAsia="Calibri" w:cs="Times New Roman"/>
        </w:rPr>
      </w:pPr>
    </w:p>
    <w:p w14:paraId="295430E9" w14:textId="77777777" w:rsidR="000000D1" w:rsidRPr="000000D1" w:rsidRDefault="000000D1" w:rsidP="000000D1">
      <w:pPr>
        <w:ind w:left="1440"/>
        <w:rPr>
          <w:rFonts w:eastAsia="Calibri" w:cs="Times New Roman"/>
        </w:rPr>
      </w:pPr>
      <w:r w:rsidRPr="000000D1">
        <w:rPr>
          <w:rFonts w:eastAsia="Calibri" w:cs="Times New Roman"/>
        </w:rPr>
        <w:t>01. In General. If a corporation required to file an Idaho income tax return is a member of an operating partnership, the corporation is to report its Idaho taxable income, including its share of income from the partnership, in accordance with this rule. For purposes of this rule, the term partnership includes a joint venture.</w:t>
      </w:r>
    </w:p>
    <w:p w14:paraId="1DE5341C" w14:textId="77777777" w:rsidR="000000D1" w:rsidRPr="000000D1" w:rsidRDefault="000000D1" w:rsidP="000000D1">
      <w:pPr>
        <w:ind w:left="1440"/>
        <w:rPr>
          <w:rFonts w:eastAsia="Calibri" w:cs="Times New Roman"/>
        </w:rPr>
      </w:pPr>
      <w:r w:rsidRPr="000000D1">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7D0CEB5D" w14:textId="77777777" w:rsidR="000000D1" w:rsidRPr="000000D1" w:rsidRDefault="000000D1" w:rsidP="000000D1">
      <w:pPr>
        <w:ind w:left="1440"/>
        <w:rPr>
          <w:rFonts w:eastAsia="Calibri" w:cs="Times New Roman"/>
        </w:rPr>
      </w:pPr>
      <w:r w:rsidRPr="000000D1">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73AE3CC7" w14:textId="77777777" w:rsidR="000000D1" w:rsidRPr="000000D1" w:rsidRDefault="000000D1" w:rsidP="000000D1">
      <w:pPr>
        <w:ind w:left="1440"/>
        <w:rPr>
          <w:rFonts w:eastAsia="Calibri" w:cs="Times New Roman"/>
        </w:rPr>
      </w:pPr>
      <w:r w:rsidRPr="000000D1">
        <w:rPr>
          <w:rFonts w:eastAsia="Calibri" w:cs="Times New Roman"/>
        </w:rPr>
        <w:t>04. Partnership Income as Apportionable Income of the Partner.</w:t>
      </w:r>
    </w:p>
    <w:p w14:paraId="7E5E9101" w14:textId="77777777" w:rsidR="000000D1" w:rsidRPr="000000D1" w:rsidRDefault="000000D1" w:rsidP="000000D1">
      <w:pPr>
        <w:ind w:left="1440"/>
        <w:rPr>
          <w:rFonts w:eastAsia="Calibri" w:cs="Times New Roman"/>
        </w:rPr>
      </w:pPr>
      <w:r w:rsidRPr="000000D1">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0CEDD72A" w14:textId="77777777" w:rsidR="000000D1" w:rsidRPr="000000D1" w:rsidRDefault="000000D1" w:rsidP="000000D1">
      <w:pPr>
        <w:ind w:left="1440"/>
        <w:rPr>
          <w:rFonts w:eastAsia="Calibri" w:cs="Times New Roman"/>
        </w:rPr>
      </w:pPr>
      <w:r w:rsidRPr="000000D1">
        <w:rPr>
          <w:rFonts w:eastAsia="Calibri" w:cs="Times New Roman"/>
        </w:rPr>
        <w:t xml:space="preserve">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w:t>
      </w:r>
      <w:r w:rsidRPr="000000D1">
        <w:rPr>
          <w:rFonts w:eastAsia="Calibri" w:cs="Times New Roman"/>
        </w:rPr>
        <w:lastRenderedPageBreak/>
        <w:t>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B642D38" w14:textId="77777777" w:rsidR="000000D1" w:rsidRPr="000000D1" w:rsidRDefault="000000D1" w:rsidP="000000D1">
      <w:pPr>
        <w:ind w:left="720" w:firstLine="720"/>
        <w:rPr>
          <w:rFonts w:eastAsia="Calibri" w:cs="Times New Roman"/>
        </w:rPr>
      </w:pPr>
      <w:r w:rsidRPr="000000D1">
        <w:rPr>
          <w:rFonts w:eastAsia="Calibri" w:cs="Times New Roman"/>
        </w:rPr>
        <w:t>05. Partnership Income as Nonapportionable Income of Partner.</w:t>
      </w:r>
    </w:p>
    <w:p w14:paraId="6D277157" w14:textId="77777777" w:rsidR="000000D1" w:rsidRPr="000000D1" w:rsidRDefault="000000D1" w:rsidP="000000D1">
      <w:pPr>
        <w:ind w:left="1440"/>
        <w:rPr>
          <w:rFonts w:eastAsia="Calibri" w:cs="Times New Roman"/>
        </w:rPr>
      </w:pPr>
      <w:r w:rsidRPr="000000D1">
        <w:rPr>
          <w:rFonts w:eastAsia="Calibri" w:cs="Times New Roman"/>
        </w:rPr>
        <w:t>a. Income. If the partnership income or loss is not apportionable income to a corporate partner, the income is nonapportionable income as defined in Section 63-3027(1)(h), Idaho Code, and Rules 335 through 339 of these rules. The corporate partner is to allocate the nonapportionable income to the state in which it was earned. The corporate partner, on its Idaho corporation income tax return, is to specifically allocate to Idaho its share of the nonapportionable income attributable to Idaho.</w:t>
      </w:r>
    </w:p>
    <w:p w14:paraId="1D34190F" w14:textId="77777777" w:rsidR="000000D1" w:rsidRPr="000000D1" w:rsidRDefault="000000D1" w:rsidP="000000D1">
      <w:pPr>
        <w:ind w:left="1440"/>
        <w:rPr>
          <w:rFonts w:eastAsia="Calibri" w:cs="Times New Roman"/>
        </w:rPr>
      </w:pPr>
      <w:r w:rsidRPr="000000D1">
        <w:rPr>
          <w:rFonts w:eastAsia="Calibri" w:cs="Times New Roman"/>
        </w:rPr>
        <w:t>b. Factors. If the partnership income or loss is nonapportionable income to the corporate partner, none of the partnership property, payroll, or sales may be included in the computation of the factors of the corporation.</w:t>
      </w:r>
    </w:p>
    <w:p w14:paraId="72B21110" w14:textId="77777777" w:rsidR="000000D1" w:rsidRPr="000000D1" w:rsidRDefault="000000D1" w:rsidP="000000D1">
      <w:pPr>
        <w:ind w:left="720"/>
        <w:contextualSpacing/>
        <w:rPr>
          <w:rFonts w:eastAsia="Calibri" w:cs="Times New Roman"/>
          <w:i/>
          <w:iCs/>
        </w:rPr>
      </w:pPr>
      <w:r w:rsidRPr="000000D1">
        <w:rPr>
          <w:rFonts w:eastAsia="Calibri" w:cs="Times New Roman"/>
        </w:rPr>
        <w:t>Idaho Admin. Code r. 35.01.01.785(01)(d) (01/01/2006)</w:t>
      </w:r>
    </w:p>
    <w:p w14:paraId="344590FE" w14:textId="77777777" w:rsidR="000000D1" w:rsidRPr="000000D1" w:rsidRDefault="000000D1" w:rsidP="000000D1">
      <w:pPr>
        <w:contextualSpacing/>
        <w:rPr>
          <w:rFonts w:eastAsia="Calibri" w:cs="Times New Roman"/>
        </w:rPr>
      </w:pPr>
    </w:p>
    <w:p w14:paraId="6BD8359D" w14:textId="77777777" w:rsidR="000000D1" w:rsidRPr="000000D1" w:rsidRDefault="000000D1" w:rsidP="000000D1">
      <w:pPr>
        <w:ind w:left="1440"/>
        <w:rPr>
          <w:rFonts w:eastAsia="Calibri" w:cs="Times New Roman"/>
        </w:rPr>
      </w:pPr>
      <w:r w:rsidRPr="000000D1">
        <w:rPr>
          <w:rFonts w:eastAsia="Calibri" w:cs="Times New Roman"/>
        </w:rPr>
        <w:t>Idaho credits may not pass through to partners or owners based on special  allocations.</w:t>
      </w:r>
    </w:p>
    <w:p w14:paraId="608DC3F7" w14:textId="77777777" w:rsidR="000000D1" w:rsidRPr="000000D1" w:rsidRDefault="000000D1" w:rsidP="000000D1">
      <w:pPr>
        <w:ind w:left="720" w:firstLine="40"/>
        <w:rPr>
          <w:rFonts w:eastAsia="Calibri" w:cs="Times New Roman"/>
        </w:rPr>
      </w:pPr>
      <w:r w:rsidRPr="000000D1">
        <w:rPr>
          <w:rFonts w:eastAsia="Calibri" w:cs="Times New Roman"/>
          <w:i/>
          <w:iCs/>
        </w:rPr>
        <w:t>Anheuser-Busch InBev Worldwide, Inc. v. Idaho State Tax Commission</w:t>
      </w:r>
      <w:r w:rsidRPr="000000D1">
        <w:rPr>
          <w:rFonts w:eastAsia="Calibri" w:cs="Times New Roman"/>
        </w:rPr>
        <w:t xml:space="preserve">, No. CV01-23-3452 (Idaho District Ct.  07/08/2024) </w:t>
      </w:r>
    </w:p>
    <w:p w14:paraId="39A3C55B" w14:textId="77777777" w:rsidR="000000D1" w:rsidRPr="000000D1" w:rsidRDefault="000000D1" w:rsidP="000000D1">
      <w:pPr>
        <w:ind w:left="1440"/>
        <w:rPr>
          <w:rFonts w:eastAsia="Calibri" w:cs="Times New Roman"/>
        </w:rPr>
      </w:pPr>
      <w:r w:rsidRPr="000000D1">
        <w:rPr>
          <w:rFonts w:eastAsia="Calibri" w:cs="Times New Roman"/>
        </w:rPr>
        <w:t>Holding that Idaho correctly flowed through the partnership’s apportionment factors to the corporate partner.</w:t>
      </w:r>
    </w:p>
    <w:p w14:paraId="5AD6F9BE" w14:textId="77777777" w:rsidR="000000D1" w:rsidRPr="000000D1" w:rsidRDefault="000000D1" w:rsidP="000000D1">
      <w:pPr>
        <w:pBdr>
          <w:bottom w:val="single" w:sz="4" w:space="0" w:color="auto"/>
        </w:pBdr>
        <w:rPr>
          <w:rFonts w:eastAsia="Calibri" w:cs="Times New Roman"/>
        </w:rPr>
      </w:pPr>
    </w:p>
    <w:p w14:paraId="0437C50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4" w:name="_Toc195435284"/>
      <w:r w:rsidRPr="000000D1">
        <w:rPr>
          <w:rFonts w:ascii="Californian FB" w:eastAsia="Times New Roman" w:hAnsi="Californian FB" w:cs="Times New Roman"/>
          <w:b/>
          <w:color w:val="851C00"/>
          <w:sz w:val="24"/>
          <w:szCs w:val="24"/>
          <w:u w:val="single"/>
        </w:rPr>
        <w:t>Illinois</w:t>
      </w:r>
      <w:bookmarkEnd w:id="104"/>
    </w:p>
    <w:p w14:paraId="6A8DFFDE" w14:textId="77777777" w:rsidR="000000D1" w:rsidRPr="000000D1" w:rsidRDefault="000000D1" w:rsidP="000000D1">
      <w:pPr>
        <w:ind w:left="720"/>
        <w:contextualSpacing/>
        <w:rPr>
          <w:rFonts w:eastAsia="Calibri" w:cs="Times New Roman"/>
        </w:rPr>
      </w:pPr>
      <w:r w:rsidRPr="000000D1">
        <w:rPr>
          <w:rFonts w:eastAsia="Calibri" w:cs="Times New Roman"/>
        </w:rPr>
        <w:t xml:space="preserve">35 Ill. Comp. Stat. 5/305 </w:t>
      </w:r>
    </w:p>
    <w:p w14:paraId="649DEA8C" w14:textId="77777777" w:rsidR="000000D1" w:rsidRPr="000000D1" w:rsidRDefault="000000D1" w:rsidP="000000D1">
      <w:pPr>
        <w:ind w:left="720"/>
        <w:contextualSpacing/>
        <w:rPr>
          <w:rFonts w:eastAsia="Calibri" w:cs="Times New Roman"/>
        </w:rPr>
      </w:pPr>
    </w:p>
    <w:p w14:paraId="193BE337" w14:textId="77777777" w:rsidR="000000D1" w:rsidRPr="000000D1" w:rsidRDefault="000000D1" w:rsidP="000000D1">
      <w:pPr>
        <w:ind w:left="1440"/>
        <w:contextualSpacing/>
        <w:rPr>
          <w:rFonts w:eastAsia="Calibri" w:cs="Times New Roman"/>
        </w:rPr>
      </w:pPr>
      <w:r w:rsidRPr="000000D1">
        <w:rPr>
          <w:rFonts w:eastAsia="Calibri" w:cs="Times New Roman"/>
        </w:rPr>
        <w:t>(a)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their respective distributive shares of such partnership income for the partnership's taxable year and allocated to this State.</w:t>
      </w:r>
    </w:p>
    <w:p w14:paraId="29886D1A" w14:textId="77777777" w:rsidR="000000D1" w:rsidRPr="000000D1" w:rsidRDefault="000000D1" w:rsidP="000000D1">
      <w:pPr>
        <w:ind w:left="720"/>
        <w:contextualSpacing/>
        <w:rPr>
          <w:rFonts w:eastAsia="Calibri" w:cs="Times New Roman"/>
        </w:rPr>
      </w:pPr>
    </w:p>
    <w:p w14:paraId="71CE5A28" w14:textId="77777777" w:rsidR="000000D1" w:rsidRPr="000000D1" w:rsidRDefault="000000D1" w:rsidP="000000D1">
      <w:pPr>
        <w:ind w:left="1440"/>
        <w:contextualSpacing/>
        <w:rPr>
          <w:rFonts w:eastAsia="Calibri" w:cs="Times New Roman"/>
        </w:rPr>
      </w:pPr>
      <w:r w:rsidRPr="000000D1">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146596F6" w14:textId="77777777" w:rsidR="000000D1" w:rsidRPr="000000D1" w:rsidRDefault="000000D1" w:rsidP="000000D1">
      <w:pPr>
        <w:ind w:left="1440"/>
        <w:contextualSpacing/>
        <w:rPr>
          <w:rFonts w:eastAsia="Calibri" w:cs="Times New Roman"/>
        </w:rPr>
      </w:pPr>
    </w:p>
    <w:p w14:paraId="185D1A89" w14:textId="77777777" w:rsidR="000000D1" w:rsidRPr="000000D1" w:rsidRDefault="000000D1" w:rsidP="000000D1">
      <w:pPr>
        <w:ind w:left="1440"/>
        <w:contextualSpacing/>
        <w:rPr>
          <w:rFonts w:eastAsia="Calibri" w:cs="Times New Roman"/>
        </w:rPr>
      </w:pPr>
      <w:r w:rsidRPr="000000D1">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 . . .</w:t>
      </w:r>
    </w:p>
    <w:p w14:paraId="46CFB1F7"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r w:rsidRPr="000000D1">
        <w:rPr>
          <w:rFonts w:eastAsia="Calibri" w:cs="Times New Roman"/>
        </w:rPr>
        <w:tab/>
      </w:r>
    </w:p>
    <w:p w14:paraId="28EB336A" w14:textId="77777777" w:rsidR="000000D1" w:rsidRPr="000000D1" w:rsidRDefault="000000D1" w:rsidP="000000D1">
      <w:pPr>
        <w:ind w:left="720"/>
        <w:contextualSpacing/>
        <w:rPr>
          <w:rFonts w:eastAsia="Calibri" w:cs="Times New Roman"/>
        </w:rPr>
      </w:pPr>
      <w:r w:rsidRPr="000000D1">
        <w:rPr>
          <w:rFonts w:eastAsia="Calibri" w:cs="Times New Roman"/>
        </w:rPr>
        <w:t xml:space="preserve"> Ill. Admin. Code tit. 86, § 100.3500(d) </w:t>
      </w:r>
    </w:p>
    <w:p w14:paraId="62202573" w14:textId="77777777" w:rsidR="000000D1" w:rsidRPr="000000D1" w:rsidRDefault="000000D1" w:rsidP="000000D1">
      <w:pPr>
        <w:contextualSpacing/>
        <w:rPr>
          <w:rFonts w:eastAsia="Calibri" w:cs="Times New Roman"/>
        </w:rPr>
      </w:pPr>
    </w:p>
    <w:p w14:paraId="0649929C" w14:textId="77777777" w:rsidR="000000D1" w:rsidRPr="000000D1" w:rsidRDefault="000000D1" w:rsidP="000000D1">
      <w:pPr>
        <w:ind w:left="1440"/>
        <w:contextualSpacing/>
        <w:rPr>
          <w:rFonts w:eastAsia="Calibri" w:cs="Times New Roman"/>
        </w:rPr>
      </w:pPr>
      <w:r w:rsidRPr="000000D1">
        <w:rPr>
          <w:rFonts w:eastAsia="Calibri" w:cs="Times New Roman"/>
        </w:rPr>
        <w:t>Allocation and Apportionment of Base Income by Nonresident Partners</w:t>
      </w:r>
    </w:p>
    <w:p w14:paraId="4F8A1861" w14:textId="77777777" w:rsidR="000000D1" w:rsidRPr="000000D1" w:rsidRDefault="000000D1" w:rsidP="000000D1">
      <w:pPr>
        <w:ind w:left="1440"/>
        <w:contextualSpacing/>
        <w:rPr>
          <w:rFonts w:eastAsia="Calibri" w:cs="Times New Roman"/>
        </w:rPr>
      </w:pPr>
    </w:p>
    <w:p w14:paraId="7FD6136E" w14:textId="77777777" w:rsidR="000000D1" w:rsidRPr="000000D1" w:rsidRDefault="000000D1" w:rsidP="000000D1">
      <w:pPr>
        <w:ind w:left="1440"/>
        <w:contextualSpacing/>
        <w:rPr>
          <w:rFonts w:eastAsia="Calibri" w:cs="Times New Roman"/>
        </w:rPr>
      </w:pPr>
      <w:r w:rsidRPr="000000D1">
        <w:rPr>
          <w:rFonts w:eastAsia="Calibri" w:cs="Times New Roman"/>
        </w:rPr>
        <w:t>a)         In General.</w:t>
      </w:r>
    </w:p>
    <w:p w14:paraId="52B46D21"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6ECB62BA" w14:textId="77777777" w:rsidR="000000D1" w:rsidRPr="000000D1" w:rsidRDefault="000000D1" w:rsidP="000000D1">
      <w:pPr>
        <w:ind w:left="1440"/>
        <w:contextualSpacing/>
        <w:rPr>
          <w:rFonts w:eastAsia="Calibri" w:cs="Times New Roman"/>
        </w:rPr>
      </w:pPr>
      <w:r w:rsidRPr="000000D1">
        <w:rPr>
          <w:rFonts w:eastAsia="Calibri" w:cs="Times New Roman"/>
        </w:rPr>
        <w:t>1)         This Section provides guidance for allocation and apportionment of base income by nonresidents.  All base income of a resident is allocated to Illinois pursuant to IITA Section 301(a) . . .</w:t>
      </w:r>
    </w:p>
    <w:p w14:paraId="0B976E50" w14:textId="77777777" w:rsidR="000000D1" w:rsidRPr="000000D1" w:rsidRDefault="000000D1" w:rsidP="000000D1">
      <w:pPr>
        <w:ind w:left="1440"/>
        <w:contextualSpacing/>
        <w:rPr>
          <w:rFonts w:eastAsia="Calibri" w:cs="Times New Roman"/>
        </w:rPr>
      </w:pPr>
    </w:p>
    <w:p w14:paraId="4B6FA68A" w14:textId="77777777" w:rsidR="000000D1" w:rsidRPr="000000D1" w:rsidRDefault="000000D1" w:rsidP="000000D1">
      <w:pPr>
        <w:ind w:left="1440"/>
        <w:contextualSpacing/>
        <w:rPr>
          <w:rFonts w:eastAsia="Calibri" w:cs="Times New Roman"/>
        </w:rPr>
      </w:pPr>
      <w:r w:rsidRPr="000000D1">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1554CDCF"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71683139" w14:textId="77777777" w:rsidR="000000D1" w:rsidRPr="000000D1" w:rsidRDefault="000000D1" w:rsidP="000000D1">
      <w:pPr>
        <w:ind w:left="1440"/>
        <w:contextualSpacing/>
        <w:rPr>
          <w:rFonts w:eastAsia="Calibri" w:cs="Times New Roman"/>
        </w:rPr>
      </w:pPr>
      <w:r w:rsidRPr="000000D1">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45354C4C"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28BCCB5D" w14:textId="77777777" w:rsidR="000000D1" w:rsidRPr="000000D1" w:rsidRDefault="000000D1" w:rsidP="000000D1">
      <w:pPr>
        <w:ind w:left="1440"/>
        <w:contextualSpacing/>
        <w:rPr>
          <w:rFonts w:eastAsia="Calibri" w:cs="Times New Roman"/>
        </w:rPr>
      </w:pPr>
      <w:r w:rsidRPr="000000D1">
        <w:rPr>
          <w:rFonts w:eastAsia="Calibri" w:cs="Times New Roman"/>
        </w:rPr>
        <w:t>b)         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6DD27AC3"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3EBC6BB9" w14:textId="77777777" w:rsidR="000000D1" w:rsidRPr="000000D1" w:rsidRDefault="000000D1" w:rsidP="000000D1">
      <w:pPr>
        <w:ind w:left="1440"/>
        <w:contextualSpacing/>
        <w:rPr>
          <w:rFonts w:eastAsia="Calibri" w:cs="Times New Roman"/>
        </w:rPr>
      </w:pPr>
      <w:r w:rsidRPr="000000D1">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5D7D6CCD"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2FC3D116" w14:textId="77777777" w:rsidR="000000D1" w:rsidRPr="000000D1" w:rsidRDefault="000000D1" w:rsidP="000000D1">
      <w:pPr>
        <w:ind w:left="1440"/>
        <w:contextualSpacing/>
        <w:rPr>
          <w:rFonts w:eastAsia="Calibri" w:cs="Times New Roman"/>
        </w:rPr>
      </w:pPr>
      <w:r w:rsidRPr="000000D1">
        <w:rPr>
          <w:rFonts w:eastAsia="Calibri" w:cs="Times New Roman"/>
        </w:rPr>
        <w:t>2)         Business income of the partnership shall be apportioned to this State pursuant to IITA Section 304, in the same manner as it is allocated or apportioned for any other nonresident.  (IITA Section 305(c))</w:t>
      </w:r>
    </w:p>
    <w:p w14:paraId="0638FFF4"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53BFE7A4" w14:textId="77777777" w:rsidR="000000D1" w:rsidRPr="000000D1" w:rsidRDefault="000000D1" w:rsidP="000000D1">
      <w:pPr>
        <w:ind w:left="1440"/>
        <w:contextualSpacing/>
        <w:rPr>
          <w:rFonts w:eastAsia="Calibri" w:cs="Times New Roman"/>
        </w:rPr>
      </w:pPr>
      <w:r w:rsidRPr="000000D1">
        <w:rPr>
          <w:rFonts w:eastAsia="Calibri" w:cs="Times New Roman"/>
        </w:rPr>
        <w:t>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04265AAB"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4E710EAA" w14:textId="77777777" w:rsidR="000000D1" w:rsidRPr="000000D1" w:rsidRDefault="000000D1" w:rsidP="000000D1">
      <w:pPr>
        <w:ind w:left="1440"/>
        <w:contextualSpacing/>
        <w:rPr>
          <w:rFonts w:eastAsia="Calibri" w:cs="Times New Roman"/>
        </w:rPr>
      </w:pPr>
      <w:r w:rsidRPr="000000D1">
        <w:rPr>
          <w:rFonts w:eastAsia="Calibri" w:cs="Times New Roman"/>
        </w:rPr>
        <w:t>c)         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624C609B" w14:textId="77777777" w:rsidR="000000D1" w:rsidRPr="000000D1" w:rsidRDefault="000000D1" w:rsidP="000000D1">
      <w:pPr>
        <w:contextualSpacing/>
        <w:rPr>
          <w:rFonts w:eastAsia="Calibri" w:cs="Times New Roman"/>
        </w:rPr>
      </w:pPr>
    </w:p>
    <w:p w14:paraId="2722F3C6"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Ill. Admin. Code tit. 86, § 100.3380(d) </w:t>
      </w:r>
    </w:p>
    <w:p w14:paraId="02EEC821" w14:textId="77777777" w:rsidR="000000D1" w:rsidRPr="000000D1" w:rsidRDefault="000000D1" w:rsidP="000000D1">
      <w:pPr>
        <w:contextualSpacing/>
        <w:rPr>
          <w:rFonts w:eastAsia="Calibri" w:cs="Times New Roman"/>
        </w:rPr>
      </w:pPr>
    </w:p>
    <w:p w14:paraId="1D803B42" w14:textId="77777777" w:rsidR="000000D1" w:rsidRPr="000000D1" w:rsidRDefault="000000D1" w:rsidP="000000D1">
      <w:pPr>
        <w:ind w:left="1440"/>
        <w:rPr>
          <w:rFonts w:eastAsia="Calibri" w:cs="Times New Roman"/>
        </w:rPr>
      </w:pPr>
      <w:r w:rsidRPr="000000D1">
        <w:rPr>
          <w:rFonts w:eastAsia="Calibri" w:cs="Times New Roman"/>
        </w:rPr>
        <w:lastRenderedPageBreak/>
        <w:t>Unitary Partners: Inclusion of Shares of Partnership Unitary Business Income and Factors in Combined Unitary Business Income and Factors of Partners</w:t>
      </w:r>
    </w:p>
    <w:p w14:paraId="5B6E1F54" w14:textId="77777777" w:rsidR="000000D1" w:rsidRPr="000000D1" w:rsidRDefault="000000D1" w:rsidP="000000D1">
      <w:pPr>
        <w:ind w:left="1440"/>
        <w:rPr>
          <w:rFonts w:eastAsia="Calibri" w:cs="Times New Roman"/>
        </w:rPr>
      </w:pPr>
      <w:r w:rsidRPr="000000D1">
        <w:rPr>
          <w:rFonts w:eastAsia="Calibri" w:cs="Times New Roman"/>
        </w:rPr>
        <w:t>1) 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2AB4CDE2" w14:textId="77777777" w:rsidR="000000D1" w:rsidRPr="000000D1" w:rsidRDefault="000000D1" w:rsidP="000000D1">
      <w:pPr>
        <w:ind w:left="1440"/>
        <w:rPr>
          <w:rFonts w:eastAsia="Calibri" w:cs="Times New Roman"/>
        </w:rPr>
      </w:pPr>
      <w:r w:rsidRPr="000000D1">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754B0DF2" w14:textId="77777777" w:rsidR="000000D1" w:rsidRPr="000000D1" w:rsidRDefault="000000D1" w:rsidP="000000D1">
      <w:pPr>
        <w:ind w:left="1440"/>
        <w:rPr>
          <w:rFonts w:eastAsia="Calibri" w:cs="Times New Roman"/>
        </w:rPr>
      </w:pPr>
      <w:r w:rsidRPr="000000D1">
        <w:rPr>
          <w:rFonts w:eastAsia="Calibri" w:cs="Times New Roman"/>
        </w:rPr>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5B62FB9E" w14:textId="77777777" w:rsidR="000000D1" w:rsidRPr="000000D1" w:rsidRDefault="000000D1" w:rsidP="000000D1">
      <w:pPr>
        <w:ind w:left="1440"/>
        <w:rPr>
          <w:rFonts w:eastAsia="Calibri" w:cs="Times New Roman"/>
        </w:rPr>
      </w:pPr>
      <w:r w:rsidRPr="000000D1">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7F5BBC3A" w14:textId="77777777" w:rsidR="000000D1" w:rsidRPr="000000D1" w:rsidRDefault="000000D1" w:rsidP="000000D1">
      <w:pPr>
        <w:ind w:left="1440"/>
        <w:rPr>
          <w:rFonts w:eastAsia="Calibri" w:cs="Times New Roman"/>
        </w:rPr>
      </w:pPr>
      <w:r w:rsidRPr="000000D1">
        <w:rPr>
          <w:rFonts w:eastAsia="Calibri" w:cs="Times New Roman"/>
        </w:rPr>
        <w:t>B) If a partnership and one of its partners are engaged in a unitary business and the partnership is itself a partner in a second partnership:</w:t>
      </w:r>
    </w:p>
    <w:p w14:paraId="7D51097C" w14:textId="77777777" w:rsidR="000000D1" w:rsidRPr="000000D1" w:rsidRDefault="000000D1" w:rsidP="000000D1">
      <w:pPr>
        <w:ind w:left="1440"/>
        <w:rPr>
          <w:rFonts w:eastAsia="Calibri" w:cs="Times New Roman"/>
        </w:rPr>
      </w:pPr>
      <w:r w:rsidRPr="000000D1">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28E5C32C" w14:textId="77777777" w:rsidR="000000D1" w:rsidRPr="000000D1" w:rsidRDefault="000000D1" w:rsidP="000000D1">
      <w:pPr>
        <w:ind w:left="1440"/>
        <w:rPr>
          <w:rFonts w:eastAsia="Calibri" w:cs="Times New Roman"/>
        </w:rPr>
      </w:pPr>
      <w:r w:rsidRPr="000000D1">
        <w:rPr>
          <w:rFonts w:eastAsia="Calibri" w:cs="Times New Roman"/>
        </w:rPr>
        <w:t xml:space="preserve">ii) If the partner is engaged in a unitary business with the second partnership, the partner's share of the first partnership's share of the business income and apportionment </w:t>
      </w:r>
      <w:r w:rsidRPr="000000D1">
        <w:rPr>
          <w:rFonts w:eastAsia="Calibri" w:cs="Times New Roman"/>
        </w:rPr>
        <w:lastRenderedPageBreak/>
        <w:t>factors of the second partnership shall be included in the partner's business income and apportionment factors.</w:t>
      </w:r>
    </w:p>
    <w:p w14:paraId="117D42D5" w14:textId="77777777" w:rsidR="000000D1" w:rsidRPr="000000D1" w:rsidRDefault="000000D1" w:rsidP="000000D1">
      <w:pPr>
        <w:ind w:left="1440"/>
        <w:rPr>
          <w:rFonts w:eastAsia="Calibri" w:cs="Times New Roman"/>
        </w:rPr>
      </w:pPr>
      <w:r w:rsidRPr="000000D1">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0D79A2AC" w14:textId="77777777" w:rsidR="000000D1" w:rsidRPr="000000D1" w:rsidRDefault="000000D1" w:rsidP="000000D1">
      <w:pPr>
        <w:ind w:left="1440"/>
        <w:rPr>
          <w:rFonts w:eastAsia="Calibri" w:cs="Times New Roman"/>
        </w:rPr>
      </w:pPr>
      <w:r w:rsidRPr="000000D1">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0E626A4B" w14:textId="77777777" w:rsidR="000000D1" w:rsidRPr="000000D1" w:rsidRDefault="000000D1" w:rsidP="000000D1">
      <w:pPr>
        <w:ind w:left="1440"/>
        <w:rPr>
          <w:rFonts w:eastAsia="Calibri" w:cs="Times New Roman"/>
        </w:rPr>
      </w:pPr>
      <w:r w:rsidRPr="000000D1">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70946F7F" w14:textId="77777777" w:rsidR="000000D1" w:rsidRPr="000000D1" w:rsidRDefault="000000D1" w:rsidP="000000D1">
      <w:pPr>
        <w:ind w:left="1440"/>
        <w:rPr>
          <w:rFonts w:eastAsia="Calibri" w:cs="Times New Roman"/>
        </w:rPr>
      </w:pPr>
      <w:r w:rsidRPr="000000D1">
        <w:rPr>
          <w:rFonts w:eastAsia="Calibri" w:cs="Times New Roman"/>
        </w:rPr>
        <w:t>3) This subsection (d) does not apply to a partner's shares of business income and apportionment factors from any partnership that cannot be included in a unitary business group with that partner.</w:t>
      </w:r>
    </w:p>
    <w:p w14:paraId="09865A72" w14:textId="77777777" w:rsidR="000000D1" w:rsidRPr="000000D1" w:rsidRDefault="000000D1" w:rsidP="000000D1">
      <w:pPr>
        <w:ind w:left="1440"/>
        <w:rPr>
          <w:rFonts w:eastAsia="Calibri" w:cs="Times New Roman"/>
        </w:rPr>
      </w:pPr>
      <w:r w:rsidRPr="000000D1">
        <w:rPr>
          <w:rFonts w:eastAsia="Calibri" w:cs="Times New Roman"/>
        </w:rPr>
        <w:t>A) This subsection (d) does not apply because:</w:t>
      </w:r>
    </w:p>
    <w:p w14:paraId="02486BE9" w14:textId="77777777" w:rsidR="000000D1" w:rsidRPr="000000D1" w:rsidRDefault="000000D1" w:rsidP="000000D1">
      <w:pPr>
        <w:ind w:left="1440"/>
        <w:rPr>
          <w:rFonts w:eastAsia="Calibri" w:cs="Times New Roman"/>
        </w:rPr>
      </w:pPr>
      <w:r w:rsidRPr="000000D1">
        <w:rPr>
          <w:rFonts w:eastAsia="Calibri" w:cs="Times New Roman"/>
        </w:rPr>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2F60685E" w14:textId="77777777" w:rsidR="000000D1" w:rsidRPr="000000D1" w:rsidRDefault="000000D1" w:rsidP="000000D1">
      <w:pPr>
        <w:ind w:left="1440"/>
        <w:rPr>
          <w:rFonts w:eastAsia="Calibri" w:cs="Times New Roman"/>
        </w:rPr>
      </w:pPr>
      <w:r w:rsidRPr="000000D1">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2090A3C3" w14:textId="77777777" w:rsidR="000000D1" w:rsidRPr="000000D1" w:rsidRDefault="000000D1" w:rsidP="000000D1">
      <w:pPr>
        <w:ind w:left="1440"/>
        <w:rPr>
          <w:rFonts w:eastAsia="Calibri" w:cs="Times New Roman"/>
        </w:rPr>
      </w:pPr>
      <w:r w:rsidRPr="000000D1">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67E73080" w14:textId="77777777" w:rsidR="000000D1" w:rsidRPr="000000D1" w:rsidRDefault="000000D1" w:rsidP="000000D1">
      <w:pPr>
        <w:ind w:left="1440"/>
        <w:rPr>
          <w:rFonts w:eastAsia="Calibri" w:cs="Times New Roman"/>
        </w:rPr>
      </w:pPr>
      <w:r w:rsidRPr="000000D1">
        <w:rPr>
          <w:rFonts w:eastAsia="Calibri" w:cs="Times New Roman"/>
        </w:rPr>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2B3C9556" w14:textId="77777777" w:rsidR="000000D1" w:rsidRPr="000000D1" w:rsidRDefault="000000D1" w:rsidP="000000D1">
      <w:pPr>
        <w:ind w:left="1440"/>
        <w:rPr>
          <w:rFonts w:eastAsia="Calibri" w:cs="Times New Roman"/>
        </w:rPr>
      </w:pPr>
      <w:r w:rsidRPr="000000D1">
        <w:rPr>
          <w:rFonts w:eastAsia="Calibri" w:cs="Times New Roman"/>
        </w:rPr>
        <w:lastRenderedPageBreak/>
        <w:t>A) any member of the unitary business group;</w:t>
      </w:r>
    </w:p>
    <w:p w14:paraId="4E39E13A" w14:textId="77777777" w:rsidR="000000D1" w:rsidRPr="000000D1" w:rsidRDefault="000000D1" w:rsidP="000000D1">
      <w:pPr>
        <w:ind w:left="1440"/>
        <w:rPr>
          <w:rFonts w:eastAsia="Calibri" w:cs="Times New Roman"/>
        </w:rPr>
      </w:pPr>
      <w:r w:rsidRPr="000000D1">
        <w:rPr>
          <w:rFonts w:eastAsia="Calibri" w:cs="Times New Roman"/>
        </w:rPr>
        <w:t>B) any person who would be a member of the unitary business group if not for the fact that 80% or more of that person's business activities are conducted outside the United States;</w:t>
      </w:r>
    </w:p>
    <w:p w14:paraId="1D8257DF" w14:textId="77777777" w:rsidR="000000D1" w:rsidRPr="000000D1" w:rsidRDefault="000000D1" w:rsidP="000000D1">
      <w:pPr>
        <w:ind w:left="1440"/>
        <w:rPr>
          <w:rFonts w:eastAsia="Calibri" w:cs="Times New Roman"/>
        </w:rPr>
      </w:pPr>
      <w:r w:rsidRPr="000000D1">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2C71CBC5" w14:textId="77777777" w:rsidR="000000D1" w:rsidRPr="000000D1" w:rsidRDefault="000000D1" w:rsidP="000000D1">
      <w:pPr>
        <w:ind w:left="1440"/>
        <w:rPr>
          <w:rFonts w:eastAsia="Calibri" w:cs="Times New Roman"/>
        </w:rPr>
      </w:pPr>
      <w:r w:rsidRPr="000000D1">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24A32287" w14:textId="77777777" w:rsidR="000000D1" w:rsidRPr="000000D1" w:rsidRDefault="000000D1" w:rsidP="000000D1">
      <w:pPr>
        <w:ind w:left="1440"/>
        <w:rPr>
          <w:rFonts w:eastAsia="Calibri" w:cs="Times New Roman"/>
        </w:rPr>
      </w:pPr>
      <w:r w:rsidRPr="000000D1">
        <w:rPr>
          <w:rFonts w:eastAsia="Calibri" w:cs="Times New Roman"/>
        </w:rPr>
        <w:t>5) Examples</w:t>
      </w:r>
    </w:p>
    <w:p w14:paraId="21706658" w14:textId="77777777" w:rsidR="000000D1" w:rsidRPr="000000D1" w:rsidRDefault="000000D1" w:rsidP="000000D1">
      <w:pPr>
        <w:ind w:left="1440"/>
        <w:rPr>
          <w:rFonts w:eastAsia="Calibri" w:cs="Times New Roman"/>
        </w:rPr>
      </w:pPr>
      <w:r w:rsidRPr="000000D1">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7012F484" w14:textId="77777777" w:rsidR="000000D1" w:rsidRPr="000000D1" w:rsidRDefault="000000D1" w:rsidP="000000D1">
      <w:pPr>
        <w:ind w:left="1440"/>
        <w:rPr>
          <w:rFonts w:eastAsia="Calibri" w:cs="Times New Roman"/>
        </w:rPr>
      </w:pPr>
      <w:r w:rsidRPr="000000D1">
        <w:rPr>
          <w:rFonts w:eastAsia="Calibri" w:cs="Times New Roman"/>
        </w:rPr>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223B4EC9" w14:textId="77777777" w:rsidR="000000D1" w:rsidRPr="000000D1" w:rsidRDefault="000000D1" w:rsidP="000000D1">
      <w:pPr>
        <w:ind w:left="1440"/>
        <w:rPr>
          <w:rFonts w:eastAsia="Calibri" w:cs="Times New Roman"/>
        </w:rPr>
      </w:pPr>
      <w:r w:rsidRPr="000000D1">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584A3EF9" w14:textId="77777777" w:rsidR="000000D1" w:rsidRPr="000000D1" w:rsidRDefault="000000D1" w:rsidP="000000D1">
      <w:pPr>
        <w:ind w:left="1440"/>
        <w:rPr>
          <w:rFonts w:eastAsia="Calibri" w:cs="Times New Roman"/>
        </w:rPr>
      </w:pPr>
      <w:r w:rsidRPr="000000D1">
        <w:rPr>
          <w:rFonts w:eastAsia="Calibri" w:cs="Times New Roman"/>
        </w:rPr>
        <w:t xml:space="preserve">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 . . . </w:t>
      </w:r>
    </w:p>
    <w:p w14:paraId="335EBB03"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IT 24-0002-GIL  (03/18/2024) (denial of a partnership’s request for alternative apportionment)</w:t>
      </w:r>
    </w:p>
    <w:p w14:paraId="543932C9" w14:textId="77777777" w:rsidR="000000D1" w:rsidRPr="000000D1" w:rsidRDefault="000000D1" w:rsidP="000000D1">
      <w:pPr>
        <w:ind w:left="720"/>
        <w:contextualSpacing/>
        <w:rPr>
          <w:rFonts w:eastAsia="Calibri" w:cs="Times New Roman"/>
        </w:rPr>
      </w:pPr>
    </w:p>
    <w:p w14:paraId="315E3AE9" w14:textId="77777777" w:rsidR="000000D1" w:rsidRPr="000000D1" w:rsidRDefault="000000D1" w:rsidP="000000D1">
      <w:pPr>
        <w:ind w:left="1440"/>
        <w:contextualSpacing/>
        <w:rPr>
          <w:rFonts w:eastAsia="Calibri" w:cs="Times New Roman"/>
        </w:rPr>
      </w:pPr>
      <w:r w:rsidRPr="000000D1">
        <w:rPr>
          <w:rFonts w:eastAsia="Calibri" w:cs="Times New Roman"/>
        </w:rPr>
        <w:t>Because your request merely states that separate accounting for the taxpayer’s Illinois income more accurately reflects its Illinois activity, your petition for alternative apportionment does not meet the regulatory requirement and cannot be granted at this time.</w:t>
      </w:r>
      <w:r w:rsidRPr="000000D1">
        <w:rPr>
          <w:rFonts w:eastAsia="Calibri" w:cs="Times New Roman"/>
        </w:rPr>
        <w:tab/>
      </w:r>
    </w:p>
    <w:p w14:paraId="0706DA15" w14:textId="77777777" w:rsidR="000000D1" w:rsidRPr="000000D1" w:rsidRDefault="000000D1" w:rsidP="000000D1">
      <w:pPr>
        <w:ind w:firstLine="720"/>
        <w:contextualSpacing/>
        <w:rPr>
          <w:rFonts w:eastAsia="Calibri" w:cs="Times New Roman"/>
        </w:rPr>
      </w:pPr>
      <w:r w:rsidRPr="000000D1">
        <w:rPr>
          <w:rFonts w:eastAsia="Calibri" w:cs="Times New Roman"/>
        </w:rPr>
        <w:t>IT 93-0107-PLR (05/11/1993)</w:t>
      </w:r>
    </w:p>
    <w:p w14:paraId="2CE91E83" w14:textId="77777777" w:rsidR="000000D1" w:rsidRPr="000000D1" w:rsidRDefault="000000D1" w:rsidP="000000D1">
      <w:pPr>
        <w:ind w:left="720"/>
        <w:contextualSpacing/>
        <w:rPr>
          <w:rFonts w:eastAsia="Calibri" w:cs="Times New Roman"/>
        </w:rPr>
      </w:pPr>
    </w:p>
    <w:p w14:paraId="06445AFD" w14:textId="77777777" w:rsidR="000000D1" w:rsidRPr="000000D1" w:rsidRDefault="000000D1" w:rsidP="000000D1">
      <w:pPr>
        <w:ind w:left="1440"/>
        <w:contextualSpacing/>
        <w:rPr>
          <w:rFonts w:eastAsia="Calibri" w:cs="Times New Roman"/>
        </w:rPr>
      </w:pPr>
      <w:r w:rsidRPr="000000D1">
        <w:rPr>
          <w:rFonts w:eastAsia="Calibri" w:cs="Times New Roman"/>
        </w:rPr>
        <w:t>The above-named partnership is filing this petition to seek permission from the Department of Revenue to use an alternative apportionment method as allowed under IITA Section 304(f). The partnership believes that the allocation and apportionment provisions of IITA Section 304(a) through (d) do not fairly represent the partnership's business activity in Illinois.</w:t>
      </w:r>
    </w:p>
    <w:p w14:paraId="076355C2" w14:textId="77777777" w:rsidR="000000D1" w:rsidRPr="000000D1" w:rsidRDefault="000000D1" w:rsidP="000000D1">
      <w:pPr>
        <w:ind w:left="1440"/>
        <w:contextualSpacing/>
        <w:rPr>
          <w:rFonts w:eastAsia="Calibri" w:cs="Times New Roman"/>
        </w:rPr>
      </w:pPr>
    </w:p>
    <w:p w14:paraId="08DDAFA6" w14:textId="77777777" w:rsidR="000000D1" w:rsidRPr="000000D1" w:rsidRDefault="000000D1" w:rsidP="000000D1">
      <w:pPr>
        <w:ind w:left="1440"/>
        <w:contextualSpacing/>
        <w:rPr>
          <w:rFonts w:eastAsia="Calibri" w:cs="Times New Roman"/>
        </w:rPr>
      </w:pPr>
      <w:r w:rsidRPr="000000D1">
        <w:rPr>
          <w:rFonts w:eastAsia="Calibri" w:cs="Times New Roman"/>
        </w:rPr>
        <w:t>The partnership believes the use of the standard formulary apportionment will significantly distort its income or loss from its activities in this state. Since this partnership's business activity is the ownership and management of rental real property located in various states, this partnership believes that a separate reporting of income or loss to each state based on the rental activity occurring in the state is the most equitable method for reporting corporate income . . .</w:t>
      </w:r>
    </w:p>
    <w:p w14:paraId="3BA82150" w14:textId="77777777" w:rsidR="000000D1" w:rsidRPr="000000D1" w:rsidRDefault="000000D1" w:rsidP="000000D1">
      <w:pPr>
        <w:ind w:left="1440"/>
        <w:contextualSpacing/>
        <w:rPr>
          <w:rFonts w:eastAsia="Calibri" w:cs="Times New Roman"/>
        </w:rPr>
      </w:pPr>
    </w:p>
    <w:p w14:paraId="3C12C1C5" w14:textId="77777777" w:rsidR="000000D1" w:rsidRPr="000000D1" w:rsidRDefault="000000D1" w:rsidP="000000D1">
      <w:pPr>
        <w:ind w:left="1440"/>
        <w:contextualSpacing/>
        <w:rPr>
          <w:rFonts w:eastAsia="Calibri" w:cs="Times New Roman"/>
        </w:rPr>
      </w:pPr>
      <w:r w:rsidRPr="000000D1">
        <w:rPr>
          <w:rFonts w:eastAsia="Calibri" w:cs="Times New Roman"/>
        </w:rPr>
        <w:t>We have reviewed your letter and are unable to conclude that you have met the burden of demonstrating that the three factor formula operates unreasonably and arbitrarily in attributing to Illinois a percentage of income that is out of all proportion to the business transacted in this State.</w:t>
      </w:r>
    </w:p>
    <w:p w14:paraId="36A075E3" w14:textId="77777777" w:rsidR="000000D1" w:rsidRPr="000000D1" w:rsidRDefault="000000D1" w:rsidP="000000D1">
      <w:pPr>
        <w:contextualSpacing/>
        <w:rPr>
          <w:rFonts w:eastAsia="Calibri" w:cs="Times New Roman"/>
        </w:rPr>
      </w:pPr>
    </w:p>
    <w:p w14:paraId="44D75EB4" w14:textId="77777777" w:rsidR="000000D1" w:rsidRPr="000000D1" w:rsidRDefault="000000D1" w:rsidP="000000D1">
      <w:pPr>
        <w:ind w:left="720"/>
        <w:contextualSpacing/>
        <w:rPr>
          <w:rFonts w:eastAsia="Calibri" w:cs="Times New Roman"/>
        </w:rPr>
      </w:pPr>
      <w:r w:rsidRPr="000000D1">
        <w:rPr>
          <w:rFonts w:eastAsia="Calibri" w:cs="Times New Roman"/>
          <w:i/>
          <w:iCs/>
        </w:rPr>
        <w:t>Rockwood Holding Co. v. Department of Revenue</w:t>
      </w:r>
      <w:r w:rsidRPr="000000D1">
        <w:rPr>
          <w:rFonts w:eastAsia="Calibri" w:cs="Times New Roman"/>
        </w:rPr>
        <w:t>, 728 N.E.2d 519 (App. 1st Dist. 2000) (denying alternative apportionment in connection with a partnership loss deduction).</w:t>
      </w:r>
    </w:p>
    <w:p w14:paraId="1559060C" w14:textId="77777777" w:rsidR="000000D1" w:rsidRPr="000000D1" w:rsidRDefault="000000D1" w:rsidP="000000D1">
      <w:pPr>
        <w:ind w:left="720"/>
        <w:contextualSpacing/>
        <w:rPr>
          <w:rFonts w:eastAsia="Calibri" w:cs="Times New Roman"/>
        </w:rPr>
      </w:pPr>
    </w:p>
    <w:p w14:paraId="1349A7FE"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plain language of section 304(f) seeks to achieve a fair representation of "the extent of a person's business activity" in Illinois. It does not address the calculation of the taxpayer's tax liability. </w:t>
      </w:r>
    </w:p>
    <w:p w14:paraId="0BBE8681" w14:textId="77777777" w:rsidR="000000D1" w:rsidRPr="000000D1" w:rsidRDefault="000000D1" w:rsidP="000000D1">
      <w:pPr>
        <w:ind w:left="1440"/>
        <w:contextualSpacing/>
        <w:rPr>
          <w:rFonts w:eastAsia="Calibri" w:cs="Times New Roman"/>
        </w:rPr>
      </w:pPr>
    </w:p>
    <w:p w14:paraId="273AC46D" w14:textId="77777777" w:rsidR="000000D1" w:rsidRPr="000000D1" w:rsidRDefault="000000D1" w:rsidP="000000D1">
      <w:pPr>
        <w:ind w:left="720"/>
        <w:contextualSpacing/>
        <w:rPr>
          <w:rFonts w:eastAsia="Calibri" w:cs="Times New Roman"/>
        </w:rPr>
      </w:pPr>
      <w:r w:rsidRPr="000000D1">
        <w:rPr>
          <w:rFonts w:eastAsia="Calibri" w:cs="Times New Roman"/>
        </w:rPr>
        <w:t>Illinois IL-1065 Instructions(2022)</w:t>
      </w:r>
    </w:p>
    <w:p w14:paraId="148E60F8" w14:textId="77777777" w:rsidR="000000D1" w:rsidRPr="000000D1" w:rsidRDefault="000000D1" w:rsidP="000000D1">
      <w:pPr>
        <w:contextualSpacing/>
        <w:rPr>
          <w:rFonts w:eastAsia="Calibri" w:cs="Times New Roman"/>
        </w:rPr>
      </w:pPr>
    </w:p>
    <w:p w14:paraId="352AB5A1" w14:textId="77777777" w:rsidR="000000D1" w:rsidRPr="000000D1" w:rsidRDefault="000000D1" w:rsidP="000000D1">
      <w:pPr>
        <w:ind w:left="1440"/>
      </w:pPr>
      <w:r w:rsidRPr="000000D1">
        <w:rPr>
          <w:rFonts w:eastAsia="Calibri" w:cs="Times New Roman"/>
        </w:rPr>
        <w:t xml:space="preserve">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 </w:t>
      </w:r>
      <w:r w:rsidRPr="000000D1">
        <w:t>or if you are a partner in another partnership and are engaged in a unitary business with that partnership. See 86 Ill. Adm. Code Section 100.3380(d), for more information.</w:t>
      </w:r>
    </w:p>
    <w:p w14:paraId="4286A96B" w14:textId="77777777" w:rsidR="000000D1" w:rsidRPr="000000D1" w:rsidRDefault="000000D1" w:rsidP="000000D1">
      <w:pPr>
        <w:ind w:left="1440"/>
        <w:rPr>
          <w:rFonts w:eastAsia="Calibri" w:cs="Times New Roman"/>
        </w:rPr>
      </w:pPr>
      <w:r w:rsidRPr="000000D1">
        <w:rPr>
          <w:rFonts w:eastAsia="Calibri" w:cs="Times New Roman"/>
        </w:rPr>
        <w:t xml:space="preserve">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w:t>
      </w:r>
      <w:r w:rsidRPr="000000D1">
        <w:rPr>
          <w:rFonts w:eastAsia="Calibri" w:cs="Times New Roman"/>
        </w:rPr>
        <w:lastRenderedPageBreak/>
        <w:t>prohibiting taxpayers conducting 80 percent or more of their business activities outside the United States from being included in a unitary business group), and you:</w:t>
      </w:r>
    </w:p>
    <w:p w14:paraId="431E5619" w14:textId="77777777" w:rsidR="000000D1" w:rsidRPr="000000D1" w:rsidRDefault="000000D1" w:rsidP="000000D1">
      <w:pPr>
        <w:ind w:left="1440"/>
        <w:rPr>
          <w:rFonts w:eastAsia="Calibri" w:cs="Times New Roman"/>
        </w:rPr>
      </w:pPr>
      <w:r w:rsidRPr="000000D1">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7DD9C9F4" w14:textId="77777777" w:rsidR="000000D1" w:rsidRPr="000000D1" w:rsidRDefault="000000D1" w:rsidP="000000D1">
      <w:pPr>
        <w:ind w:left="1440"/>
        <w:rPr>
          <w:rFonts w:eastAsia="Calibri" w:cs="Times New Roman"/>
        </w:rPr>
      </w:pPr>
      <w:r w:rsidRPr="000000D1">
        <w:rPr>
          <w:rFonts w:eastAsia="Calibri" w:cs="Times New Roman"/>
        </w:rPr>
        <w:t>• use a different taxable year from the combined group that includes your partners or your subsidiary, or there is no combined group, you must complete your own Schedule UB using your own taxable year.</w:t>
      </w:r>
    </w:p>
    <w:p w14:paraId="2725A3C8" w14:textId="77777777" w:rsidR="000000D1" w:rsidRPr="000000D1" w:rsidRDefault="000000D1" w:rsidP="000000D1">
      <w:pPr>
        <w:pBdr>
          <w:bottom w:val="single" w:sz="4" w:space="0" w:color="auto"/>
        </w:pBdr>
        <w:rPr>
          <w:rFonts w:eastAsia="Calibri" w:cs="Times New Roman"/>
        </w:rPr>
      </w:pPr>
    </w:p>
    <w:p w14:paraId="6A08F92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5" w:name="_Toc195435285"/>
      <w:r w:rsidRPr="000000D1">
        <w:rPr>
          <w:rFonts w:ascii="Californian FB" w:eastAsia="Times New Roman" w:hAnsi="Californian FB" w:cs="Times New Roman"/>
          <w:b/>
          <w:color w:val="851C00"/>
          <w:sz w:val="24"/>
          <w:szCs w:val="24"/>
          <w:u w:val="single"/>
        </w:rPr>
        <w:t>Indiana</w:t>
      </w:r>
      <w:bookmarkEnd w:id="105"/>
    </w:p>
    <w:p w14:paraId="754B7B00"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 Code § 6-3-2-2(a) </w:t>
      </w:r>
    </w:p>
    <w:p w14:paraId="6BBA986C" w14:textId="77777777" w:rsidR="000000D1" w:rsidRPr="000000D1" w:rsidRDefault="000000D1" w:rsidP="000000D1">
      <w:pPr>
        <w:contextualSpacing/>
        <w:rPr>
          <w:rFonts w:eastAsia="Calibri" w:cs="Times New Roman"/>
        </w:rPr>
      </w:pPr>
    </w:p>
    <w:p w14:paraId="707656F3" w14:textId="77777777" w:rsidR="000000D1" w:rsidRPr="000000D1" w:rsidRDefault="000000D1" w:rsidP="000000D1">
      <w:pPr>
        <w:ind w:left="1440"/>
        <w:rPr>
          <w:rFonts w:eastAsia="Calibri" w:cs="Times New Roman"/>
        </w:rPr>
      </w:pPr>
      <w:r w:rsidRPr="000000D1">
        <w:rPr>
          <w:rFonts w:eastAsia="Calibri" w:cs="Times New Roman"/>
        </w:rPr>
        <w:t>Income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06F2A1E4" w14:textId="77777777" w:rsidR="000000D1" w:rsidRPr="000000D1" w:rsidRDefault="000000D1" w:rsidP="00E10036">
      <w:pPr>
        <w:numPr>
          <w:ilvl w:val="0"/>
          <w:numId w:val="23"/>
        </w:numPr>
        <w:contextualSpacing/>
        <w:rPr>
          <w:rFonts w:eastAsia="Calibri" w:cs="Times New Roman"/>
        </w:rPr>
      </w:pPr>
      <w:r w:rsidRPr="000000D1">
        <w:rPr>
          <w:rFonts w:eastAsia="Calibri" w:cs="Times New Roman"/>
        </w:rPr>
        <w:t xml:space="preserve">Ind. Admin. Code 3.1-1-106(b)(2) </w:t>
      </w:r>
    </w:p>
    <w:p w14:paraId="253953D0" w14:textId="77777777" w:rsidR="000000D1" w:rsidRPr="000000D1" w:rsidRDefault="000000D1" w:rsidP="000000D1">
      <w:pPr>
        <w:ind w:left="1080"/>
        <w:contextualSpacing/>
        <w:rPr>
          <w:rFonts w:eastAsia="Calibri" w:cs="Times New Roman"/>
        </w:rPr>
      </w:pPr>
    </w:p>
    <w:p w14:paraId="23511DF1" w14:textId="77777777" w:rsidR="000000D1" w:rsidRPr="000000D1" w:rsidRDefault="000000D1" w:rsidP="000000D1">
      <w:pPr>
        <w:ind w:left="1440"/>
        <w:contextualSpacing/>
        <w:rPr>
          <w:rFonts w:eastAsia="Calibri" w:cs="Times New Roman"/>
        </w:rPr>
      </w:pPr>
      <w:r w:rsidRPr="000000D1">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79F6760C" w14:textId="77777777" w:rsidR="000000D1" w:rsidRPr="000000D1" w:rsidRDefault="000000D1" w:rsidP="000000D1">
      <w:pPr>
        <w:ind w:left="720"/>
        <w:rPr>
          <w:rFonts w:eastAsia="Calibri" w:cs="Times New Roman"/>
        </w:rPr>
      </w:pPr>
      <w:r w:rsidRPr="000000D1">
        <w:rPr>
          <w:rFonts w:eastAsia="Calibri" w:cs="Times New Roman"/>
        </w:rPr>
        <w:t xml:space="preserve">45 Ind. Admin. Code 3.1-1-153 </w:t>
      </w:r>
    </w:p>
    <w:p w14:paraId="7F1B9FD8" w14:textId="77777777" w:rsidR="000000D1" w:rsidRPr="000000D1" w:rsidRDefault="000000D1" w:rsidP="000000D1">
      <w:pPr>
        <w:ind w:left="1440"/>
        <w:rPr>
          <w:rFonts w:eastAsia="Calibri" w:cs="Times New Roman"/>
        </w:rPr>
      </w:pPr>
      <w:r w:rsidRPr="000000D1">
        <w:rPr>
          <w:rFonts w:eastAsia="Calibri" w:cs="Times New Roman"/>
        </w:rPr>
        <w:t>(a) A corporate partner's share of profit or loss from a partnership will be included in its federal taxable income and therefore generally subject to the same rules as any other adjusted gross income.</w:t>
      </w:r>
    </w:p>
    <w:p w14:paraId="61D01A7A" w14:textId="77777777" w:rsidR="000000D1" w:rsidRPr="000000D1" w:rsidRDefault="000000D1" w:rsidP="000000D1">
      <w:pPr>
        <w:ind w:left="1440"/>
        <w:rPr>
          <w:rFonts w:eastAsia="Calibri" w:cs="Times New Roman"/>
        </w:rPr>
      </w:pPr>
      <w:r w:rsidRPr="000000D1">
        <w:rPr>
          <w:rFonts w:eastAsia="Calibri" w:cs="Times New Roman"/>
        </w:rPr>
        <w:t>(b)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partner and its share of the partnership's factors for any partnership year ending within or with the corporate partner's income year, with the following modifications:</w:t>
      </w:r>
    </w:p>
    <w:p w14:paraId="0794A1A6" w14:textId="77777777" w:rsidR="000000D1" w:rsidRPr="000000D1" w:rsidRDefault="000000D1" w:rsidP="000000D1">
      <w:pPr>
        <w:ind w:left="1440"/>
        <w:rPr>
          <w:rFonts w:eastAsia="Calibri" w:cs="Times New Roman"/>
        </w:rPr>
      </w:pPr>
      <w:r w:rsidRPr="000000D1">
        <w:rPr>
          <w:rFonts w:eastAsia="Calibri" w:cs="Times New Roman"/>
        </w:rPr>
        <w:lastRenderedPageBreak/>
        <w:t xml:space="preserve"> (b)(1)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C0A2349" w14:textId="77777777" w:rsidR="000000D1" w:rsidRPr="000000D1" w:rsidRDefault="000000D1" w:rsidP="000000D1">
      <w:pPr>
        <w:ind w:left="1440"/>
        <w:rPr>
          <w:rFonts w:eastAsia="Calibri" w:cs="Times New Roman"/>
        </w:rPr>
      </w:pPr>
      <w:r w:rsidRPr="000000D1">
        <w:rPr>
          <w:rFonts w:eastAsia="Calibri" w:cs="Times New Roman"/>
        </w:rPr>
        <w:t xml:space="preserve"> (b)(2) Intercompany sales between the corporate partner and the partnership shall be eliminated from the corporate partner's sales factor as follows:</w:t>
      </w:r>
    </w:p>
    <w:p w14:paraId="5BF89A62" w14:textId="77777777" w:rsidR="000000D1" w:rsidRPr="000000D1" w:rsidRDefault="000000D1" w:rsidP="000000D1">
      <w:pPr>
        <w:ind w:left="1440"/>
        <w:rPr>
          <w:rFonts w:eastAsia="Calibri" w:cs="Times New Roman"/>
        </w:rPr>
      </w:pPr>
      <w:r w:rsidRPr="000000D1">
        <w:rPr>
          <w:rFonts w:eastAsia="Calibri" w:cs="Times New Roman"/>
        </w:rPr>
        <w:t xml:space="preserve"> (b)(2)(A) Sales by the corporate partner to the partnership to the extent of the corporate partner's interest in the partnership.</w:t>
      </w:r>
    </w:p>
    <w:p w14:paraId="6B478CF9" w14:textId="77777777" w:rsidR="000000D1" w:rsidRPr="000000D1" w:rsidRDefault="000000D1" w:rsidP="000000D1">
      <w:pPr>
        <w:ind w:left="1440" w:firstLine="40"/>
        <w:rPr>
          <w:rFonts w:eastAsia="Calibri" w:cs="Times New Roman"/>
        </w:rPr>
      </w:pPr>
      <w:r w:rsidRPr="000000D1">
        <w:rPr>
          <w:rFonts w:eastAsia="Calibri" w:cs="Times New Roman"/>
        </w:rPr>
        <w:t>(b)(2)(B) Sales by the partnership to the corporate partner not to exceed the corporate partner's interest in all partnership sales.</w:t>
      </w:r>
    </w:p>
    <w:p w14:paraId="32F81176" w14:textId="77777777" w:rsidR="000000D1" w:rsidRPr="000000D1" w:rsidRDefault="000000D1" w:rsidP="000000D1">
      <w:pPr>
        <w:ind w:left="1440"/>
        <w:rPr>
          <w:rFonts w:eastAsia="Calibri" w:cs="Times New Roman"/>
        </w:rPr>
      </w:pPr>
      <w:r w:rsidRPr="000000D1">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71C2B002" w14:textId="77777777" w:rsidR="000000D1" w:rsidRPr="000000D1" w:rsidRDefault="000000D1" w:rsidP="000000D1">
      <w:pPr>
        <w:ind w:left="1440"/>
        <w:rPr>
          <w:rFonts w:eastAsia="Calibri" w:cs="Times New Roman"/>
        </w:rPr>
      </w:pPr>
      <w:r w:rsidRPr="000000D1">
        <w:rPr>
          <w:rFonts w:eastAsia="Calibri" w:cs="Times New Roman"/>
        </w:rPr>
        <w:t>(c)(1) If the partnership derives business income from sources within and without Indiana, the business income derived from sources within Indiana shall be determined by a three (3) factor formula consisting of property, payroll, and sales of the partnership.</w:t>
      </w:r>
    </w:p>
    <w:p w14:paraId="54E73C41" w14:textId="77777777" w:rsidR="000000D1" w:rsidRPr="000000D1" w:rsidRDefault="000000D1" w:rsidP="000000D1">
      <w:pPr>
        <w:ind w:left="1440"/>
        <w:rPr>
          <w:rFonts w:eastAsia="Calibri" w:cs="Times New Roman"/>
        </w:rPr>
      </w:pPr>
      <w:r w:rsidRPr="000000D1">
        <w:rPr>
          <w:rFonts w:eastAsia="Calibri" w:cs="Times New Roman"/>
        </w:rPr>
        <w:t xml:space="preserve"> (c)(2) If the partnership derives business income from sources entirely within Indiana, or entirely without Indiana, such income shall not be subject to formula apportionment.</w:t>
      </w:r>
    </w:p>
    <w:p w14:paraId="45FF6972" w14:textId="77777777" w:rsidR="000000D1" w:rsidRPr="000000D1" w:rsidRDefault="000000D1" w:rsidP="000000D1">
      <w:pPr>
        <w:ind w:left="1440"/>
        <w:rPr>
          <w:rFonts w:eastAsia="Calibri" w:cs="Times New Roman"/>
        </w:rPr>
      </w:pPr>
      <w:r w:rsidRPr="000000D1">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727D2077" w14:textId="77777777" w:rsidR="000000D1" w:rsidRPr="000000D1" w:rsidRDefault="000000D1" w:rsidP="000000D1">
      <w:pPr>
        <w:ind w:left="1440"/>
        <w:rPr>
          <w:rFonts w:eastAsia="Calibri" w:cs="Times New Roman"/>
        </w:rPr>
      </w:pPr>
      <w:r w:rsidRPr="000000D1">
        <w:rPr>
          <w:rFonts w:eastAsia="Calibri" w:cs="Times New Roman"/>
        </w:rPr>
        <w:t>(e) After determining the amount of business income attributable to Indiana under subsection (c), the corporate partner's distributive share of such income shall be added to the corporate partner's other business income apportioned to Indiana and its nonbusiness income, if any, allocable to Indiana, in determining the corporate partner's total taxable income.</w:t>
      </w:r>
    </w:p>
    <w:p w14:paraId="45535E34"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Letters of Findings: 02-20130024 (October 29, 2014) </w:t>
      </w:r>
    </w:p>
    <w:p w14:paraId="2A51DD2A" w14:textId="77777777" w:rsidR="000000D1" w:rsidRPr="000000D1" w:rsidRDefault="000000D1" w:rsidP="000000D1">
      <w:pPr>
        <w:contextualSpacing/>
        <w:rPr>
          <w:rFonts w:eastAsia="Calibri" w:cs="Times New Roman"/>
        </w:rPr>
      </w:pPr>
    </w:p>
    <w:p w14:paraId="219E59CB" w14:textId="77777777" w:rsidR="000000D1" w:rsidRPr="000000D1" w:rsidRDefault="000000D1" w:rsidP="000000D1">
      <w:pPr>
        <w:ind w:left="1440"/>
        <w:rPr>
          <w:rFonts w:eastAsia="Calibri" w:cs="Times New Roman"/>
        </w:rPr>
      </w:pPr>
      <w:r w:rsidRPr="000000D1">
        <w:rPr>
          <w:rFonts w:eastAsia="Calibri" w:cs="Times New Roman"/>
        </w:rPr>
        <w:t xml:space="preserve">The Indiana Supreme Court discussed such a form-over-function situation in Park 100 Dev. Co. v. Ind. Dep't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legislature did not intend for a corporation to escape the corporate tax liability indirectly </w:t>
      </w:r>
      <w:r w:rsidRPr="000000D1">
        <w:rPr>
          <w:rFonts w:eastAsia="Calibri" w:cs="Times New Roman"/>
        </w:rPr>
        <w:lastRenderedPageBreak/>
        <w:t>by forming a two-tiered partnership when it did not allow a corporation to escape that liability as a direct or first-tier partner." Id.</w:t>
      </w:r>
    </w:p>
    <w:p w14:paraId="52E789CD" w14:textId="77777777" w:rsidR="000000D1" w:rsidRPr="000000D1" w:rsidRDefault="000000D1" w:rsidP="000000D1">
      <w:pPr>
        <w:ind w:left="1440"/>
        <w:rPr>
          <w:rFonts w:eastAsia="Calibri" w:cs="Times New Roman"/>
        </w:rPr>
      </w:pPr>
      <w:r w:rsidRPr="000000D1">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179E5B23" w14:textId="77777777" w:rsidR="000000D1" w:rsidRPr="000000D1" w:rsidRDefault="000000D1" w:rsidP="000000D1">
      <w:pPr>
        <w:ind w:left="1440"/>
        <w:rPr>
          <w:rFonts w:eastAsia="Calibri" w:cs="Times New Roman"/>
        </w:rPr>
      </w:pPr>
      <w:r w:rsidRPr="000000D1">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 . . .</w:t>
      </w:r>
    </w:p>
    <w:p w14:paraId="311B0324" w14:textId="77777777" w:rsidR="000000D1" w:rsidRPr="000000D1" w:rsidRDefault="000000D1" w:rsidP="000000D1">
      <w:pPr>
        <w:ind w:left="1440"/>
        <w:rPr>
          <w:rFonts w:eastAsia="Calibri" w:cs="Times New Roman"/>
        </w:rPr>
      </w:pPr>
      <w:r w:rsidRPr="000000D1">
        <w:rPr>
          <w:rFonts w:eastAsia="Calibri" w:cs="Times New Roman"/>
        </w:rPr>
        <w:t>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454431B"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Letters of Findings: 02-20241179 (August 30, 2024) </w:t>
      </w:r>
    </w:p>
    <w:p w14:paraId="5F9F6A81" w14:textId="77777777" w:rsidR="000000D1" w:rsidRPr="000000D1" w:rsidRDefault="000000D1" w:rsidP="000000D1">
      <w:pPr>
        <w:contextualSpacing/>
        <w:rPr>
          <w:rFonts w:eastAsia="Calibri" w:cs="Times New Roman"/>
        </w:rPr>
      </w:pPr>
    </w:p>
    <w:p w14:paraId="01C5AEE8" w14:textId="77777777" w:rsidR="000000D1" w:rsidRPr="000000D1" w:rsidRDefault="000000D1" w:rsidP="000000D1">
      <w:pPr>
        <w:ind w:left="1440"/>
        <w:contextualSpacing/>
        <w:rPr>
          <w:rFonts w:eastAsia="Calibri" w:cs="Times New Roman"/>
        </w:rPr>
      </w:pPr>
      <w:r w:rsidRPr="000000D1">
        <w:rPr>
          <w:rFonts w:eastAsia="Calibri" w:cs="Times New Roman"/>
        </w:rPr>
        <w:t>An out of state LLC that was a partner in an Indiana partnership was required to file a composite return in Indiana.</w:t>
      </w:r>
    </w:p>
    <w:p w14:paraId="17D3BE2B" w14:textId="77777777" w:rsidR="000000D1" w:rsidRPr="000000D1" w:rsidRDefault="000000D1" w:rsidP="000000D1">
      <w:pPr>
        <w:ind w:left="720"/>
        <w:contextualSpacing/>
        <w:rPr>
          <w:rFonts w:eastAsia="Calibri" w:cs="Times New Roman"/>
        </w:rPr>
      </w:pPr>
    </w:p>
    <w:p w14:paraId="313340D4"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Revenue Ruling 2001-04IT (February 19, 2001) </w:t>
      </w:r>
    </w:p>
    <w:p w14:paraId="164AE141" w14:textId="77777777" w:rsidR="000000D1" w:rsidRPr="000000D1" w:rsidRDefault="000000D1" w:rsidP="000000D1">
      <w:pPr>
        <w:contextualSpacing/>
        <w:rPr>
          <w:rFonts w:eastAsia="Calibri" w:cs="Times New Roman"/>
        </w:rPr>
      </w:pPr>
    </w:p>
    <w:p w14:paraId="51B04517" w14:textId="77777777" w:rsidR="000000D1" w:rsidRPr="000000D1" w:rsidRDefault="000000D1" w:rsidP="000000D1">
      <w:pPr>
        <w:ind w:left="1440"/>
        <w:rPr>
          <w:rFonts w:eastAsia="Calibri" w:cs="Times New Roman"/>
        </w:rPr>
      </w:pPr>
      <w:r w:rsidRPr="000000D1">
        <w:rPr>
          <w:rFonts w:eastAsia="Calibri" w:cs="Times New Roman"/>
        </w:rPr>
        <w:t xml:space="preserve">It is clear from the above regulations that all of a partnership's income is subject to apportionment. Portfolio interest, net Internal Revenue Code Section 1231 loss, longterm capital gain from the sale of securities and from the sale or exchange of goodwill </w:t>
      </w:r>
      <w:r w:rsidRPr="000000D1">
        <w:rPr>
          <w:rFonts w:eastAsia="Calibri" w:cs="Times New Roman"/>
        </w:rPr>
        <w:lastRenderedPageBreak/>
        <w:t>and going concern value, as components of partnership income, therefore, are subject to apportionment at the partnership level.</w:t>
      </w:r>
    </w:p>
    <w:p w14:paraId="72577252" w14:textId="77777777" w:rsidR="000000D1" w:rsidRPr="000000D1" w:rsidRDefault="000000D1" w:rsidP="000000D1">
      <w:pPr>
        <w:ind w:firstLine="720"/>
        <w:rPr>
          <w:rFonts w:eastAsia="Calibri" w:cs="Times New Roman"/>
        </w:rPr>
      </w:pPr>
      <w:r w:rsidRPr="000000D1">
        <w:rPr>
          <w:rFonts w:eastAsia="Calibri" w:cs="Times New Roman"/>
        </w:rPr>
        <w:t>Indiana Letter of Findings 06-0524 (01/01/2006)</w:t>
      </w:r>
    </w:p>
    <w:p w14:paraId="1FC9B45E" w14:textId="77777777" w:rsidR="000000D1" w:rsidRPr="000000D1" w:rsidRDefault="000000D1" w:rsidP="000000D1">
      <w:pPr>
        <w:ind w:left="1440"/>
        <w:rPr>
          <w:rFonts w:eastAsia="Calibri" w:cs="Times New Roman"/>
        </w:rPr>
      </w:pPr>
      <w:r w:rsidRPr="000000D1">
        <w:rPr>
          <w:rFonts w:eastAsia="Calibri" w:cs="Times New Roman"/>
        </w:rPr>
        <w:t>Taxpayer properly deducted “704(c) property” depreciation in reporting its distributive share of partnership income.</w:t>
      </w:r>
    </w:p>
    <w:p w14:paraId="1819484D" w14:textId="77777777" w:rsidR="000000D1" w:rsidRPr="000000D1" w:rsidRDefault="000000D1" w:rsidP="000000D1">
      <w:pPr>
        <w:pBdr>
          <w:bottom w:val="single" w:sz="4" w:space="0" w:color="auto"/>
        </w:pBdr>
        <w:rPr>
          <w:rFonts w:eastAsia="Calibri" w:cs="Times New Roman"/>
        </w:rPr>
      </w:pPr>
    </w:p>
    <w:p w14:paraId="1CF776C2"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6" w:name="_Toc195435286"/>
      <w:r w:rsidRPr="000000D1">
        <w:rPr>
          <w:rFonts w:ascii="Californian FB" w:eastAsia="Times New Roman" w:hAnsi="Californian FB" w:cs="Times New Roman"/>
          <w:b/>
          <w:color w:val="851C00"/>
          <w:sz w:val="24"/>
          <w:szCs w:val="24"/>
          <w:u w:val="single"/>
        </w:rPr>
        <w:t>Iowa</w:t>
      </w:r>
      <w:bookmarkEnd w:id="106"/>
    </w:p>
    <w:p w14:paraId="5C93C093" w14:textId="77777777" w:rsidR="000000D1" w:rsidRPr="000000D1" w:rsidRDefault="000000D1" w:rsidP="000000D1">
      <w:pPr>
        <w:ind w:left="720"/>
        <w:contextualSpacing/>
        <w:rPr>
          <w:rFonts w:eastAsia="Calibri" w:cs="Times New Roman"/>
        </w:rPr>
      </w:pPr>
      <w:r w:rsidRPr="000000D1">
        <w:rPr>
          <w:rFonts w:eastAsia="Calibri" w:cs="Times New Roman"/>
        </w:rPr>
        <w:t xml:space="preserve">Iowa Admin. Code r. 701-503.6(5) </w:t>
      </w:r>
    </w:p>
    <w:p w14:paraId="2B4FA7E9" w14:textId="77777777" w:rsidR="000000D1" w:rsidRPr="000000D1" w:rsidRDefault="000000D1" w:rsidP="000000D1">
      <w:pPr>
        <w:contextualSpacing/>
        <w:rPr>
          <w:rFonts w:eastAsia="Calibri" w:cs="Times New Roman"/>
        </w:rPr>
      </w:pPr>
    </w:p>
    <w:p w14:paraId="29E96DB0"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 corporation’s distributive share of net income or loss from a joint venture, limited liability company, or partnership is subject to apportionment within and without the state. If the income of the partnership, limited liability company, or joint venture is received in </w:t>
      </w:r>
      <w:bookmarkStart w:id="107" w:name="_Hlk176784673"/>
      <w:r w:rsidRPr="000000D1">
        <w:rPr>
          <w:rFonts w:eastAsia="Calibri" w:cs="Times New Roman"/>
        </w:rPr>
        <w:t>connection with the taxpayer’s regular trade or business operations</w:t>
      </w:r>
      <w:bookmarkEnd w:id="107"/>
      <w:r w:rsidRPr="000000D1">
        <w:rPr>
          <w:rFonts w:eastAsia="Calibri" w:cs="Times New Roman"/>
        </w:rPr>
        <w:t>, the partnership, limited liability company, or joint venture income shall be apportioned within and without Iowa on the basis of the taxpayer’s business activity ratio. The corporation’s distributive share of the gross receipts of the partnership, limited liability company, or joint venture shall be included in the computation of the business activity ratio in accordance with the provisions of this chapter.</w:t>
      </w:r>
    </w:p>
    <w:p w14:paraId="7B21BCD2" w14:textId="77777777" w:rsidR="000000D1" w:rsidRPr="000000D1" w:rsidRDefault="000000D1" w:rsidP="000000D1">
      <w:pPr>
        <w:ind w:left="1440"/>
        <w:contextualSpacing/>
        <w:rPr>
          <w:rFonts w:eastAsia="Calibri" w:cs="Times New Roman"/>
        </w:rPr>
      </w:pPr>
    </w:p>
    <w:p w14:paraId="5855B3DB" w14:textId="77777777" w:rsidR="000000D1" w:rsidRPr="000000D1" w:rsidRDefault="000000D1" w:rsidP="000000D1">
      <w:pPr>
        <w:ind w:left="1440"/>
        <w:contextualSpacing/>
        <w:rPr>
          <w:rFonts w:eastAsia="Calibri" w:cs="Times New Roman"/>
        </w:rPr>
      </w:pPr>
      <w:r w:rsidRPr="000000D1">
        <w:rPr>
          <w:rFonts w:eastAsia="Calibri" w:cs="Times New Roman"/>
        </w:rPr>
        <w:t>EXAMPLE 1: A, a corporation with a commercial domicile in State X, is engaged in business within and without Iowa whereby A sells tangible personal property. A also has an interest in a limited partnership whose business is conducted within and without Iowa. Five percent of the limited partnership’s gross receipts are derived from the sale of tangible personal property to Iowa purchasers and 95 percent are derived from sales and deliveries to purchasers outside of Iowa. A will include 5 percent of its distributive share of the gross receipts of the partnership in the numerator along with A’s destination Iowa sales in calculating its business activity ratio. A will include 100 percent of its</w:t>
      </w:r>
    </w:p>
    <w:p w14:paraId="6AE1C43A" w14:textId="77777777" w:rsidR="000000D1" w:rsidRPr="000000D1" w:rsidRDefault="000000D1" w:rsidP="000000D1">
      <w:pPr>
        <w:ind w:left="1440"/>
        <w:contextualSpacing/>
        <w:rPr>
          <w:rFonts w:eastAsia="Calibri" w:cs="Times New Roman"/>
        </w:rPr>
      </w:pPr>
      <w:r w:rsidRPr="000000D1">
        <w:rPr>
          <w:rFonts w:eastAsia="Calibri" w:cs="Times New Roman"/>
        </w:rPr>
        <w:t>distributive share of the gross receipts in the denominator along with A’s total sales in calculating its business activity ratio.</w:t>
      </w:r>
    </w:p>
    <w:p w14:paraId="7231E5F2" w14:textId="77777777" w:rsidR="000000D1" w:rsidRPr="000000D1" w:rsidRDefault="000000D1" w:rsidP="000000D1">
      <w:pPr>
        <w:ind w:left="1440"/>
        <w:contextualSpacing/>
        <w:rPr>
          <w:rFonts w:eastAsia="Calibri" w:cs="Times New Roman"/>
        </w:rPr>
      </w:pPr>
    </w:p>
    <w:p w14:paraId="7F4F5EEF" w14:textId="77777777" w:rsidR="000000D1" w:rsidRPr="000000D1" w:rsidRDefault="000000D1" w:rsidP="000000D1">
      <w:pPr>
        <w:ind w:left="1440"/>
        <w:contextualSpacing/>
        <w:rPr>
          <w:rFonts w:eastAsia="Calibri" w:cs="Times New Roman"/>
        </w:rPr>
      </w:pPr>
      <w:r w:rsidRPr="000000D1">
        <w:rPr>
          <w:rFonts w:eastAsia="Calibri" w:cs="Times New Roman"/>
        </w:rPr>
        <w:t>EXAMPLE 2: B, a corporation with a commercial domicile in State X, has no physical presence in the state of Iowa. B’s only contact with Iowa is B’s interest in a limited partnership whose business is conducted within and without Iowa. Ten percent of the limited partnership’s gross receipts are derived from the sale of tangible personal property to Iowa purchasers and 90 percent are derived from sales and deliveries to purchasers outside of Iowa. B will include 10 percent of its distributive share of the</w:t>
      </w:r>
    </w:p>
    <w:p w14:paraId="22F9F7EE" w14:textId="77777777" w:rsidR="000000D1" w:rsidRPr="000000D1" w:rsidRDefault="000000D1" w:rsidP="000000D1">
      <w:pPr>
        <w:ind w:left="1440"/>
        <w:contextualSpacing/>
        <w:rPr>
          <w:rFonts w:eastAsia="Calibri" w:cs="Times New Roman"/>
        </w:rPr>
      </w:pPr>
      <w:r w:rsidRPr="000000D1">
        <w:rPr>
          <w:rFonts w:eastAsia="Calibri" w:cs="Times New Roman"/>
        </w:rPr>
        <w:t>gross receipts of the partnership in the numerator in calculating its business activity ratio. B will include 100 percent of its distributive share of the gross receipts in the denominator along with B’s total sales in calculating its business activity ratio.</w:t>
      </w:r>
    </w:p>
    <w:p w14:paraId="6AA917BC" w14:textId="77777777" w:rsidR="000000D1" w:rsidRPr="000000D1" w:rsidRDefault="000000D1" w:rsidP="000000D1">
      <w:pPr>
        <w:ind w:left="720"/>
        <w:contextualSpacing/>
        <w:rPr>
          <w:rFonts w:eastAsia="Calibri" w:cs="Times New Roman"/>
        </w:rPr>
      </w:pPr>
    </w:p>
    <w:p w14:paraId="740082ED" w14:textId="77777777" w:rsidR="000000D1" w:rsidRPr="000000D1" w:rsidRDefault="000000D1" w:rsidP="000000D1">
      <w:pPr>
        <w:ind w:left="720"/>
        <w:contextualSpacing/>
        <w:rPr>
          <w:rFonts w:eastAsia="Calibri" w:cs="Times New Roman"/>
        </w:rPr>
      </w:pPr>
      <w:r w:rsidRPr="000000D1">
        <w:rPr>
          <w:rFonts w:eastAsia="Calibri" w:cs="Times New Roman"/>
        </w:rPr>
        <w:t xml:space="preserve">Iowa Admin. Code r. 701-302.12 </w:t>
      </w:r>
    </w:p>
    <w:p w14:paraId="52ABB30F" w14:textId="77777777" w:rsidR="000000D1" w:rsidRPr="000000D1" w:rsidRDefault="000000D1" w:rsidP="000000D1">
      <w:pPr>
        <w:contextualSpacing/>
        <w:rPr>
          <w:rFonts w:eastAsia="Calibri" w:cs="Times New Roman"/>
        </w:rPr>
      </w:pPr>
    </w:p>
    <w:p w14:paraId="2001351F" w14:textId="77777777" w:rsidR="000000D1" w:rsidRPr="000000D1" w:rsidRDefault="000000D1" w:rsidP="000000D1">
      <w:pPr>
        <w:ind w:left="1440"/>
        <w:rPr>
          <w:rFonts w:eastAsia="Calibri" w:cs="Times New Roman"/>
        </w:rPr>
      </w:pPr>
      <w:r w:rsidRPr="000000D1">
        <w:rPr>
          <w:rFonts w:eastAsia="Calibri" w:cs="Times New Roman"/>
        </w:rPr>
        <w:t>Residents engaged in a partnership or limited liability company, even if located or doing business outside the state of Iowa, are taxable upon their distributive share of net 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695FA49A"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701-302.16(4)(a) </w:t>
      </w:r>
    </w:p>
    <w:p w14:paraId="153A8695" w14:textId="77777777" w:rsidR="000000D1" w:rsidRPr="000000D1" w:rsidRDefault="000000D1" w:rsidP="000000D1">
      <w:pPr>
        <w:contextualSpacing/>
        <w:rPr>
          <w:rFonts w:eastAsia="Calibri" w:cs="Times New Roman"/>
        </w:rPr>
      </w:pPr>
    </w:p>
    <w:p w14:paraId="0149C56B" w14:textId="77777777" w:rsidR="000000D1" w:rsidRPr="000000D1" w:rsidRDefault="000000D1" w:rsidP="000000D1">
      <w:pPr>
        <w:ind w:left="1440"/>
        <w:rPr>
          <w:rFonts w:eastAsia="Calibri" w:cs="Times New Roman"/>
        </w:rPr>
      </w:pPr>
      <w:r w:rsidRPr="000000D1">
        <w:rPr>
          <w:rFonts w:eastAsia="Calibri" w:cs="Times New Roman"/>
        </w:rPr>
        <w:lastRenderedPageBreak/>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062751B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701-302.16(6) </w:t>
      </w:r>
    </w:p>
    <w:p w14:paraId="2D75D981" w14:textId="77777777" w:rsidR="000000D1" w:rsidRPr="000000D1" w:rsidRDefault="000000D1" w:rsidP="000000D1">
      <w:pPr>
        <w:contextualSpacing/>
        <w:rPr>
          <w:rFonts w:eastAsia="Calibri" w:cs="Times New Roman"/>
        </w:rPr>
      </w:pPr>
    </w:p>
    <w:p w14:paraId="1D2605E9" w14:textId="77777777" w:rsidR="000000D1" w:rsidRPr="000000D1" w:rsidRDefault="000000D1" w:rsidP="000000D1">
      <w:pPr>
        <w:ind w:left="1440"/>
        <w:contextualSpacing/>
        <w:rPr>
          <w:rFonts w:eastAsia="Calibri" w:cs="Times New Roman"/>
        </w:rPr>
      </w:pPr>
      <w:r w:rsidRPr="000000D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56BD803E" w14:textId="77777777" w:rsidR="000000D1" w:rsidRPr="000000D1" w:rsidRDefault="000000D1" w:rsidP="000000D1">
      <w:pPr>
        <w:ind w:left="720"/>
        <w:contextualSpacing/>
        <w:rPr>
          <w:rFonts w:eastAsia="Calibri" w:cs="Times New Roman"/>
        </w:rPr>
      </w:pPr>
    </w:p>
    <w:p w14:paraId="3EED9C6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701-302.16(9)(b) </w:t>
      </w:r>
    </w:p>
    <w:p w14:paraId="3C953345" w14:textId="77777777" w:rsidR="000000D1" w:rsidRPr="000000D1" w:rsidRDefault="000000D1" w:rsidP="000000D1">
      <w:pPr>
        <w:contextualSpacing/>
        <w:rPr>
          <w:rFonts w:eastAsia="Calibri" w:cs="Times New Roman"/>
        </w:rPr>
      </w:pPr>
    </w:p>
    <w:p w14:paraId="42DCA579" w14:textId="77777777" w:rsidR="000000D1" w:rsidRPr="000000D1" w:rsidRDefault="000000D1" w:rsidP="000000D1">
      <w:pPr>
        <w:ind w:left="1440"/>
        <w:contextualSpacing/>
        <w:rPr>
          <w:rFonts w:eastAsia="Calibri" w:cs="Times New Roman"/>
        </w:rPr>
      </w:pPr>
      <w:r w:rsidRPr="000000D1">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 v. Arizona State Tax Com’n., 566 P.2d 1348, 1350 (Ariz. App. 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25C4F0C5" w14:textId="77777777" w:rsidR="000000D1" w:rsidRPr="000000D1" w:rsidRDefault="000000D1" w:rsidP="000000D1">
      <w:pPr>
        <w:pBdr>
          <w:bottom w:val="single" w:sz="4" w:space="0" w:color="auto"/>
        </w:pBdr>
        <w:rPr>
          <w:rFonts w:eastAsia="Calibri" w:cs="Times New Roman"/>
        </w:rPr>
      </w:pPr>
    </w:p>
    <w:p w14:paraId="0F5578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8" w:name="_Toc195435287"/>
      <w:r w:rsidRPr="000000D1">
        <w:rPr>
          <w:rFonts w:ascii="Californian FB" w:eastAsia="Times New Roman" w:hAnsi="Californian FB" w:cs="Times New Roman"/>
          <w:b/>
          <w:color w:val="851C00"/>
          <w:sz w:val="24"/>
          <w:szCs w:val="24"/>
          <w:u w:val="single"/>
        </w:rPr>
        <w:t>Kansas</w:t>
      </w:r>
      <w:bookmarkEnd w:id="108"/>
    </w:p>
    <w:p w14:paraId="5D0D0140" w14:textId="77777777" w:rsidR="000000D1" w:rsidRPr="000000D1" w:rsidRDefault="000000D1" w:rsidP="000000D1">
      <w:pPr>
        <w:ind w:firstLine="720"/>
        <w:rPr>
          <w:rFonts w:eastAsia="Calibri" w:cs="Times New Roman"/>
          <w:i/>
          <w:iCs/>
        </w:rPr>
      </w:pPr>
      <w:r w:rsidRPr="000000D1">
        <w:rPr>
          <w:rFonts w:eastAsia="Calibri" w:cs="Times New Roman"/>
        </w:rPr>
        <w:t>Kan. Stat. Ann. § 79-32, 133</w:t>
      </w:r>
    </w:p>
    <w:p w14:paraId="56F5D654" w14:textId="77777777" w:rsidR="000000D1" w:rsidRPr="000000D1" w:rsidRDefault="000000D1" w:rsidP="000000D1">
      <w:pPr>
        <w:ind w:left="1440"/>
        <w:rPr>
          <w:rFonts w:eastAsia="Calibri" w:cs="Times New Roman"/>
        </w:rPr>
      </w:pPr>
      <w:r w:rsidRPr="000000D1">
        <w:rPr>
          <w:rFonts w:eastAsia="Calibri" w:cs="Times New Roman"/>
        </w:rPr>
        <w:t>For purposes of this act, a partner's distributive share of partnership income or of any item of income, gain, loss or deduction shall be determined in accordance with his or her distributive share of such item or items as determined for federal income tax purposes: Provided, however, That where a partner's distributive share of an item of partnership income, gain, loss, deduction, or credit is determined for federal income tax purposes by special provision of the partnership agreement with respect to such item, and where the principal purpose of such provision is the avoidance or evasion of tax under this act, the partner's distributive share of such item, and any modification required with respect thereto, shall be determined as if the partnership agreement made no special provision with respect to such item.</w:t>
      </w:r>
    </w:p>
    <w:p w14:paraId="302C4BCE"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Kan. Stat. Ann. § 79-3272 </w:t>
      </w:r>
    </w:p>
    <w:p w14:paraId="2E64D7E8" w14:textId="77777777" w:rsidR="000000D1" w:rsidRPr="000000D1" w:rsidRDefault="000000D1" w:rsidP="000000D1">
      <w:pPr>
        <w:contextualSpacing/>
        <w:rPr>
          <w:rFonts w:eastAsia="Calibri" w:cs="Times New Roman"/>
        </w:rPr>
      </w:pPr>
    </w:p>
    <w:p w14:paraId="6DBBB05A" w14:textId="77777777" w:rsidR="000000D1" w:rsidRPr="000000D1" w:rsidRDefault="000000D1" w:rsidP="000000D1">
      <w:pPr>
        <w:ind w:left="1440"/>
        <w:rPr>
          <w:rFonts w:eastAsia="Calibri" w:cs="Times New Roman"/>
        </w:rPr>
      </w:pPr>
      <w:r w:rsidRPr="000000D1">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54695B10" w14:textId="77777777" w:rsidR="000000D1" w:rsidRPr="000000D1" w:rsidRDefault="000000D1" w:rsidP="000000D1">
      <w:pPr>
        <w:ind w:firstLine="720"/>
        <w:rPr>
          <w:rFonts w:eastAsia="Calibri" w:cs="Times New Roman"/>
        </w:rPr>
      </w:pPr>
      <w:r w:rsidRPr="000000D1">
        <w:rPr>
          <w:rFonts w:eastAsia="Calibri" w:cs="Times New Roman"/>
        </w:rPr>
        <w:t xml:space="preserve">Kan. Admin. Regs. § 92-12-83 </w:t>
      </w:r>
    </w:p>
    <w:p w14:paraId="68D76414" w14:textId="77777777" w:rsidR="000000D1" w:rsidRPr="000000D1" w:rsidRDefault="000000D1" w:rsidP="000000D1">
      <w:pPr>
        <w:ind w:left="1440"/>
        <w:rPr>
          <w:rFonts w:eastAsia="Calibri" w:cs="Times New Roman"/>
        </w:rPr>
      </w:pPr>
      <w:r w:rsidRPr="000000D1">
        <w:rPr>
          <w:rFonts w:eastAsia="Calibri" w:cs="Times New Roman"/>
        </w:rPr>
        <w:lastRenderedPageBreak/>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2A27495B" w14:textId="77777777" w:rsidR="000000D1" w:rsidRPr="000000D1" w:rsidRDefault="000000D1" w:rsidP="000000D1">
      <w:pPr>
        <w:ind w:left="720"/>
        <w:contextualSpacing/>
        <w:rPr>
          <w:rFonts w:eastAsia="Calibri" w:cs="Times New Roman"/>
        </w:rPr>
      </w:pPr>
      <w:r w:rsidRPr="000000D1">
        <w:rPr>
          <w:rFonts w:eastAsia="Calibri" w:cs="Times New Roman"/>
        </w:rPr>
        <w:t xml:space="preserve">Kansas Department of Revenue Website </w:t>
      </w:r>
    </w:p>
    <w:p w14:paraId="4035E5BA" w14:textId="77777777" w:rsidR="000000D1" w:rsidRPr="000000D1" w:rsidRDefault="000000D1" w:rsidP="000000D1">
      <w:pPr>
        <w:contextualSpacing/>
        <w:rPr>
          <w:rFonts w:eastAsia="Calibri" w:cs="Times New Roman"/>
        </w:rPr>
      </w:pPr>
    </w:p>
    <w:p w14:paraId="6EBAD6DA" w14:textId="77777777" w:rsidR="000000D1" w:rsidRPr="000000D1" w:rsidRDefault="000000D1" w:rsidP="000000D1">
      <w:pPr>
        <w:ind w:left="1440"/>
        <w:rPr>
          <w:rFonts w:eastAsia="Calibri" w:cs="Times New Roman"/>
        </w:rPr>
      </w:pPr>
      <w:r w:rsidRPr="000000D1">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10D15193" w14:textId="77777777" w:rsidR="000000D1" w:rsidRPr="000000D1" w:rsidRDefault="000000D1" w:rsidP="000000D1">
      <w:pPr>
        <w:ind w:firstLine="720"/>
        <w:rPr>
          <w:rFonts w:eastAsia="Calibri" w:cs="Times New Roman"/>
        </w:rPr>
      </w:pPr>
      <w:r w:rsidRPr="000000D1">
        <w:rPr>
          <w:rFonts w:eastAsia="Calibri" w:cs="Times New Roman"/>
        </w:rPr>
        <w:t xml:space="preserve">Kansas Department of Revenue Website and Instructions to Form K-120S </w:t>
      </w:r>
    </w:p>
    <w:p w14:paraId="493328ED" w14:textId="77777777" w:rsidR="000000D1" w:rsidRPr="000000D1" w:rsidRDefault="000000D1" w:rsidP="000000D1">
      <w:pPr>
        <w:ind w:left="1440"/>
        <w:rPr>
          <w:rFonts w:eastAsia="Calibri" w:cs="Times New Roman"/>
        </w:rPr>
      </w:pPr>
      <w:r w:rsidRPr="000000D1">
        <w:rPr>
          <w:rFonts w:eastAsia="Calibri" w:cs="Times New Roman"/>
        </w:rPr>
        <w:t>Business income is apportioned to Kansas generally using the average of the three factors of property, payroll, and sales. For instance, business income received from 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4AB5F299" w14:textId="77777777" w:rsidR="000000D1" w:rsidRPr="000000D1" w:rsidRDefault="000000D1" w:rsidP="000000D1">
      <w:pPr>
        <w:ind w:left="1440"/>
        <w:rPr>
          <w:rFonts w:eastAsia="Calibri" w:cs="Times New Roman"/>
        </w:rPr>
      </w:pPr>
      <w:r w:rsidRPr="000000D1">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4128C401" w14:textId="77777777" w:rsidR="000000D1" w:rsidRPr="000000D1" w:rsidRDefault="000000D1" w:rsidP="000000D1">
      <w:pPr>
        <w:pBdr>
          <w:bottom w:val="single" w:sz="4" w:space="0" w:color="auto"/>
        </w:pBdr>
        <w:rPr>
          <w:rFonts w:eastAsia="Calibri" w:cs="Times New Roman"/>
        </w:rPr>
      </w:pPr>
    </w:p>
    <w:p w14:paraId="53F42DD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9" w:name="_Toc195435288"/>
      <w:r w:rsidRPr="000000D1">
        <w:rPr>
          <w:rFonts w:ascii="Californian FB" w:eastAsia="Times New Roman" w:hAnsi="Californian FB" w:cs="Times New Roman"/>
          <w:b/>
          <w:color w:val="851C00"/>
          <w:sz w:val="24"/>
          <w:szCs w:val="24"/>
          <w:u w:val="single"/>
        </w:rPr>
        <w:t>Kentucky</w:t>
      </w:r>
      <w:bookmarkEnd w:id="109"/>
      <w:r w:rsidRPr="000000D1">
        <w:rPr>
          <w:rFonts w:ascii="Californian FB" w:eastAsia="Times New Roman" w:hAnsi="Californian FB" w:cs="Times New Roman"/>
          <w:b/>
          <w:color w:val="851C00"/>
          <w:sz w:val="24"/>
          <w:szCs w:val="24"/>
          <w:u w:val="single"/>
        </w:rPr>
        <w:t xml:space="preserve"> </w:t>
      </w:r>
    </w:p>
    <w:p w14:paraId="598F2B8E" w14:textId="77777777" w:rsidR="000000D1" w:rsidRPr="000000D1" w:rsidRDefault="000000D1" w:rsidP="000000D1">
      <w:pPr>
        <w:ind w:left="720"/>
        <w:contextualSpacing/>
        <w:rPr>
          <w:rFonts w:eastAsia="Calibri" w:cs="Times New Roman"/>
        </w:rPr>
      </w:pPr>
      <w:r w:rsidRPr="000000D1">
        <w:rPr>
          <w:rFonts w:eastAsia="Calibri" w:cs="Times New Roman"/>
        </w:rPr>
        <w:t xml:space="preserve">Ky. Rev. Stat. Ann. § 141.206 </w:t>
      </w:r>
    </w:p>
    <w:p w14:paraId="6486C4FE" w14:textId="77777777" w:rsidR="000000D1" w:rsidRPr="000000D1" w:rsidRDefault="000000D1" w:rsidP="000000D1">
      <w:pPr>
        <w:ind w:left="720"/>
        <w:contextualSpacing/>
        <w:rPr>
          <w:rFonts w:eastAsia="Calibri" w:cs="Times New Roman"/>
        </w:rPr>
      </w:pPr>
    </w:p>
    <w:p w14:paraId="21403F62" w14:textId="77777777" w:rsidR="000000D1" w:rsidRPr="000000D1" w:rsidRDefault="000000D1" w:rsidP="000000D1">
      <w:pPr>
        <w:ind w:left="1800"/>
        <w:rPr>
          <w:rFonts w:eastAsia="Calibri" w:cs="Times New Roman"/>
        </w:rPr>
      </w:pPr>
      <w:r w:rsidRPr="000000D1">
        <w:rPr>
          <w:rFonts w:eastAsia="Calibri" w:cs="Times New Roman"/>
        </w:rPr>
        <w:t>(8) 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subsection (11) of this section; and (b) The partner's, member's, or shareholder's total distributive share of credits of the pass-through entity.</w:t>
      </w:r>
    </w:p>
    <w:p w14:paraId="38CC56C9" w14:textId="77777777" w:rsidR="000000D1" w:rsidRPr="000000D1" w:rsidRDefault="000000D1" w:rsidP="000000D1">
      <w:pPr>
        <w:ind w:left="1800"/>
        <w:rPr>
          <w:rFonts w:eastAsia="Calibri" w:cs="Times New Roman"/>
        </w:rPr>
      </w:pPr>
      <w:r w:rsidRPr="000000D1">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122A421A" w14:textId="77777777" w:rsidR="000000D1" w:rsidRPr="000000D1" w:rsidRDefault="000000D1" w:rsidP="000000D1">
      <w:pPr>
        <w:ind w:left="1800"/>
        <w:rPr>
          <w:rFonts w:eastAsia="Calibri" w:cs="Times New Roman"/>
        </w:rPr>
      </w:pPr>
      <w:r w:rsidRPr="000000D1">
        <w:rPr>
          <w:rFonts w:eastAsia="Calibri" w:cs="Times New Roman"/>
        </w:rPr>
        <w:t xml:space="preserve">(a) </w:t>
      </w:r>
    </w:p>
    <w:p w14:paraId="7A369431" w14:textId="77777777" w:rsidR="000000D1" w:rsidRPr="000000D1" w:rsidRDefault="000000D1" w:rsidP="000000D1">
      <w:pPr>
        <w:ind w:left="1800"/>
        <w:rPr>
          <w:rFonts w:eastAsia="Calibri" w:cs="Times New Roman"/>
        </w:rPr>
      </w:pPr>
      <w:r w:rsidRPr="000000D1">
        <w:rPr>
          <w:rFonts w:eastAsia="Calibri" w:cs="Times New Roman"/>
        </w:rPr>
        <w:t xml:space="preserve">1. For taxable years beginning on or after January 1, 2007, but prior to January 1, 2018, shall include the proportionate share of the sales, property, and payroll of </w:t>
      </w:r>
      <w:r w:rsidRPr="000000D1">
        <w:rPr>
          <w:rFonts w:eastAsia="Calibri" w:cs="Times New Roman"/>
        </w:rPr>
        <w:lastRenderedPageBreak/>
        <w:t xml:space="preserve">the limited liability pass-through entity or general partnership in computing its own apportionment factor; and </w:t>
      </w:r>
    </w:p>
    <w:p w14:paraId="1AE01736" w14:textId="77777777" w:rsidR="000000D1" w:rsidRPr="000000D1" w:rsidRDefault="000000D1" w:rsidP="000000D1">
      <w:pPr>
        <w:ind w:left="1800"/>
        <w:contextualSpacing/>
        <w:rPr>
          <w:rFonts w:eastAsia="Calibri" w:cs="Times New Roman"/>
        </w:rPr>
      </w:pPr>
      <w:r w:rsidRPr="000000D1">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21E72C64" w14:textId="77777777" w:rsidR="000000D1" w:rsidRPr="000000D1" w:rsidRDefault="000000D1" w:rsidP="000000D1">
      <w:pPr>
        <w:ind w:left="1800"/>
        <w:contextualSpacing/>
        <w:rPr>
          <w:rFonts w:eastAsia="Calibri" w:cs="Times New Roman"/>
        </w:rPr>
      </w:pPr>
    </w:p>
    <w:p w14:paraId="3C9EAD87" w14:textId="77777777" w:rsidR="000000D1" w:rsidRPr="000000D1" w:rsidRDefault="000000D1" w:rsidP="000000D1">
      <w:pPr>
        <w:ind w:left="1800"/>
        <w:contextualSpacing/>
        <w:rPr>
          <w:rFonts w:eastAsia="Calibri" w:cs="Times New Roman"/>
        </w:rPr>
      </w:pPr>
      <w:r w:rsidRPr="000000D1">
        <w:rPr>
          <w:rFonts w:eastAsia="Calibri" w:cs="Times New Roman"/>
        </w:rPr>
        <w:t xml:space="preserve">(b) Credits from the partnership. </w:t>
      </w:r>
    </w:p>
    <w:p w14:paraId="2E73EC89" w14:textId="77777777" w:rsidR="000000D1" w:rsidRPr="000000D1" w:rsidRDefault="000000D1" w:rsidP="000000D1">
      <w:pPr>
        <w:ind w:left="1800"/>
        <w:contextualSpacing/>
        <w:rPr>
          <w:rFonts w:eastAsia="Calibri" w:cs="Times New Roman"/>
        </w:rPr>
      </w:pPr>
    </w:p>
    <w:p w14:paraId="30460B1A" w14:textId="77777777" w:rsidR="000000D1" w:rsidRPr="000000D1" w:rsidRDefault="000000D1" w:rsidP="000000D1">
      <w:pPr>
        <w:ind w:left="1800"/>
        <w:contextualSpacing/>
        <w:rPr>
          <w:rFonts w:eastAsia="Calibri" w:cs="Times New Roman"/>
        </w:rPr>
      </w:pPr>
      <w:r w:rsidRPr="000000D1">
        <w:rPr>
          <w:rFonts w:eastAsia="Calibri" w:cs="Times New Roman"/>
        </w:rPr>
        <w:t xml:space="preserve">(10) </w:t>
      </w:r>
    </w:p>
    <w:p w14:paraId="0A24BB4A" w14:textId="77777777" w:rsidR="000000D1" w:rsidRPr="000000D1" w:rsidRDefault="000000D1" w:rsidP="000000D1">
      <w:pPr>
        <w:ind w:left="1800"/>
        <w:contextualSpacing/>
        <w:rPr>
          <w:rFonts w:eastAsia="Calibri" w:cs="Times New Roman"/>
        </w:rPr>
      </w:pPr>
    </w:p>
    <w:p w14:paraId="3E31CD5D" w14:textId="77777777" w:rsidR="000000D1" w:rsidRPr="000000D1" w:rsidRDefault="000000D1" w:rsidP="000000D1">
      <w:pPr>
        <w:ind w:left="1800"/>
        <w:contextualSpacing/>
        <w:rPr>
          <w:rFonts w:eastAsia="Calibri" w:cs="Times New Roman"/>
        </w:rPr>
      </w:pPr>
      <w:r w:rsidRPr="000000D1">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17A04D91" w14:textId="77777777" w:rsidR="000000D1" w:rsidRPr="000000D1" w:rsidRDefault="000000D1" w:rsidP="000000D1">
      <w:pPr>
        <w:ind w:left="1800"/>
        <w:contextualSpacing/>
        <w:rPr>
          <w:rFonts w:eastAsia="Calibri" w:cs="Times New Roman"/>
        </w:rPr>
      </w:pPr>
    </w:p>
    <w:p w14:paraId="7BCC72E9" w14:textId="77777777" w:rsidR="000000D1" w:rsidRPr="000000D1" w:rsidRDefault="000000D1" w:rsidP="000000D1">
      <w:pPr>
        <w:ind w:left="1800"/>
        <w:contextualSpacing/>
        <w:rPr>
          <w:rFonts w:eastAsia="Calibri" w:cs="Times New Roman"/>
        </w:rPr>
      </w:pPr>
      <w:r w:rsidRPr="000000D1">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6D616089" w14:textId="77777777" w:rsidR="000000D1" w:rsidRPr="000000D1" w:rsidRDefault="000000D1" w:rsidP="000000D1">
      <w:pPr>
        <w:ind w:left="1800"/>
        <w:contextualSpacing/>
        <w:rPr>
          <w:rFonts w:eastAsia="Calibri" w:cs="Times New Roman"/>
        </w:rPr>
      </w:pPr>
    </w:p>
    <w:p w14:paraId="4BC14667" w14:textId="77777777" w:rsidR="000000D1" w:rsidRPr="000000D1" w:rsidRDefault="000000D1" w:rsidP="000000D1">
      <w:pPr>
        <w:ind w:left="1800"/>
        <w:contextualSpacing/>
        <w:rPr>
          <w:rFonts w:eastAsia="Calibri" w:cs="Times New Roman"/>
        </w:rPr>
      </w:pPr>
      <w:r w:rsidRPr="000000D1">
        <w:rPr>
          <w:rFonts w:eastAsia="Calibri" w:cs="Times New Roman"/>
        </w:rPr>
        <w:t>(c) The phrases "a partner or member in another pass-through entity" and "doing business both within and without this state" shall extend to each level of multiple-tiered pass-through entities.</w:t>
      </w:r>
    </w:p>
    <w:p w14:paraId="50B6C724" w14:textId="77777777" w:rsidR="000000D1" w:rsidRPr="000000D1" w:rsidRDefault="000000D1" w:rsidP="000000D1">
      <w:pPr>
        <w:ind w:left="1800"/>
        <w:contextualSpacing/>
        <w:rPr>
          <w:rFonts w:eastAsia="Calibri" w:cs="Times New Roman"/>
        </w:rPr>
      </w:pPr>
    </w:p>
    <w:p w14:paraId="0F02953C" w14:textId="77777777" w:rsidR="000000D1" w:rsidRPr="000000D1" w:rsidRDefault="000000D1" w:rsidP="000000D1">
      <w:pPr>
        <w:ind w:left="1800"/>
        <w:contextualSpacing/>
        <w:rPr>
          <w:rFonts w:eastAsia="Calibri" w:cs="Times New Roman"/>
        </w:rPr>
      </w:pPr>
      <w:r w:rsidRPr="000000D1">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7123DA83" w14:textId="77777777" w:rsidR="000000D1" w:rsidRPr="000000D1" w:rsidRDefault="000000D1" w:rsidP="000000D1">
      <w:pPr>
        <w:ind w:left="1800"/>
        <w:contextualSpacing/>
        <w:rPr>
          <w:rFonts w:eastAsia="Calibri" w:cs="Times New Roman"/>
        </w:rPr>
      </w:pPr>
    </w:p>
    <w:p w14:paraId="0782CAE1" w14:textId="77777777" w:rsidR="000000D1" w:rsidRPr="000000D1" w:rsidRDefault="000000D1" w:rsidP="000000D1">
      <w:pPr>
        <w:ind w:left="1800"/>
        <w:contextualSpacing/>
        <w:rPr>
          <w:rFonts w:eastAsia="Calibri" w:cs="Times New Roman"/>
        </w:rPr>
      </w:pPr>
      <w:r w:rsidRPr="000000D1">
        <w:rPr>
          <w:rFonts w:eastAsia="Calibri" w:cs="Times New Roman"/>
        </w:rPr>
        <w:t xml:space="preserve">(11) </w:t>
      </w:r>
    </w:p>
    <w:p w14:paraId="3FADD3CF" w14:textId="77777777" w:rsidR="000000D1" w:rsidRPr="000000D1" w:rsidRDefault="000000D1" w:rsidP="000000D1">
      <w:pPr>
        <w:ind w:left="1800"/>
        <w:contextualSpacing/>
        <w:rPr>
          <w:rFonts w:eastAsia="Calibri" w:cs="Times New Roman"/>
        </w:rPr>
      </w:pPr>
    </w:p>
    <w:p w14:paraId="0AA37D46" w14:textId="77777777" w:rsidR="000000D1" w:rsidRPr="000000D1" w:rsidRDefault="000000D1" w:rsidP="000000D1">
      <w:pPr>
        <w:ind w:left="1800"/>
        <w:contextualSpacing/>
        <w:rPr>
          <w:rFonts w:eastAsia="Calibri" w:cs="Times New Roman"/>
        </w:rPr>
      </w:pPr>
      <w:r w:rsidRPr="000000D1">
        <w:rPr>
          <w:rFonts w:eastAsia="Calibri" w:cs="Times New Roman"/>
        </w:rPr>
        <w:t xml:space="preserve">(a) For taxable years beginning prior to January 1, 2018, a pass-through entity doing business within and without the state shall compute an apportionment fraction, the numerator of which is the property factor, representing twenty-five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3D09AE70" w14:textId="77777777" w:rsidR="000000D1" w:rsidRPr="000000D1" w:rsidRDefault="000000D1" w:rsidP="000000D1">
      <w:pPr>
        <w:ind w:left="1800"/>
        <w:contextualSpacing/>
        <w:rPr>
          <w:rFonts w:eastAsia="Calibri" w:cs="Times New Roman"/>
        </w:rPr>
      </w:pPr>
    </w:p>
    <w:p w14:paraId="3775C785" w14:textId="77777777" w:rsidR="000000D1" w:rsidRPr="000000D1" w:rsidRDefault="000000D1" w:rsidP="000000D1">
      <w:pPr>
        <w:ind w:left="1800"/>
        <w:contextualSpacing/>
        <w:rPr>
          <w:rFonts w:eastAsia="Calibri" w:cs="Times New Roman"/>
        </w:rPr>
      </w:pPr>
      <w:r w:rsidRPr="000000D1">
        <w:rPr>
          <w:rFonts w:eastAsia="Calibri" w:cs="Times New Roman"/>
        </w:rPr>
        <w:t>(b) For taxable years beginning on or after January 1, 2018, a pass-through entity doing business within and without the state shall compute an apportionment fraction as provided in KRS 141.120.</w:t>
      </w:r>
    </w:p>
    <w:p w14:paraId="3C74021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 Ky. Rev. Stat. Ann. § 141.121(6) </w:t>
      </w:r>
    </w:p>
    <w:p w14:paraId="498054B0" w14:textId="77777777" w:rsidR="000000D1" w:rsidRPr="000000D1" w:rsidRDefault="000000D1" w:rsidP="000000D1">
      <w:pPr>
        <w:ind w:left="720"/>
        <w:contextualSpacing/>
        <w:rPr>
          <w:rFonts w:eastAsia="Calibri" w:cs="Times New Roman"/>
        </w:rPr>
      </w:pPr>
      <w:r w:rsidRPr="000000D1">
        <w:rPr>
          <w:rFonts w:eastAsia="Calibri" w:cs="Times New Roman"/>
          <w:i/>
          <w:iCs/>
        </w:rPr>
        <w:tab/>
      </w:r>
    </w:p>
    <w:p w14:paraId="5B3DD035" w14:textId="77777777" w:rsidR="000000D1" w:rsidRPr="000000D1" w:rsidRDefault="000000D1" w:rsidP="000000D1">
      <w:pPr>
        <w:ind w:left="720" w:firstLine="720"/>
        <w:rPr>
          <w:rFonts w:eastAsia="Calibri" w:cs="Times New Roman"/>
        </w:rPr>
      </w:pPr>
      <w:r w:rsidRPr="000000D1">
        <w:rPr>
          <w:rFonts w:eastAsia="Calibri" w:cs="Times New Roman"/>
        </w:rPr>
        <w:t>A corporation:</w:t>
      </w:r>
    </w:p>
    <w:p w14:paraId="6D696D26" w14:textId="77777777" w:rsidR="000000D1" w:rsidRPr="000000D1" w:rsidRDefault="000000D1" w:rsidP="00E10036">
      <w:pPr>
        <w:numPr>
          <w:ilvl w:val="0"/>
          <w:numId w:val="24"/>
        </w:numPr>
        <w:contextualSpacing/>
        <w:rPr>
          <w:rFonts w:eastAsia="Calibri" w:cs="Times New Roman"/>
        </w:rPr>
      </w:pPr>
      <w:r w:rsidRPr="000000D1">
        <w:rPr>
          <w:rFonts w:eastAsia="Calibri" w:cs="Times New Roman"/>
        </w:rPr>
        <w:t>That owns an interest in a limited liability pass-through entity; or</w:t>
      </w:r>
    </w:p>
    <w:p w14:paraId="008D3A3A" w14:textId="77777777" w:rsidR="000000D1" w:rsidRPr="000000D1" w:rsidRDefault="000000D1" w:rsidP="00E10036">
      <w:pPr>
        <w:numPr>
          <w:ilvl w:val="0"/>
          <w:numId w:val="24"/>
        </w:numPr>
        <w:contextualSpacing/>
        <w:rPr>
          <w:rFonts w:eastAsia="Calibri" w:cs="Times New Roman"/>
        </w:rPr>
      </w:pPr>
      <w:r w:rsidRPr="000000D1">
        <w:rPr>
          <w:rFonts w:eastAsia="Calibri" w:cs="Times New Roman"/>
        </w:rPr>
        <w:t>That owns an interest in a general partnership;</w:t>
      </w:r>
    </w:p>
    <w:p w14:paraId="44FF7A7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shall include the proportionate share of receipts of the limited liability pass-through entity or general partnership when apportioning income. The phrases “an interest in a </w:t>
      </w:r>
      <w:r w:rsidRPr="000000D1">
        <w:rPr>
          <w:rFonts w:eastAsia="Calibri" w:cs="Times New Roman"/>
        </w:rPr>
        <w:lastRenderedPageBreak/>
        <w:t>limited liability pass-through entity” and “an interest in a general partnership” shall extend to each level of multiple-tiered pass-through entities.</w:t>
      </w:r>
    </w:p>
    <w:p w14:paraId="180923CF" w14:textId="77777777" w:rsidR="000000D1" w:rsidRPr="000000D1" w:rsidRDefault="000000D1" w:rsidP="000000D1">
      <w:pPr>
        <w:pBdr>
          <w:bottom w:val="single" w:sz="4" w:space="0" w:color="auto"/>
        </w:pBdr>
        <w:rPr>
          <w:rFonts w:eastAsia="Calibri" w:cs="Times New Roman"/>
        </w:rPr>
      </w:pPr>
    </w:p>
    <w:p w14:paraId="31AF8A9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0" w:name="_Toc195435289"/>
      <w:r w:rsidRPr="000000D1">
        <w:rPr>
          <w:rFonts w:ascii="Californian FB" w:eastAsia="Times New Roman" w:hAnsi="Californian FB" w:cs="Times New Roman"/>
          <w:b/>
          <w:color w:val="851C00"/>
          <w:sz w:val="24"/>
          <w:szCs w:val="24"/>
          <w:u w:val="single"/>
        </w:rPr>
        <w:t>Louisiana</w:t>
      </w:r>
      <w:bookmarkEnd w:id="110"/>
    </w:p>
    <w:p w14:paraId="36640318"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La. Rev. Stat. Ann. § 47:243(A)(6) </w:t>
      </w:r>
    </w:p>
    <w:p w14:paraId="35D77374" w14:textId="77777777" w:rsidR="000000D1" w:rsidRPr="000000D1" w:rsidRDefault="000000D1" w:rsidP="000000D1">
      <w:pPr>
        <w:ind w:left="720"/>
        <w:contextualSpacing/>
        <w:rPr>
          <w:rFonts w:eastAsia="Calibri" w:cs="Times New Roman"/>
        </w:rPr>
      </w:pPr>
    </w:p>
    <w:p w14:paraId="25750AC6" w14:textId="77777777" w:rsidR="000000D1" w:rsidRPr="000000D1" w:rsidRDefault="000000D1" w:rsidP="000000D1">
      <w:pPr>
        <w:ind w:left="1440"/>
        <w:contextualSpacing/>
        <w:rPr>
          <w:rFonts w:eastAsia="Calibri" w:cs="Times New Roman"/>
        </w:rPr>
      </w:pPr>
      <w:r w:rsidRPr="000000D1">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beneficiary.</w:t>
      </w:r>
    </w:p>
    <w:p w14:paraId="162B1B69" w14:textId="77777777" w:rsidR="000000D1" w:rsidRPr="000000D1" w:rsidRDefault="000000D1" w:rsidP="000000D1">
      <w:pPr>
        <w:contextualSpacing/>
        <w:rPr>
          <w:rFonts w:eastAsia="Calibri" w:cs="Times New Roman"/>
        </w:rPr>
      </w:pPr>
    </w:p>
    <w:p w14:paraId="0EC73795" w14:textId="77777777" w:rsidR="000000D1" w:rsidRPr="000000D1" w:rsidRDefault="000000D1" w:rsidP="000000D1">
      <w:pPr>
        <w:ind w:firstLine="720"/>
        <w:contextualSpacing/>
        <w:rPr>
          <w:rFonts w:eastAsia="Calibri" w:cs="Times New Roman"/>
        </w:rPr>
      </w:pPr>
      <w:r w:rsidRPr="000000D1">
        <w:rPr>
          <w:rFonts w:eastAsia="Calibri" w:cs="Times New Roman"/>
        </w:rPr>
        <w:t>La. Rev. Stat. Ann. § 47:287.93(A)(5)</w:t>
      </w:r>
    </w:p>
    <w:p w14:paraId="0BABF798" w14:textId="77777777" w:rsidR="000000D1" w:rsidRPr="000000D1" w:rsidRDefault="000000D1" w:rsidP="000000D1">
      <w:pPr>
        <w:contextualSpacing/>
        <w:rPr>
          <w:rFonts w:eastAsia="Calibri" w:cs="Times New Roman"/>
        </w:rPr>
      </w:pPr>
    </w:p>
    <w:p w14:paraId="5F4638FD" w14:textId="77777777" w:rsidR="000000D1" w:rsidRPr="000000D1" w:rsidRDefault="000000D1" w:rsidP="000000D1">
      <w:pPr>
        <w:ind w:left="1440"/>
        <w:contextualSpacing/>
        <w:rPr>
          <w:rFonts w:eastAsia="Calibri" w:cs="Times New Roman"/>
        </w:rPr>
      </w:pPr>
      <w:r w:rsidRPr="000000D1">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240539A6" w14:textId="77777777" w:rsidR="000000D1" w:rsidRPr="000000D1" w:rsidRDefault="000000D1" w:rsidP="000000D1">
      <w:pPr>
        <w:ind w:left="1440"/>
        <w:contextualSpacing/>
        <w:rPr>
          <w:rFonts w:eastAsia="Calibri" w:cs="Times New Roman"/>
        </w:rPr>
      </w:pPr>
    </w:p>
    <w:p w14:paraId="778152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La. Rev. Stat. Ann. § 47:287.92 </w:t>
      </w:r>
    </w:p>
    <w:p w14:paraId="37532100" w14:textId="77777777" w:rsidR="000000D1" w:rsidRPr="000000D1" w:rsidRDefault="000000D1" w:rsidP="000000D1">
      <w:pPr>
        <w:contextualSpacing/>
        <w:rPr>
          <w:rFonts w:eastAsia="Calibri" w:cs="Times New Roman"/>
        </w:rPr>
      </w:pPr>
    </w:p>
    <w:p w14:paraId="0B25C742" w14:textId="77777777" w:rsidR="000000D1" w:rsidRPr="000000D1" w:rsidRDefault="000000D1" w:rsidP="000000D1">
      <w:pPr>
        <w:ind w:left="1440"/>
        <w:rPr>
          <w:rFonts w:eastAsia="Calibri" w:cs="Times New Roman"/>
        </w:rPr>
      </w:pPr>
      <w:r w:rsidRPr="000000D1">
        <w:rPr>
          <w:rFonts w:eastAsia="Calibri" w:cs="Times New Roman"/>
        </w:rPr>
        <w:t>A. All items of gross income, not otherwise exempt, shall be segregated into two general classes designated as allocable income and apportionable income.</w:t>
      </w:r>
    </w:p>
    <w:p w14:paraId="4359E2AD" w14:textId="77777777" w:rsidR="000000D1" w:rsidRPr="000000D1" w:rsidRDefault="000000D1" w:rsidP="000000D1">
      <w:pPr>
        <w:ind w:left="1440"/>
        <w:rPr>
          <w:rFonts w:eastAsia="Calibri" w:cs="Times New Roman"/>
        </w:rPr>
      </w:pPr>
      <w:r w:rsidRPr="000000D1">
        <w:rPr>
          <w:rFonts w:eastAsia="Calibri" w:cs="Times New Roman"/>
        </w:rPr>
        <w:t>B. Allocable income. The class of gross income to be designated as "allocable income" shall include only the following:</w:t>
      </w:r>
    </w:p>
    <w:p w14:paraId="6A59ED6C" w14:textId="77777777" w:rsidR="000000D1" w:rsidRPr="000000D1" w:rsidRDefault="000000D1" w:rsidP="000000D1">
      <w:pPr>
        <w:ind w:left="1440"/>
        <w:rPr>
          <w:rFonts w:eastAsia="Calibri" w:cs="Times New Roman"/>
        </w:rPr>
      </w:pPr>
      <w:r w:rsidRPr="000000D1">
        <w:rPr>
          <w:rFonts w:eastAsia="Calibri" w:cs="Times New Roman"/>
        </w:rPr>
        <w:t>(1) Rents and royalties from immovable or corporeal movable property.</w:t>
      </w:r>
    </w:p>
    <w:p w14:paraId="16F63BA0" w14:textId="77777777" w:rsidR="000000D1" w:rsidRPr="000000D1" w:rsidRDefault="000000D1" w:rsidP="000000D1">
      <w:pPr>
        <w:ind w:left="1440"/>
        <w:rPr>
          <w:rFonts w:eastAsia="Calibri" w:cs="Times New Roman"/>
        </w:rPr>
      </w:pPr>
      <w:r w:rsidRPr="000000D1">
        <w:rPr>
          <w:rFonts w:eastAsia="Calibri" w:cs="Times New Roman"/>
        </w:rPr>
        <w:t>(2) Royalties or similar revenue from the use of patents, trademarks, copyrights, secret processes, and other similar intangible rights.</w:t>
      </w:r>
    </w:p>
    <w:p w14:paraId="7F5A3878" w14:textId="77777777" w:rsidR="000000D1" w:rsidRPr="000000D1" w:rsidRDefault="000000D1" w:rsidP="000000D1">
      <w:pPr>
        <w:ind w:left="1440"/>
        <w:rPr>
          <w:rFonts w:eastAsia="Calibri" w:cs="Times New Roman"/>
        </w:rPr>
      </w:pPr>
      <w:r w:rsidRPr="000000D1">
        <w:rPr>
          <w:rFonts w:eastAsia="Calibri" w:cs="Times New Roman"/>
        </w:rPr>
        <w:t>(3) Income from estates, trusts, and partnerships.</w:t>
      </w:r>
    </w:p>
    <w:p w14:paraId="43356182" w14:textId="77777777" w:rsidR="000000D1" w:rsidRPr="000000D1" w:rsidRDefault="000000D1" w:rsidP="000000D1">
      <w:pPr>
        <w:ind w:left="1440"/>
        <w:rPr>
          <w:rFonts w:eastAsia="Calibri" w:cs="Times New Roman"/>
        </w:rPr>
      </w:pPr>
      <w:r w:rsidRPr="000000D1">
        <w:rPr>
          <w:rFonts w:eastAsia="Calibri" w:cs="Times New Roman"/>
        </w:rPr>
        <w:t>(4) Income from construction, repair, or other similar services.</w:t>
      </w:r>
    </w:p>
    <w:p w14:paraId="71EA9343" w14:textId="77777777" w:rsidR="000000D1" w:rsidRPr="000000D1" w:rsidRDefault="000000D1" w:rsidP="000000D1">
      <w:pPr>
        <w:ind w:left="1440"/>
        <w:rPr>
          <w:rFonts w:eastAsia="Calibri" w:cs="Times New Roman"/>
        </w:rPr>
      </w:pPr>
      <w:r w:rsidRPr="000000D1">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F2065C7" w14:textId="77777777" w:rsidR="000000D1" w:rsidRPr="000000D1" w:rsidRDefault="000000D1" w:rsidP="000000D1">
      <w:pPr>
        <w:ind w:left="720"/>
        <w:contextualSpacing/>
        <w:rPr>
          <w:rFonts w:eastAsia="Calibri" w:cs="Times New Roman"/>
        </w:rPr>
      </w:pPr>
      <w:r w:rsidRPr="000000D1">
        <w:rPr>
          <w:rFonts w:eastAsia="Calibri" w:cs="Times New Roman"/>
        </w:rPr>
        <w:t>La. Rev. Stat. Ann. § 47:202(B)</w:t>
      </w:r>
      <w:r w:rsidRPr="000000D1">
        <w:rPr>
          <w:rFonts w:eastAsia="Calibri" w:cs="Times New Roman"/>
          <w:i/>
          <w:iCs/>
        </w:rPr>
        <w:t xml:space="preserve"> </w:t>
      </w:r>
    </w:p>
    <w:p w14:paraId="28ED67A0" w14:textId="77777777" w:rsidR="000000D1" w:rsidRPr="000000D1" w:rsidRDefault="000000D1" w:rsidP="000000D1">
      <w:pPr>
        <w:contextualSpacing/>
        <w:rPr>
          <w:rFonts w:eastAsia="Calibri" w:cs="Times New Roman"/>
        </w:rPr>
      </w:pPr>
    </w:p>
    <w:p w14:paraId="36AD20EB" w14:textId="77777777" w:rsidR="000000D1" w:rsidRPr="000000D1" w:rsidRDefault="000000D1" w:rsidP="000000D1">
      <w:pPr>
        <w:ind w:left="1440"/>
        <w:contextualSpacing/>
        <w:rPr>
          <w:rFonts w:eastAsia="Calibri" w:cs="Times New Roman"/>
        </w:rPr>
      </w:pPr>
      <w:r w:rsidRPr="000000D1">
        <w:rPr>
          <w:rFonts w:eastAsia="Calibri" w:cs="Times New Roman"/>
        </w:rPr>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2AD4AF43" w14:textId="77777777" w:rsidR="000000D1" w:rsidRPr="000000D1" w:rsidRDefault="000000D1" w:rsidP="000000D1">
      <w:pPr>
        <w:contextualSpacing/>
        <w:rPr>
          <w:rFonts w:eastAsia="Calibri" w:cs="Times New Roman"/>
        </w:rPr>
      </w:pPr>
    </w:p>
    <w:p w14:paraId="3C5479A7" w14:textId="77777777" w:rsidR="000000D1" w:rsidRPr="000000D1" w:rsidRDefault="000000D1" w:rsidP="000000D1">
      <w:pPr>
        <w:ind w:left="720"/>
        <w:contextualSpacing/>
        <w:rPr>
          <w:rFonts w:eastAsia="Calibri" w:cs="Times New Roman"/>
          <w:i/>
          <w:iCs/>
        </w:rPr>
      </w:pPr>
      <w:r w:rsidRPr="000000D1">
        <w:rPr>
          <w:rFonts w:eastAsia="Calibri" w:cs="Times New Roman"/>
        </w:rPr>
        <w:t>La. Rev. Stat. Ann. § 47:204</w:t>
      </w:r>
    </w:p>
    <w:p w14:paraId="0FCBCD1E" w14:textId="77777777" w:rsidR="000000D1" w:rsidRPr="000000D1" w:rsidRDefault="000000D1" w:rsidP="000000D1">
      <w:pPr>
        <w:contextualSpacing/>
        <w:rPr>
          <w:rFonts w:eastAsia="Calibri" w:cs="Times New Roman"/>
        </w:rPr>
      </w:pPr>
    </w:p>
    <w:p w14:paraId="1888BC63" w14:textId="77777777" w:rsidR="000000D1" w:rsidRPr="000000D1" w:rsidRDefault="000000D1" w:rsidP="000000D1">
      <w:pPr>
        <w:ind w:left="1440"/>
        <w:rPr>
          <w:rFonts w:eastAsia="Calibri" w:cs="Times New Roman"/>
        </w:rPr>
      </w:pPr>
      <w:r w:rsidRPr="000000D1">
        <w:rPr>
          <w:rFonts w:eastAsia="Calibri" w:cs="Times New Roman"/>
        </w:rPr>
        <w:t>A. Effect of partnership agreement. A partner's distributive share of income, gain, loss, deduction, or credit shall, except as otherwise provided in this section, be determined by the partnership agreement.</w:t>
      </w:r>
    </w:p>
    <w:p w14:paraId="50AFD630" w14:textId="77777777" w:rsidR="000000D1" w:rsidRPr="000000D1" w:rsidRDefault="000000D1" w:rsidP="000000D1">
      <w:pPr>
        <w:ind w:left="1440"/>
        <w:rPr>
          <w:rFonts w:eastAsia="Calibri" w:cs="Times New Roman"/>
        </w:rPr>
      </w:pPr>
      <w:r w:rsidRPr="000000D1">
        <w:rPr>
          <w:rFonts w:eastAsia="Calibri" w:cs="Times New Roman"/>
        </w:rPr>
        <w:lastRenderedPageBreak/>
        <w:t>B. Distributive share determined by income or loss ratio. A partner's distributive share of any item of income, gain, loss, or deduction shall be determined in accordance with his distributive share of taxable income or loss of the partnership, as described in R.S. 47:202A(4), for the taxable year, if:</w:t>
      </w:r>
    </w:p>
    <w:p w14:paraId="04B8E06F" w14:textId="77777777" w:rsidR="000000D1" w:rsidRPr="000000D1" w:rsidRDefault="000000D1" w:rsidP="000000D1">
      <w:pPr>
        <w:ind w:left="1440"/>
        <w:rPr>
          <w:rFonts w:eastAsia="Calibri" w:cs="Times New Roman"/>
        </w:rPr>
      </w:pPr>
      <w:r w:rsidRPr="000000D1">
        <w:rPr>
          <w:rFonts w:eastAsia="Calibri" w:cs="Times New Roman"/>
        </w:rPr>
        <w:t>(1) the partnership agreement does not provide as to the partner's distributive share of such item, or</w:t>
      </w:r>
    </w:p>
    <w:p w14:paraId="4386B281" w14:textId="77777777" w:rsidR="000000D1" w:rsidRPr="000000D1" w:rsidRDefault="000000D1" w:rsidP="000000D1">
      <w:pPr>
        <w:ind w:left="1440"/>
        <w:rPr>
          <w:rFonts w:eastAsia="Calibri" w:cs="Times New Roman"/>
        </w:rPr>
      </w:pPr>
      <w:r w:rsidRPr="000000D1">
        <w:rPr>
          <w:rFonts w:eastAsia="Calibri" w:cs="Times New Roman"/>
        </w:rPr>
        <w:t>(2) the principal purpose of any provision in the partnership agreement with respect to the partner's distributive share of such item is the avoidance or evasion of any tax imposed by this chapter.</w:t>
      </w:r>
    </w:p>
    <w:p w14:paraId="217AD0D6" w14:textId="77777777" w:rsidR="000000D1" w:rsidRPr="000000D1" w:rsidRDefault="000000D1" w:rsidP="000000D1">
      <w:pPr>
        <w:ind w:left="720" w:firstLine="720"/>
        <w:rPr>
          <w:rFonts w:eastAsia="Calibri" w:cs="Times New Roman"/>
        </w:rPr>
      </w:pPr>
      <w:r w:rsidRPr="000000D1">
        <w:rPr>
          <w:rFonts w:eastAsia="Calibri" w:cs="Times New Roman"/>
        </w:rPr>
        <w:t>C. Contributed property.</w:t>
      </w:r>
    </w:p>
    <w:p w14:paraId="7FAA70A3" w14:textId="77777777" w:rsidR="000000D1" w:rsidRPr="000000D1" w:rsidRDefault="000000D1" w:rsidP="000000D1">
      <w:pPr>
        <w:ind w:left="1440"/>
        <w:rPr>
          <w:rFonts w:eastAsia="Calibri" w:cs="Times New Roman"/>
        </w:rPr>
      </w:pPr>
      <w:r w:rsidRPr="000000D1">
        <w:rPr>
          <w:rFonts w:eastAsia="Calibri" w:cs="Times New Roman"/>
        </w:rPr>
        <w:t>(1) General rule. In determining a partner's distributive share of items described in R.S. 47:202A, depreciation, depletion, or gain or loss with respect to property contributed to the partnership by a partner shall, except to the extent otherwise provided in subsection C.(2) or C.(3) of this section be allocated among the partners in the same manner as if such property had been purchased by the partnership.</w:t>
      </w:r>
    </w:p>
    <w:p w14:paraId="48B027AF" w14:textId="77777777" w:rsidR="000000D1" w:rsidRPr="000000D1" w:rsidRDefault="000000D1" w:rsidP="000000D1">
      <w:pPr>
        <w:ind w:left="1440"/>
        <w:rPr>
          <w:rFonts w:eastAsia="Calibri" w:cs="Times New Roman"/>
        </w:rPr>
      </w:pPr>
      <w:r w:rsidRPr="000000D1">
        <w:rPr>
          <w:rFonts w:eastAsia="Calibri" w:cs="Times New Roman"/>
        </w:rPr>
        <w:t>(2) If the partnership agreement so provides, depreciation, depletion, or gain or loss with respect to property contributed to the partnership by a partner shall, under regulations prescribed by the Collector, be shared among the partners so as to take account of the variation between the basis of the property to the partnership and its fair market value at the time of contribution.</w:t>
      </w:r>
    </w:p>
    <w:p w14:paraId="28EF31D4" w14:textId="77777777" w:rsidR="000000D1" w:rsidRPr="000000D1" w:rsidRDefault="000000D1" w:rsidP="000000D1">
      <w:pPr>
        <w:ind w:left="1440"/>
        <w:rPr>
          <w:rFonts w:eastAsia="Calibri" w:cs="Times New Roman"/>
        </w:rPr>
      </w:pPr>
      <w:r w:rsidRPr="000000D1">
        <w:rPr>
          <w:rFonts w:eastAsia="Calibri" w:cs="Times New Roman"/>
        </w:rPr>
        <w:t>(3) Undivided interests. If the partnership agreement does not prove otherwise, depreciation, depletion, or gain or loss with respect to undivided interests in property contributed to a partnership shall be determined as though such undivided interests had not been contributed to the partnership. This paragraph shall apply only if all of the partners had undivided interests in such property prior to making the contribution and their interests in the capital and profits of the partnership correspond with such undivided interests.</w:t>
      </w:r>
    </w:p>
    <w:p w14:paraId="7B574FE7" w14:textId="77777777" w:rsidR="000000D1" w:rsidRPr="000000D1" w:rsidRDefault="000000D1" w:rsidP="000000D1">
      <w:pPr>
        <w:ind w:left="1440"/>
        <w:rPr>
          <w:rFonts w:eastAsia="Calibri" w:cs="Times New Roman"/>
        </w:rPr>
      </w:pPr>
      <w:r w:rsidRPr="000000D1">
        <w:rPr>
          <w:rFonts w:eastAsia="Calibri" w:cs="Times New Roman"/>
        </w:rPr>
        <w:t>D. Limitation on allowance of losses. A partner's distributive share partnership loss (including capital loss) shall be allowed only to the extent of the adjusted basis of such partner's interest in the partnership at the end of the partnership year in which such loss occurred. Any excess of such loss over such basis shall be allowed as a deduction at the end of the partnership year in which such excess is repaid to the partnership.</w:t>
      </w:r>
    </w:p>
    <w:p w14:paraId="5FA15278" w14:textId="77777777" w:rsidR="000000D1" w:rsidRPr="000000D1" w:rsidRDefault="000000D1" w:rsidP="000000D1">
      <w:pPr>
        <w:pBdr>
          <w:bottom w:val="single" w:sz="4" w:space="0" w:color="auto"/>
        </w:pBdr>
        <w:rPr>
          <w:rFonts w:eastAsia="Calibri" w:cs="Times New Roman"/>
        </w:rPr>
      </w:pPr>
    </w:p>
    <w:p w14:paraId="4AE5A1A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1" w:name="_Toc195435290"/>
      <w:r w:rsidRPr="000000D1">
        <w:rPr>
          <w:rFonts w:ascii="Californian FB" w:eastAsia="Times New Roman" w:hAnsi="Californian FB" w:cs="Times New Roman"/>
          <w:b/>
          <w:color w:val="851C00"/>
          <w:sz w:val="24"/>
          <w:szCs w:val="24"/>
          <w:u w:val="single"/>
        </w:rPr>
        <w:t>Maine</w:t>
      </w:r>
      <w:bookmarkEnd w:id="111"/>
    </w:p>
    <w:p w14:paraId="6678731D"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5191(2) </w:t>
      </w:r>
    </w:p>
    <w:p w14:paraId="35E516BF" w14:textId="77777777" w:rsidR="000000D1" w:rsidRPr="000000D1" w:rsidRDefault="000000D1" w:rsidP="000000D1">
      <w:pPr>
        <w:contextualSpacing/>
        <w:rPr>
          <w:rFonts w:eastAsia="Calibri" w:cs="Times New Roman"/>
        </w:rPr>
      </w:pPr>
    </w:p>
    <w:p w14:paraId="30A676DA" w14:textId="77777777" w:rsidR="000000D1" w:rsidRPr="000000D1" w:rsidRDefault="000000D1" w:rsidP="000000D1">
      <w:pPr>
        <w:ind w:left="1440"/>
        <w:rPr>
          <w:rFonts w:eastAsia="Calibri" w:cs="Times New Roman"/>
        </w:rPr>
      </w:pPr>
      <w:r w:rsidRPr="000000D1">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7D2A5E6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5191(3) </w:t>
      </w:r>
    </w:p>
    <w:p w14:paraId="5D73E9F5" w14:textId="77777777" w:rsidR="000000D1" w:rsidRPr="000000D1" w:rsidRDefault="000000D1" w:rsidP="000000D1">
      <w:pPr>
        <w:contextualSpacing/>
        <w:rPr>
          <w:rFonts w:eastAsia="Calibri" w:cs="Times New Roman"/>
        </w:rPr>
      </w:pPr>
    </w:p>
    <w:p w14:paraId="42E34EB8" w14:textId="77777777" w:rsidR="000000D1" w:rsidRPr="000000D1" w:rsidRDefault="000000D1" w:rsidP="000000D1">
      <w:pPr>
        <w:ind w:left="1440"/>
        <w:rPr>
          <w:rFonts w:eastAsia="Calibri" w:cs="Times New Roman"/>
        </w:rPr>
      </w:pPr>
      <w:r w:rsidRPr="000000D1">
        <w:rPr>
          <w:rFonts w:eastAsia="Calibri" w:cs="Times New Roman"/>
        </w:rP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w:t>
      </w:r>
      <w:r w:rsidRPr="000000D1">
        <w:rPr>
          <w:rFonts w:eastAsia="Calibri" w:cs="Times New Roman"/>
        </w:rPr>
        <w:lastRenderedPageBreak/>
        <w:t>respect to that item must be determined in accordance with the partner's distributive share of the taxable income or loss of the partnership generally, exclusive of items that must be separately computed under the Code, Section 702.</w:t>
      </w:r>
    </w:p>
    <w:p w14:paraId="254FC63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5192(6) </w:t>
      </w:r>
    </w:p>
    <w:p w14:paraId="00739F2C" w14:textId="77777777" w:rsidR="000000D1" w:rsidRPr="000000D1" w:rsidRDefault="000000D1" w:rsidP="000000D1">
      <w:pPr>
        <w:contextualSpacing/>
        <w:rPr>
          <w:rFonts w:eastAsia="Calibri" w:cs="Times New Roman"/>
        </w:rPr>
      </w:pPr>
    </w:p>
    <w:p w14:paraId="6EAE0C23" w14:textId="77777777" w:rsidR="000000D1" w:rsidRPr="000000D1" w:rsidRDefault="000000D1" w:rsidP="000000D1">
      <w:pPr>
        <w:ind w:left="1440"/>
        <w:rPr>
          <w:rFonts w:eastAsia="Calibri" w:cs="Times New Roman"/>
        </w:rPr>
      </w:pPr>
      <w:r w:rsidRPr="000000D1">
        <w:t xml:space="preserve"> </w:t>
      </w:r>
      <w:r w:rsidRPr="000000D1">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26147A8D"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5211(1) </w:t>
      </w:r>
    </w:p>
    <w:p w14:paraId="7AAE3E86" w14:textId="77777777" w:rsidR="000000D1" w:rsidRPr="000000D1" w:rsidRDefault="000000D1" w:rsidP="000000D1">
      <w:pPr>
        <w:contextualSpacing/>
        <w:rPr>
          <w:rFonts w:eastAsia="Calibri" w:cs="Times New Roman"/>
        </w:rPr>
      </w:pPr>
    </w:p>
    <w:p w14:paraId="09A18994" w14:textId="77777777" w:rsidR="000000D1" w:rsidRPr="000000D1" w:rsidRDefault="000000D1" w:rsidP="000000D1">
      <w:pPr>
        <w:ind w:left="1440"/>
        <w:rPr>
          <w:rFonts w:eastAsia="Calibri" w:cs="Times New Roman"/>
        </w:rPr>
      </w:pPr>
      <w:r w:rsidRPr="000000D1">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w14:paraId="15279F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18-125 Me. Code R. 801 § .07 </w:t>
      </w:r>
    </w:p>
    <w:p w14:paraId="2C247594" w14:textId="77777777" w:rsidR="000000D1" w:rsidRPr="000000D1" w:rsidRDefault="000000D1" w:rsidP="000000D1">
      <w:pPr>
        <w:contextualSpacing/>
        <w:rPr>
          <w:rFonts w:eastAsia="Calibri" w:cs="Times New Roman"/>
        </w:rPr>
      </w:pPr>
    </w:p>
    <w:p w14:paraId="0DBF732E" w14:textId="77777777" w:rsidR="000000D1" w:rsidRPr="000000D1" w:rsidRDefault="000000D1" w:rsidP="000000D1">
      <w:pPr>
        <w:ind w:left="1440"/>
        <w:rPr>
          <w:rFonts w:eastAsia="Calibri" w:cs="Times New Roman"/>
        </w:rPr>
      </w:pPr>
      <w:r w:rsidRPr="000000D1">
        <w:rPr>
          <w:rFonts w:eastAsia="Calibri" w:cs="Times New Roman"/>
        </w:rPr>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04B258F9" w14:textId="77777777" w:rsidR="000000D1" w:rsidRPr="000000D1" w:rsidRDefault="000000D1" w:rsidP="000000D1">
      <w:pPr>
        <w:ind w:left="1440"/>
        <w:rPr>
          <w:rFonts w:eastAsia="Calibri" w:cs="Times New Roman"/>
        </w:rPr>
      </w:pPr>
      <w:r w:rsidRPr="000000D1">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490BF0D8" w14:textId="77777777" w:rsidR="000000D1" w:rsidRPr="000000D1" w:rsidRDefault="000000D1" w:rsidP="000000D1">
      <w:pPr>
        <w:ind w:left="1440"/>
        <w:rPr>
          <w:rFonts w:eastAsia="Calibri" w:cs="Times New Roman"/>
        </w:rPr>
      </w:pPr>
      <w:r w:rsidRPr="000000D1">
        <w:rPr>
          <w:rFonts w:eastAsia="Calibri" w:cs="Times New Roman"/>
        </w:rPr>
        <w:t>C. Taxable in another state. A corporation is taxable in another state within the meaning of section .04 above if the corporation is a partner, shareholder or member in a passthrough entity with activities in that state that cause the pass-through entity or its partner, shareholder or member to be taxable in that state under the rules described in section .04 above.</w:t>
      </w:r>
    </w:p>
    <w:p w14:paraId="6A2364A2" w14:textId="77777777" w:rsidR="000000D1" w:rsidRPr="000000D1" w:rsidRDefault="000000D1" w:rsidP="000000D1">
      <w:pPr>
        <w:ind w:left="1440"/>
        <w:rPr>
          <w:rFonts w:eastAsia="Calibri" w:cs="Times New Roman"/>
        </w:rPr>
      </w:pPr>
      <w:r w:rsidRPr="000000D1">
        <w:rPr>
          <w:rFonts w:eastAsia="Calibri" w:cs="Times New Roman"/>
        </w:rPr>
        <w:t>D. Apportionment rules. In general, if a corporate partner, shareholder or member is taxable in another state, it must apportion its taxable net income using the sales factor in 36 M.R.S. § 5211(8).</w:t>
      </w:r>
    </w:p>
    <w:p w14:paraId="6AD896B5" w14:textId="77777777" w:rsidR="000000D1" w:rsidRPr="000000D1" w:rsidRDefault="000000D1" w:rsidP="000000D1">
      <w:pPr>
        <w:ind w:left="2160"/>
        <w:rPr>
          <w:rFonts w:eastAsia="Calibri" w:cs="Times New Roman"/>
        </w:rPr>
      </w:pPr>
      <w:r w:rsidRPr="000000D1">
        <w:rPr>
          <w:rFonts w:eastAsia="Calibri" w:cs="Times New Roman"/>
        </w:rPr>
        <w:t>(1)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121A8143" w14:textId="77777777" w:rsidR="000000D1" w:rsidRPr="000000D1" w:rsidRDefault="000000D1" w:rsidP="000000D1">
      <w:pPr>
        <w:ind w:left="2880"/>
        <w:rPr>
          <w:rFonts w:eastAsia="Calibri" w:cs="Times New Roman"/>
        </w:rPr>
      </w:pPr>
      <w:r w:rsidRPr="000000D1">
        <w:rPr>
          <w:rFonts w:eastAsia="Calibri" w:cs="Times New Roman"/>
        </w:rPr>
        <w:lastRenderedPageBreak/>
        <w:t>(a) Sales by the corporation to the pass-through entity in an amount equal to the total of such sales multiplied by the corporation's interest in the passthrough entity; and</w:t>
      </w:r>
    </w:p>
    <w:p w14:paraId="1DDDA336" w14:textId="77777777" w:rsidR="000000D1" w:rsidRPr="000000D1" w:rsidRDefault="000000D1" w:rsidP="000000D1">
      <w:pPr>
        <w:ind w:left="2880"/>
        <w:rPr>
          <w:rFonts w:eastAsia="Calibri" w:cs="Times New Roman"/>
        </w:rPr>
      </w:pPr>
      <w:r w:rsidRPr="000000D1">
        <w:rPr>
          <w:rFonts w:eastAsia="Calibri" w:cs="Times New Roman"/>
        </w:rPr>
        <w:t>(b) Sales by the pass-through entity to the corporation in an amount not to exceed the total of all sales made by the pass-through entity multiplied by the corporation's interest in the pass-through entity.</w:t>
      </w:r>
    </w:p>
    <w:p w14:paraId="5ACB071D" w14:textId="77777777" w:rsidR="000000D1" w:rsidRPr="000000D1" w:rsidRDefault="000000D1" w:rsidP="000000D1">
      <w:pPr>
        <w:ind w:left="2160"/>
        <w:rPr>
          <w:rFonts w:eastAsia="Calibri" w:cs="Times New Roman"/>
        </w:rPr>
      </w:pPr>
      <w:r w:rsidRPr="000000D1">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39DCBBBA" w14:textId="77777777" w:rsidR="000000D1" w:rsidRPr="000000D1" w:rsidRDefault="000000D1" w:rsidP="000000D1">
      <w:pPr>
        <w:pBdr>
          <w:bottom w:val="single" w:sz="4" w:space="0" w:color="auto"/>
        </w:pBdr>
        <w:rPr>
          <w:rFonts w:eastAsia="Calibri" w:cs="Times New Roman"/>
        </w:rPr>
      </w:pPr>
    </w:p>
    <w:p w14:paraId="641AA06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2" w:name="_Toc195435291"/>
      <w:r w:rsidRPr="000000D1">
        <w:rPr>
          <w:rFonts w:ascii="Californian FB" w:eastAsia="Times New Roman" w:hAnsi="Californian FB" w:cs="Times New Roman"/>
          <w:b/>
          <w:color w:val="851C00"/>
          <w:sz w:val="24"/>
          <w:szCs w:val="24"/>
          <w:u w:val="single"/>
        </w:rPr>
        <w:t>Maryland</w:t>
      </w:r>
      <w:bookmarkEnd w:id="112"/>
    </w:p>
    <w:p w14:paraId="6C8803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Maryland Income Tax Administrative Release No. 12 (2008) </w:t>
      </w:r>
    </w:p>
    <w:p w14:paraId="39010A04" w14:textId="77777777" w:rsidR="000000D1" w:rsidRPr="000000D1" w:rsidRDefault="000000D1" w:rsidP="000000D1">
      <w:pPr>
        <w:contextualSpacing/>
        <w:rPr>
          <w:rFonts w:eastAsia="Calibri" w:cs="Times New Roman"/>
        </w:rPr>
      </w:pPr>
    </w:p>
    <w:p w14:paraId="77EA081A" w14:textId="77777777" w:rsidR="000000D1" w:rsidRPr="000000D1" w:rsidRDefault="000000D1" w:rsidP="000000D1">
      <w:pPr>
        <w:ind w:left="1440"/>
        <w:rPr>
          <w:rFonts w:eastAsia="Calibri" w:cs="Times New Roman"/>
        </w:rPr>
      </w:pPr>
      <w:r w:rsidRPr="000000D1">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p>
    <w:p w14:paraId="6845C6AD" w14:textId="77777777" w:rsidR="000000D1" w:rsidRPr="000000D1" w:rsidRDefault="000000D1" w:rsidP="000000D1">
      <w:pPr>
        <w:ind w:left="1440"/>
        <w:rPr>
          <w:rFonts w:eastAsia="Calibri" w:cs="Times New Roman"/>
        </w:rPr>
      </w:pPr>
      <w:r w:rsidRPr="000000D1">
        <w:rPr>
          <w:rFonts w:eastAsia="Calibri" w:cs="Times New Roman"/>
        </w:rPr>
        <w:t>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determined by applying the average of the ratios of all property, payroll, and sales (both corporate and partnership) to the corporation’s Maryland net income. In this manner, the corporation arrives at its Maryland taxable income attributable to business conducted in Maryland.</w:t>
      </w:r>
    </w:p>
    <w:p w14:paraId="57E3D727" w14:textId="77777777" w:rsidR="000000D1" w:rsidRPr="000000D1" w:rsidRDefault="000000D1" w:rsidP="000000D1">
      <w:pPr>
        <w:ind w:left="1440"/>
        <w:rPr>
          <w:rFonts w:ascii="Cambria Math" w:hAnsi="Cambria Math" w:cs="Cambria Math"/>
        </w:rPr>
      </w:pPr>
      <w:r w:rsidRPr="000000D1">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Maryland taxable income by use of the apportionment formula that includes the foreign corporation’s share of the partnership's apportionment factors, both numerator (Maryland) and denominator (everywhere). </w:t>
      </w:r>
    </w:p>
    <w:p w14:paraId="5AC1DA1E" w14:textId="77777777" w:rsidR="000000D1" w:rsidRPr="000000D1" w:rsidRDefault="000000D1" w:rsidP="000000D1">
      <w:pPr>
        <w:ind w:left="1440"/>
        <w:rPr>
          <w:rFonts w:eastAsia="Calibri" w:cs="Times New Roman"/>
        </w:rPr>
      </w:pPr>
      <w:r w:rsidRPr="000000D1">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59D9A0C4"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Md. Code Regs. 03.04.03.08(F)(2) </w:t>
      </w:r>
    </w:p>
    <w:p w14:paraId="0CF96050" w14:textId="77777777" w:rsidR="000000D1" w:rsidRPr="000000D1" w:rsidRDefault="000000D1" w:rsidP="000000D1">
      <w:pPr>
        <w:contextualSpacing/>
        <w:rPr>
          <w:rFonts w:eastAsia="Calibri" w:cs="Times New Roman"/>
        </w:rPr>
      </w:pPr>
    </w:p>
    <w:p w14:paraId="55F0A01F" w14:textId="77777777" w:rsidR="000000D1" w:rsidRPr="000000D1" w:rsidRDefault="000000D1" w:rsidP="000000D1">
      <w:pPr>
        <w:ind w:left="1440"/>
        <w:rPr>
          <w:rFonts w:eastAsia="Calibri" w:cs="Times New Roman"/>
        </w:rPr>
      </w:pPr>
      <w:r w:rsidRPr="000000D1">
        <w:rPr>
          <w:rFonts w:eastAsia="Calibri" w:cs="Times New Roman"/>
        </w:rPr>
        <w:t>A corporation's share of partnership or joint venture receipts, property, and wages shall be included in the apportionment formula:</w:t>
      </w:r>
    </w:p>
    <w:p w14:paraId="0B3BB4E9" w14:textId="77777777" w:rsidR="000000D1" w:rsidRPr="000000D1" w:rsidRDefault="000000D1" w:rsidP="000000D1">
      <w:pPr>
        <w:ind w:left="1440"/>
        <w:rPr>
          <w:rFonts w:eastAsia="Calibri" w:cs="Times New Roman"/>
        </w:rPr>
      </w:pPr>
      <w:r w:rsidRPr="000000D1">
        <w:rPr>
          <w:rFonts w:eastAsia="Calibri" w:cs="Times New Roman"/>
        </w:rPr>
        <w:t>(a) To the extent of the factors required; and</w:t>
      </w:r>
    </w:p>
    <w:p w14:paraId="0C97F47D" w14:textId="77777777" w:rsidR="000000D1" w:rsidRPr="000000D1" w:rsidRDefault="000000D1" w:rsidP="000000D1">
      <w:pPr>
        <w:ind w:left="1440"/>
        <w:rPr>
          <w:rFonts w:eastAsia="Calibri" w:cs="Times New Roman"/>
        </w:rPr>
      </w:pPr>
      <w:r w:rsidRPr="000000D1">
        <w:rPr>
          <w:rFonts w:eastAsia="Calibri" w:cs="Times New Roman"/>
        </w:rPr>
        <w:t>(b) In the same manner as if they were direct receipts, property, and wages of the corporation.</w:t>
      </w:r>
    </w:p>
    <w:p w14:paraId="3C8B0879" w14:textId="77777777" w:rsidR="000000D1" w:rsidRPr="000000D1" w:rsidRDefault="000000D1" w:rsidP="000000D1">
      <w:pPr>
        <w:ind w:left="720"/>
        <w:contextualSpacing/>
        <w:rPr>
          <w:rFonts w:eastAsia="Calibri" w:cs="Times New Roman"/>
        </w:rPr>
      </w:pPr>
      <w:r w:rsidRPr="000000D1">
        <w:rPr>
          <w:rFonts w:eastAsia="Calibri" w:cs="Times New Roman"/>
        </w:rPr>
        <w:t xml:space="preserve">Md. Code Regs. 03.04.07.02(D)(1) </w:t>
      </w:r>
    </w:p>
    <w:p w14:paraId="3CD0D21D" w14:textId="77777777" w:rsidR="000000D1" w:rsidRPr="000000D1" w:rsidRDefault="000000D1" w:rsidP="000000D1">
      <w:pPr>
        <w:contextualSpacing/>
        <w:rPr>
          <w:rFonts w:eastAsia="Calibri" w:cs="Times New Roman"/>
        </w:rPr>
      </w:pPr>
    </w:p>
    <w:p w14:paraId="3219794E" w14:textId="77777777" w:rsidR="000000D1" w:rsidRPr="000000D1" w:rsidRDefault="000000D1" w:rsidP="000000D1">
      <w:pPr>
        <w:ind w:left="1440"/>
        <w:contextualSpacing/>
        <w:rPr>
          <w:rFonts w:eastAsia="Calibri" w:cs="Times New Roman"/>
        </w:rPr>
      </w:pPr>
      <w:r w:rsidRPr="000000D1">
        <w:rPr>
          <w:rFonts w:eastAsia="Calibri" w:cs="Times New Roman"/>
        </w:rPr>
        <w:t>A multi-state pass-through entity that is a partnership (including a limited liability company taxed as a partnership and a business trust taxed as a partnership) shall allocate income to this State using:</w:t>
      </w:r>
    </w:p>
    <w:p w14:paraId="164F65DA" w14:textId="77777777" w:rsidR="000000D1" w:rsidRPr="000000D1" w:rsidRDefault="000000D1" w:rsidP="000000D1">
      <w:pPr>
        <w:ind w:left="720" w:firstLine="720"/>
        <w:contextualSpacing/>
        <w:rPr>
          <w:rFonts w:eastAsia="Calibri" w:cs="Times New Roman"/>
        </w:rPr>
      </w:pPr>
    </w:p>
    <w:p w14:paraId="7F031EBA" w14:textId="77777777" w:rsidR="000000D1" w:rsidRPr="000000D1" w:rsidRDefault="000000D1" w:rsidP="000000D1">
      <w:pPr>
        <w:ind w:left="720" w:firstLine="720"/>
        <w:contextualSpacing/>
        <w:rPr>
          <w:rFonts w:eastAsia="Calibri" w:cs="Times New Roman"/>
        </w:rPr>
      </w:pPr>
      <w:r w:rsidRPr="000000D1">
        <w:rPr>
          <w:rFonts w:eastAsia="Calibri" w:cs="Times New Roman"/>
        </w:rPr>
        <w:t>(a) The apportionment formula for corporations under COMAR 03.04.03.08A—E; or</w:t>
      </w:r>
    </w:p>
    <w:p w14:paraId="35BED12A" w14:textId="77777777" w:rsidR="000000D1" w:rsidRPr="000000D1" w:rsidRDefault="000000D1" w:rsidP="000000D1">
      <w:pPr>
        <w:ind w:left="720" w:firstLine="720"/>
        <w:contextualSpacing/>
        <w:rPr>
          <w:rFonts w:eastAsia="Calibri" w:cs="Times New Roman"/>
        </w:rPr>
      </w:pPr>
    </w:p>
    <w:p w14:paraId="746AFB04" w14:textId="77777777" w:rsidR="000000D1" w:rsidRPr="000000D1" w:rsidRDefault="000000D1" w:rsidP="000000D1">
      <w:pPr>
        <w:ind w:left="720" w:firstLine="720"/>
        <w:contextualSpacing/>
        <w:rPr>
          <w:rFonts w:eastAsia="Calibri" w:cs="Times New Roman"/>
        </w:rPr>
      </w:pPr>
      <w:r w:rsidRPr="000000D1">
        <w:rPr>
          <w:rFonts w:eastAsia="Calibri" w:cs="Times New Roman"/>
        </w:rPr>
        <w:t>(b) Separate accounting.</w:t>
      </w:r>
    </w:p>
    <w:p w14:paraId="472CC296" w14:textId="77777777" w:rsidR="000000D1" w:rsidRPr="000000D1" w:rsidRDefault="000000D1" w:rsidP="000000D1">
      <w:pPr>
        <w:ind w:left="720"/>
        <w:contextualSpacing/>
        <w:rPr>
          <w:rFonts w:eastAsia="Calibri" w:cs="Times New Roman"/>
        </w:rPr>
      </w:pPr>
    </w:p>
    <w:p w14:paraId="1B31D15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Md. Code Ann., Tax-Gen § 10-401 </w:t>
      </w:r>
    </w:p>
    <w:p w14:paraId="61385F60" w14:textId="77777777" w:rsidR="000000D1" w:rsidRPr="000000D1" w:rsidRDefault="000000D1" w:rsidP="000000D1">
      <w:pPr>
        <w:contextualSpacing/>
        <w:rPr>
          <w:rFonts w:eastAsia="Calibri" w:cs="Times New Roman"/>
        </w:rPr>
      </w:pPr>
    </w:p>
    <w:p w14:paraId="4AAFDA3D" w14:textId="77777777" w:rsidR="000000D1" w:rsidRPr="000000D1" w:rsidRDefault="000000D1" w:rsidP="000000D1">
      <w:pPr>
        <w:ind w:left="1440"/>
        <w:rPr>
          <w:rFonts w:eastAsia="Calibri" w:cs="Times New Roman"/>
        </w:rPr>
      </w:pPr>
      <w:r w:rsidRPr="000000D1">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5754335F" w14:textId="77777777" w:rsidR="000000D1" w:rsidRPr="000000D1" w:rsidRDefault="000000D1" w:rsidP="000000D1">
      <w:pPr>
        <w:ind w:left="1440"/>
        <w:rPr>
          <w:rFonts w:eastAsia="Calibri" w:cs="Times New Roman"/>
        </w:rPr>
      </w:pPr>
      <w:r w:rsidRPr="000000D1">
        <w:rPr>
          <w:rFonts w:eastAsia="Calibri" w:cs="Times New Roman"/>
        </w:rPr>
        <w:t>(1) separate accounting, if the Comptroller allows; or</w:t>
      </w:r>
    </w:p>
    <w:p w14:paraId="54439BDA" w14:textId="77777777" w:rsidR="000000D1" w:rsidRPr="000000D1" w:rsidRDefault="000000D1" w:rsidP="000000D1">
      <w:pPr>
        <w:ind w:left="1440"/>
        <w:rPr>
          <w:rFonts w:eastAsia="Calibri" w:cs="Times New Roman"/>
        </w:rPr>
      </w:pPr>
      <w:r w:rsidRPr="000000D1">
        <w:rPr>
          <w:rFonts w:eastAsia="Calibri" w:cs="Times New Roman"/>
        </w:rPr>
        <w:t xml:space="preserve">(2) the method that the Comptroller requires to determine fairly the part of the income derived from or </w:t>
      </w:r>
      <w:r w:rsidRPr="000000D1">
        <w:rPr>
          <w:rFonts w:eastAsia="Calibri" w:cs="Times New Roman"/>
        </w:rPr>
        <w:tab/>
        <w:t>reasonably attributable to the trade, business, profession, or occupation carried on in the State.</w:t>
      </w:r>
    </w:p>
    <w:p w14:paraId="40BED9F4" w14:textId="77777777" w:rsidR="000000D1" w:rsidRPr="000000D1" w:rsidRDefault="000000D1" w:rsidP="000000D1">
      <w:pPr>
        <w:ind w:left="720"/>
        <w:contextualSpacing/>
        <w:rPr>
          <w:rFonts w:eastAsia="Calibri" w:cs="Times New Roman"/>
        </w:rPr>
      </w:pPr>
      <w:r w:rsidRPr="000000D1">
        <w:rPr>
          <w:rFonts w:eastAsia="Calibri" w:cs="Times New Roman"/>
        </w:rPr>
        <w:t>Form 511 - Electing Pass-through Entity Income Tax Return Instructions (2023)</w:t>
      </w:r>
    </w:p>
    <w:p w14:paraId="74BC44B9" w14:textId="77777777" w:rsidR="000000D1" w:rsidRPr="000000D1" w:rsidRDefault="000000D1" w:rsidP="000000D1">
      <w:pPr>
        <w:ind w:left="720"/>
        <w:contextualSpacing/>
        <w:rPr>
          <w:rFonts w:eastAsia="Calibri" w:cs="Times New Roman"/>
        </w:rPr>
      </w:pPr>
    </w:p>
    <w:p w14:paraId="75A55A4D" w14:textId="77777777" w:rsidR="000000D1" w:rsidRPr="000000D1" w:rsidRDefault="000000D1" w:rsidP="000000D1">
      <w:pPr>
        <w:ind w:left="1440"/>
        <w:contextualSpacing/>
        <w:rPr>
          <w:rFonts w:eastAsia="Calibri" w:cs="Times New Roman"/>
        </w:rPr>
      </w:pPr>
      <w:r w:rsidRPr="000000D1">
        <w:rPr>
          <w:rFonts w:eastAsia="Calibri" w:cs="Times New Roman"/>
        </w:rPr>
        <w:t xml:space="preserve"> Alternative Apportionment: If the apportionment formula does not fairly represent the extent of the PTE’s activity within Maryland, the Revenue Administration Division may alter the formula or components accordingly. The corporation may also request the Comptroller’s approval to use an Alternative Apportionment Formula.</w:t>
      </w:r>
    </w:p>
    <w:p w14:paraId="638627CB" w14:textId="77777777" w:rsidR="000000D1" w:rsidRPr="000000D1" w:rsidRDefault="000000D1" w:rsidP="000000D1">
      <w:pPr>
        <w:pBdr>
          <w:bottom w:val="single" w:sz="4" w:space="0" w:color="auto"/>
        </w:pBdr>
        <w:rPr>
          <w:rFonts w:eastAsia="Calibri" w:cs="Times New Roman"/>
        </w:rPr>
      </w:pPr>
    </w:p>
    <w:p w14:paraId="2CB17F4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3" w:name="_Toc195435292"/>
      <w:r w:rsidRPr="000000D1">
        <w:rPr>
          <w:rFonts w:ascii="Californian FB" w:eastAsia="Times New Roman" w:hAnsi="Californian FB" w:cs="Times New Roman"/>
          <w:b/>
          <w:color w:val="851C00"/>
          <w:sz w:val="24"/>
          <w:szCs w:val="24"/>
          <w:u w:val="single"/>
        </w:rPr>
        <w:t>Massachusetts</w:t>
      </w:r>
      <w:bookmarkEnd w:id="113"/>
    </w:p>
    <w:p w14:paraId="306C62D1" w14:textId="77777777" w:rsidR="000000D1" w:rsidRPr="000000D1" w:rsidRDefault="000000D1" w:rsidP="000000D1">
      <w:pPr>
        <w:ind w:left="720"/>
        <w:rPr>
          <w:rFonts w:eastAsia="Calibri" w:cs="Times New Roman"/>
        </w:rPr>
      </w:pPr>
      <w:r w:rsidRPr="000000D1">
        <w:rPr>
          <w:rFonts w:eastAsia="Calibri" w:cs="Times New Roman"/>
        </w:rPr>
        <w:t xml:space="preserve">830 Mass. Code Regs. 63.38.1 </w:t>
      </w:r>
    </w:p>
    <w:p w14:paraId="4917C338" w14:textId="77777777" w:rsidR="000000D1" w:rsidRPr="000000D1" w:rsidRDefault="000000D1" w:rsidP="000000D1">
      <w:pPr>
        <w:ind w:left="1440"/>
        <w:contextualSpacing/>
        <w:rPr>
          <w:rFonts w:eastAsia="Calibri" w:cs="Times New Roman"/>
        </w:rPr>
      </w:pPr>
      <w:r w:rsidRPr="000000D1">
        <w:rPr>
          <w:rFonts w:eastAsia="Calibri" w:cs="Times New Roman"/>
        </w:rPr>
        <w:t>(1)(b) 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p>
    <w:p w14:paraId="2FA90646"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 xml:space="preserve"> </w:t>
      </w:r>
    </w:p>
    <w:p w14:paraId="0262777C" w14:textId="77777777" w:rsidR="000000D1" w:rsidRPr="000000D1" w:rsidRDefault="000000D1" w:rsidP="000000D1">
      <w:pPr>
        <w:ind w:left="1440"/>
        <w:contextualSpacing/>
        <w:rPr>
          <w:rFonts w:eastAsia="Calibri" w:cs="Times New Roman"/>
        </w:rPr>
      </w:pPr>
      <w:r w:rsidRPr="000000D1">
        <w:rPr>
          <w:rFonts w:eastAsia="Calibri" w:cs="Times New Roman"/>
        </w:rPr>
        <w:t>(4)(c) 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w:t>
      </w:r>
    </w:p>
    <w:p w14:paraId="168E9189" w14:textId="77777777" w:rsidR="000000D1" w:rsidRPr="000000D1" w:rsidRDefault="000000D1" w:rsidP="000000D1">
      <w:pPr>
        <w:ind w:left="1440"/>
        <w:contextualSpacing/>
        <w:rPr>
          <w:rFonts w:eastAsia="Calibri" w:cs="Times New Roman"/>
        </w:rPr>
      </w:pPr>
      <w:r w:rsidRPr="000000D1">
        <w:rPr>
          <w:rFonts w:eastAsia="Calibri" w:cs="Times New Roman"/>
        </w:rPr>
        <w:t>lying assets and their acquisition, maintenance, and management were, in fact, unrelated to the taxpayer's business activities in the Commonwealth.</w:t>
      </w:r>
    </w:p>
    <w:p w14:paraId="7672052B" w14:textId="77777777" w:rsidR="000000D1" w:rsidRPr="000000D1" w:rsidRDefault="000000D1" w:rsidP="000000D1">
      <w:pPr>
        <w:ind w:left="1440"/>
        <w:contextualSpacing/>
        <w:rPr>
          <w:rFonts w:eastAsia="Calibri" w:cs="Times New Roman"/>
        </w:rPr>
      </w:pPr>
    </w:p>
    <w:p w14:paraId="0F3D2FA5" w14:textId="77777777" w:rsidR="000000D1" w:rsidRPr="000000D1" w:rsidRDefault="000000D1" w:rsidP="000000D1">
      <w:pPr>
        <w:ind w:left="1440"/>
        <w:contextualSpacing/>
        <w:rPr>
          <w:rFonts w:eastAsia="Calibri" w:cs="Times New Roman"/>
        </w:rPr>
      </w:pPr>
      <w:r w:rsidRPr="000000D1">
        <w:rPr>
          <w:rFonts w:eastAsia="Calibri" w:cs="Times New Roman"/>
        </w:rPr>
        <w:t>(4)(d) 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39598B82" w14:textId="77777777" w:rsidR="000000D1" w:rsidRPr="000000D1" w:rsidRDefault="000000D1" w:rsidP="000000D1">
      <w:pPr>
        <w:ind w:left="1440"/>
        <w:contextualSpacing/>
        <w:rPr>
          <w:rFonts w:eastAsia="Calibri" w:cs="Times New Roman"/>
        </w:rPr>
      </w:pPr>
    </w:p>
    <w:p w14:paraId="3B49C767" w14:textId="77777777" w:rsidR="000000D1" w:rsidRPr="000000D1" w:rsidRDefault="000000D1" w:rsidP="000000D1">
      <w:pPr>
        <w:ind w:left="1440"/>
        <w:contextualSpacing/>
        <w:rPr>
          <w:rFonts w:eastAsia="Calibri" w:cs="Times New Roman"/>
        </w:rPr>
      </w:pPr>
      <w:r w:rsidRPr="000000D1">
        <w:rPr>
          <w:rFonts w:eastAsia="Calibri" w:cs="Times New Roman"/>
        </w:rPr>
        <w:t>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payroll, and sales plus its pro rata portion of the partnership's property, payroll, and sales to determine an apportionment percentage.</w:t>
      </w:r>
    </w:p>
    <w:p w14:paraId="187397B5" w14:textId="77777777" w:rsidR="000000D1" w:rsidRPr="000000D1" w:rsidRDefault="000000D1" w:rsidP="000000D1">
      <w:pPr>
        <w:ind w:left="1440"/>
        <w:contextualSpacing/>
        <w:rPr>
          <w:rFonts w:eastAsia="Calibri" w:cs="Times New Roman"/>
        </w:rPr>
      </w:pPr>
    </w:p>
    <w:p w14:paraId="258FB3B4" w14:textId="77777777" w:rsidR="000000D1" w:rsidRPr="000000D1" w:rsidRDefault="000000D1" w:rsidP="000000D1">
      <w:pPr>
        <w:ind w:left="1440"/>
        <w:contextualSpacing/>
        <w:rPr>
          <w:rFonts w:eastAsia="Calibri" w:cs="Times New Roman"/>
        </w:rPr>
      </w:pPr>
      <w:r w:rsidRPr="000000D1">
        <w:rPr>
          <w:rFonts w:eastAsia="Calibri" w:cs="Times New Roman"/>
        </w:rPr>
        <w:t>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14EDB5AB" w14:textId="77777777" w:rsidR="000000D1" w:rsidRPr="000000D1" w:rsidRDefault="000000D1" w:rsidP="000000D1">
      <w:pPr>
        <w:ind w:left="1440"/>
        <w:contextualSpacing/>
        <w:rPr>
          <w:rFonts w:eastAsia="Calibri" w:cs="Times New Roman"/>
        </w:rPr>
      </w:pPr>
    </w:p>
    <w:p w14:paraId="7E5F1A37"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217D998E" w14:textId="77777777" w:rsidR="000000D1" w:rsidRPr="000000D1" w:rsidRDefault="000000D1" w:rsidP="000000D1">
      <w:pPr>
        <w:ind w:left="1440"/>
        <w:contextualSpacing/>
        <w:rPr>
          <w:rFonts w:eastAsia="Calibri" w:cs="Times New Roman"/>
        </w:rPr>
      </w:pPr>
    </w:p>
    <w:p w14:paraId="6A78B3E0" w14:textId="77777777" w:rsidR="000000D1" w:rsidRPr="000000D1" w:rsidRDefault="000000D1" w:rsidP="000000D1">
      <w:pPr>
        <w:ind w:left="1440"/>
        <w:contextualSpacing/>
        <w:rPr>
          <w:rFonts w:eastAsia="Calibri" w:cs="Times New Roman"/>
        </w:rPr>
      </w:pPr>
      <w:r w:rsidRPr="000000D1">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339989AB" w14:textId="77777777" w:rsidR="000000D1" w:rsidRPr="000000D1" w:rsidRDefault="000000D1" w:rsidP="000000D1">
      <w:pPr>
        <w:ind w:left="1440"/>
        <w:contextualSpacing/>
        <w:rPr>
          <w:rFonts w:eastAsia="Calibri" w:cs="Times New Roman"/>
        </w:rPr>
      </w:pPr>
    </w:p>
    <w:p w14:paraId="2443312D" w14:textId="77777777" w:rsidR="000000D1" w:rsidRPr="000000D1" w:rsidRDefault="000000D1" w:rsidP="000000D1">
      <w:pPr>
        <w:ind w:left="1440"/>
        <w:contextualSpacing/>
        <w:rPr>
          <w:rFonts w:eastAsia="Calibri" w:cs="Times New Roman"/>
        </w:rPr>
      </w:pPr>
      <w:r w:rsidRPr="000000D1">
        <w:rPr>
          <w:rFonts w:eastAsia="Calibri" w:cs="Times New Roman"/>
        </w:rPr>
        <w:t>(12) Corporate Partners. A corporation with an interest in a partnership must include its distributive share of the partnership income, loss, or deduction in calculating its income, in accordance with 26 U.S. Code and M.G.L. c. 63. The character of any item 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40C24CD6" w14:textId="77777777" w:rsidR="000000D1" w:rsidRPr="000000D1" w:rsidRDefault="000000D1" w:rsidP="000000D1">
      <w:pPr>
        <w:ind w:left="1440"/>
        <w:contextualSpacing/>
        <w:rPr>
          <w:rFonts w:eastAsia="Calibri" w:cs="Times New Roman"/>
        </w:rPr>
      </w:pPr>
    </w:p>
    <w:p w14:paraId="790A7E23" w14:textId="77777777" w:rsidR="000000D1" w:rsidRPr="000000D1" w:rsidRDefault="000000D1" w:rsidP="000000D1">
      <w:pPr>
        <w:ind w:left="1440"/>
        <w:contextualSpacing/>
        <w:rPr>
          <w:rFonts w:eastAsia="Calibri" w:cs="Times New Roman"/>
        </w:rPr>
      </w:pPr>
      <w:r w:rsidRPr="000000D1">
        <w:rPr>
          <w:rFonts w:eastAsia="Calibri" w:cs="Times New Roman"/>
        </w:rPr>
        <w:t>(a) Taxable in Massachusetts.</w:t>
      </w:r>
    </w:p>
    <w:p w14:paraId="22960119" w14:textId="77777777" w:rsidR="000000D1" w:rsidRPr="000000D1" w:rsidRDefault="000000D1" w:rsidP="000000D1">
      <w:pPr>
        <w:ind w:left="1440"/>
        <w:contextualSpacing/>
        <w:rPr>
          <w:rFonts w:eastAsia="Calibri" w:cs="Times New Roman"/>
        </w:rPr>
      </w:pPr>
    </w:p>
    <w:p w14:paraId="6FB4E3A3" w14:textId="77777777" w:rsidR="000000D1" w:rsidRPr="000000D1" w:rsidRDefault="000000D1" w:rsidP="000000D1">
      <w:pPr>
        <w:ind w:left="1440"/>
        <w:contextualSpacing/>
        <w:rPr>
          <w:rFonts w:eastAsia="Calibri" w:cs="Times New Roman"/>
        </w:rPr>
      </w:pPr>
      <w:r w:rsidRPr="000000D1">
        <w:rPr>
          <w:rFonts w:eastAsia="Calibri" w:cs="Times New Roman"/>
        </w:rPr>
        <w:t>1. A corporation that is not otherwise subject to Massachusetts tax jurisdiction is nevertheless taxable in Massachusetts if it is a general partner in a partnership whose activities, if conducted directly by the corporation, would subject the corporation to the excise under M.G.L. c. 63, § 39. See 830 CMR 63.39.1(8).</w:t>
      </w:r>
    </w:p>
    <w:p w14:paraId="098DCFF7" w14:textId="77777777" w:rsidR="000000D1" w:rsidRPr="000000D1" w:rsidRDefault="000000D1" w:rsidP="000000D1">
      <w:pPr>
        <w:ind w:left="1440"/>
        <w:contextualSpacing/>
        <w:rPr>
          <w:rFonts w:eastAsia="Calibri" w:cs="Times New Roman"/>
        </w:rPr>
      </w:pPr>
    </w:p>
    <w:p w14:paraId="206FF200" w14:textId="77777777" w:rsidR="000000D1" w:rsidRPr="000000D1" w:rsidRDefault="000000D1" w:rsidP="000000D1">
      <w:pPr>
        <w:ind w:left="1440"/>
        <w:contextualSpacing/>
        <w:rPr>
          <w:rFonts w:eastAsia="Calibri" w:cs="Times New Roman"/>
        </w:rPr>
      </w:pPr>
      <w:r w:rsidRPr="000000D1">
        <w:rPr>
          <w:rFonts w:eastAsia="Calibri" w:cs="Times New Roman"/>
        </w:rPr>
        <w:t xml:space="preserve">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w:t>
      </w:r>
      <w:r w:rsidRPr="000000D1">
        <w:rPr>
          <w:rFonts w:eastAsia="Calibri" w:cs="Times New Roman"/>
        </w:rPr>
        <w:lastRenderedPageBreak/>
        <w:t>attributed to the corporation, and the corporation is not taxable in Massachusetts merely by virtue of holding such a limited partnership interest.</w:t>
      </w:r>
    </w:p>
    <w:p w14:paraId="01A3B77B" w14:textId="77777777" w:rsidR="000000D1" w:rsidRPr="000000D1" w:rsidRDefault="000000D1" w:rsidP="000000D1">
      <w:pPr>
        <w:ind w:left="1440"/>
        <w:contextualSpacing/>
        <w:rPr>
          <w:rFonts w:eastAsia="Calibri" w:cs="Times New Roman"/>
        </w:rPr>
      </w:pPr>
    </w:p>
    <w:p w14:paraId="00C2961F" w14:textId="77777777" w:rsidR="000000D1" w:rsidRPr="000000D1" w:rsidRDefault="000000D1" w:rsidP="000000D1">
      <w:pPr>
        <w:ind w:left="1440"/>
        <w:contextualSpacing/>
        <w:rPr>
          <w:rFonts w:eastAsia="Calibri" w:cs="Times New Roman"/>
        </w:rPr>
      </w:pPr>
      <w:r w:rsidRPr="000000D1">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405CBB9" w14:textId="77777777" w:rsidR="000000D1" w:rsidRPr="000000D1" w:rsidRDefault="000000D1" w:rsidP="000000D1">
      <w:pPr>
        <w:ind w:left="1440"/>
        <w:contextualSpacing/>
        <w:rPr>
          <w:rFonts w:eastAsia="Calibri" w:cs="Times New Roman"/>
        </w:rPr>
      </w:pPr>
    </w:p>
    <w:p w14:paraId="2D6560D8" w14:textId="77777777" w:rsidR="000000D1" w:rsidRPr="000000D1" w:rsidRDefault="000000D1" w:rsidP="000000D1">
      <w:pPr>
        <w:ind w:left="1440"/>
        <w:contextualSpacing/>
        <w:rPr>
          <w:rFonts w:eastAsia="Calibri" w:cs="Times New Roman"/>
        </w:rPr>
      </w:pPr>
      <w:r w:rsidRPr="000000D1">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5410787" w14:textId="77777777" w:rsidR="000000D1" w:rsidRPr="000000D1" w:rsidRDefault="000000D1" w:rsidP="000000D1">
      <w:pPr>
        <w:ind w:left="1440"/>
        <w:contextualSpacing/>
        <w:rPr>
          <w:rFonts w:eastAsia="Calibri" w:cs="Times New Roman"/>
        </w:rPr>
      </w:pPr>
      <w:r w:rsidRPr="000000D1">
        <w:rPr>
          <w:rFonts w:eastAsia="Calibri" w:cs="Times New Roman"/>
        </w:rPr>
        <w:t>1. Corporation C holds a 20% profits interest in Partnership P. C's income for the year was $1,000,000 and P's income for the same year was $800,000. The income of C is $1,160,000 ($1,000,000 plus 20% of $800,000).</w:t>
      </w:r>
    </w:p>
    <w:p w14:paraId="4ACA7D57" w14:textId="77777777" w:rsidR="000000D1" w:rsidRPr="000000D1" w:rsidRDefault="000000D1" w:rsidP="000000D1">
      <w:pPr>
        <w:ind w:left="1440"/>
        <w:contextualSpacing/>
        <w:rPr>
          <w:rFonts w:eastAsia="Calibri" w:cs="Times New Roman"/>
        </w:rPr>
      </w:pPr>
      <w:r w:rsidRPr="000000D1">
        <w:rPr>
          <w:rFonts w:eastAsia="Calibri" w:cs="Times New Roman"/>
        </w:rPr>
        <w:t>2. Corporation C holds a 90% profits interest in Partnership P. C incurred a loss of $500,000 for the year but P's income was $1,000,000. The income of C is $400,000 (90% of $1,000,000 = $900,000 less the loss of $500,000).</w:t>
      </w:r>
    </w:p>
    <w:p w14:paraId="55374E64" w14:textId="77777777" w:rsidR="000000D1" w:rsidRPr="000000D1" w:rsidRDefault="000000D1" w:rsidP="000000D1">
      <w:pPr>
        <w:ind w:left="1440"/>
        <w:contextualSpacing/>
        <w:rPr>
          <w:rFonts w:eastAsia="Calibri" w:cs="Times New Roman"/>
        </w:rPr>
      </w:pPr>
      <w:r w:rsidRPr="000000D1">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45C73FB9" w14:textId="77777777" w:rsidR="000000D1" w:rsidRPr="000000D1" w:rsidRDefault="000000D1" w:rsidP="000000D1">
      <w:pPr>
        <w:ind w:left="1440"/>
        <w:contextualSpacing/>
        <w:rPr>
          <w:rFonts w:eastAsia="Calibri" w:cs="Times New Roman"/>
        </w:rPr>
      </w:pPr>
      <w:r w:rsidRPr="000000D1">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07E47D8B" w14:textId="77777777" w:rsidR="000000D1" w:rsidRPr="000000D1" w:rsidRDefault="000000D1" w:rsidP="000000D1">
      <w:pPr>
        <w:ind w:left="1440"/>
        <w:contextualSpacing/>
        <w:rPr>
          <w:rFonts w:eastAsia="Calibri" w:cs="Times New Roman"/>
        </w:rPr>
      </w:pPr>
      <w:r w:rsidRPr="000000D1">
        <w:rPr>
          <w:rFonts w:eastAsia="Calibri" w:cs="Times New Roman"/>
        </w:rPr>
        <w:t>a. In order to avoid duplication, however, certain adjustments must be made to the value of any property leased or rented by the corporation to the partnership or vice versa.</w:t>
      </w:r>
    </w:p>
    <w:p w14:paraId="63B0EF19" w14:textId="77777777" w:rsidR="000000D1" w:rsidRPr="000000D1" w:rsidRDefault="000000D1" w:rsidP="000000D1">
      <w:pPr>
        <w:ind w:left="1440"/>
        <w:contextualSpacing/>
        <w:rPr>
          <w:rFonts w:eastAsia="Calibri" w:cs="Times New Roman"/>
        </w:rPr>
      </w:pPr>
      <w:r w:rsidRPr="000000D1">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15D1755D" w14:textId="77777777" w:rsidR="000000D1" w:rsidRPr="000000D1" w:rsidRDefault="000000D1" w:rsidP="000000D1">
      <w:pPr>
        <w:ind w:left="1440"/>
        <w:contextualSpacing/>
        <w:rPr>
          <w:rFonts w:eastAsia="Calibri" w:cs="Times New Roman"/>
        </w:rPr>
      </w:pPr>
      <w:r w:rsidRPr="000000D1">
        <w:rPr>
          <w:rFonts w:eastAsia="Calibri" w:cs="Times New Roman"/>
        </w:rPr>
        <w:t>ii. Where the partnership rents property to the corporation, the corporation includes in its property factor the sum of:</w:t>
      </w:r>
    </w:p>
    <w:p w14:paraId="1F903E1D" w14:textId="77777777" w:rsidR="000000D1" w:rsidRPr="000000D1" w:rsidRDefault="000000D1" w:rsidP="000000D1">
      <w:pPr>
        <w:ind w:left="1440"/>
        <w:contextualSpacing/>
        <w:rPr>
          <w:rFonts w:eastAsia="Calibri" w:cs="Times New Roman"/>
        </w:rPr>
      </w:pPr>
      <w:r w:rsidRPr="000000D1">
        <w:rPr>
          <w:rFonts w:eastAsia="Calibri" w:cs="Times New Roman"/>
        </w:rPr>
        <w:t>A. the original cost of the property multiplied by the corporation's percentage of interest in the partnership; plus</w:t>
      </w:r>
    </w:p>
    <w:p w14:paraId="7BABA364" w14:textId="77777777" w:rsidR="000000D1" w:rsidRPr="000000D1" w:rsidRDefault="000000D1" w:rsidP="000000D1">
      <w:pPr>
        <w:ind w:left="1440"/>
        <w:contextualSpacing/>
        <w:rPr>
          <w:rFonts w:eastAsia="Calibri" w:cs="Times New Roman"/>
        </w:rPr>
      </w:pPr>
      <w:r w:rsidRPr="000000D1">
        <w:rPr>
          <w:rFonts w:eastAsia="Calibri" w:cs="Times New Roman"/>
        </w:rPr>
        <w:t>B. eight times the net annual rental rate of the property, multiplied by the difference between 100% and the corporation's percentage of interest in the partnership.</w:t>
      </w:r>
    </w:p>
    <w:p w14:paraId="02A830C3" w14:textId="77777777" w:rsidR="000000D1" w:rsidRPr="000000D1" w:rsidRDefault="000000D1" w:rsidP="000000D1">
      <w:pPr>
        <w:ind w:left="1440"/>
        <w:contextualSpacing/>
        <w:rPr>
          <w:rFonts w:eastAsia="Calibri" w:cs="Times New Roman"/>
        </w:rPr>
      </w:pPr>
      <w:r w:rsidRPr="000000D1">
        <w:rPr>
          <w:rFonts w:eastAsia="Calibri" w:cs="Times New Roman"/>
        </w:rPr>
        <w:t>b. The following examples illustrate the application of 830 CMR 63.38.1(12)(d)1.:</w:t>
      </w:r>
    </w:p>
    <w:p w14:paraId="09635F04" w14:textId="77777777" w:rsidR="000000D1" w:rsidRPr="000000D1" w:rsidRDefault="000000D1" w:rsidP="000000D1">
      <w:pPr>
        <w:ind w:left="1440"/>
        <w:contextualSpacing/>
        <w:rPr>
          <w:rFonts w:eastAsia="Calibri" w:cs="Times New Roman"/>
        </w:rPr>
      </w:pPr>
      <w:r w:rsidRPr="000000D1">
        <w:rPr>
          <w:rFonts w:eastAsia="Calibri" w:cs="Times New Roman"/>
        </w:rPr>
        <w:t>i. Corporation C has a 20% profits interest in Partnership P. C owns a building (original cost $100,000) which it rents to Pat a fair market rate of $12,000 per year. C must include the $100,000 original cost of the building in its property factor. No portion of the value of the property as rental property of the partnership is included in C's property factor.</w:t>
      </w:r>
    </w:p>
    <w:p w14:paraId="4440DC72"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ii. The facts are the same as in the previous example except that P owns the building and rents it to C. C will include $20,000 (20% of $100,000) in its property factor because of its interest in P. C will also include $76,800 ([$12,000 x 8] x 80%) in its </w:t>
      </w:r>
      <w:r w:rsidRPr="000000D1">
        <w:rPr>
          <w:rFonts w:eastAsia="Calibri" w:cs="Times New Roman"/>
        </w:rPr>
        <w:lastRenderedPageBreak/>
        <w:t>property factor to account for the rented building used in its operations. Thus, the building's value in C's property factor is $96,800 ($20,000, plus $76,800).</w:t>
      </w:r>
    </w:p>
    <w:p w14:paraId="0755D088" w14:textId="77777777" w:rsidR="000000D1" w:rsidRPr="000000D1" w:rsidRDefault="000000D1" w:rsidP="000000D1">
      <w:pPr>
        <w:ind w:left="1440"/>
        <w:contextualSpacing/>
        <w:rPr>
          <w:rFonts w:eastAsia="Calibri" w:cs="Times New Roman"/>
        </w:rPr>
      </w:pPr>
      <w:r w:rsidRPr="000000D1">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022DB4C5" w14:textId="77777777" w:rsidR="000000D1" w:rsidRPr="000000D1" w:rsidRDefault="000000D1" w:rsidP="000000D1">
      <w:pPr>
        <w:ind w:left="1440"/>
        <w:contextualSpacing/>
        <w:rPr>
          <w:rFonts w:eastAsia="Calibri" w:cs="Times New Roman"/>
        </w:rPr>
      </w:pPr>
      <w:r w:rsidRPr="000000D1">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2E7CA85C" w14:textId="77777777" w:rsidR="000000D1" w:rsidRPr="000000D1" w:rsidRDefault="000000D1" w:rsidP="000000D1">
      <w:pPr>
        <w:ind w:left="1440"/>
        <w:contextualSpacing/>
        <w:rPr>
          <w:rFonts w:eastAsia="Calibri" w:cs="Times New Roman"/>
        </w:rPr>
      </w:pPr>
      <w:r w:rsidRPr="000000D1">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7F538D23" w14:textId="77777777" w:rsidR="000000D1" w:rsidRPr="000000D1" w:rsidRDefault="000000D1" w:rsidP="000000D1">
      <w:pPr>
        <w:ind w:left="1440"/>
        <w:contextualSpacing/>
        <w:rPr>
          <w:rFonts w:eastAsia="Calibri" w:cs="Times New Roman"/>
        </w:rPr>
      </w:pPr>
      <w:r w:rsidRPr="000000D1">
        <w:rPr>
          <w:rFonts w:eastAsia="Calibri" w:cs="Times New Roman"/>
        </w:rPr>
        <w:t>a. In order to avoid duplication, however, the following sales must be eliminated from both the numerator and denominator of the sales factor:</w:t>
      </w:r>
    </w:p>
    <w:p w14:paraId="435A8601" w14:textId="77777777" w:rsidR="000000D1" w:rsidRPr="000000D1" w:rsidRDefault="000000D1" w:rsidP="000000D1">
      <w:pPr>
        <w:ind w:left="1440"/>
        <w:contextualSpacing/>
        <w:rPr>
          <w:rFonts w:eastAsia="Calibri" w:cs="Times New Roman"/>
        </w:rPr>
      </w:pPr>
      <w:r w:rsidRPr="000000D1">
        <w:rPr>
          <w:rFonts w:eastAsia="Calibri" w:cs="Times New Roman"/>
        </w:rPr>
        <w:t>i. sales by the corporation to the partnership in an amount equal to the total of such sales multiplied by the corporation's profits interest in the partnership; and</w:t>
      </w:r>
    </w:p>
    <w:p w14:paraId="02D3ABCF" w14:textId="77777777" w:rsidR="000000D1" w:rsidRPr="000000D1" w:rsidRDefault="000000D1" w:rsidP="000000D1">
      <w:pPr>
        <w:ind w:left="1440"/>
        <w:contextualSpacing/>
        <w:rPr>
          <w:rFonts w:eastAsia="Calibri" w:cs="Times New Roman"/>
        </w:rPr>
      </w:pPr>
      <w:r w:rsidRPr="000000D1">
        <w:rPr>
          <w:rFonts w:eastAsia="Calibri" w:cs="Times New Roman"/>
        </w:rPr>
        <w:t>ii. sales by the partnership to the corporation in an amount not to exceed the total of all sales made by the partnership multiplied by the corporation's profits interest in the partnership . . .</w:t>
      </w:r>
    </w:p>
    <w:p w14:paraId="0D72D6B4" w14:textId="77777777" w:rsidR="000000D1" w:rsidRPr="000000D1" w:rsidRDefault="000000D1" w:rsidP="000000D1">
      <w:pPr>
        <w:ind w:left="1440"/>
        <w:contextualSpacing/>
        <w:rPr>
          <w:rFonts w:eastAsia="Calibri" w:cs="Times New Roman"/>
        </w:rPr>
      </w:pPr>
      <w:r w:rsidRPr="000000D1">
        <w:rPr>
          <w:rFonts w:eastAsia="Calibri" w:cs="Times New Roman"/>
        </w:rPr>
        <w:t>(f) 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09A37B35" w14:textId="77777777" w:rsidR="000000D1" w:rsidRPr="000000D1" w:rsidRDefault="000000D1" w:rsidP="000000D1">
      <w:pPr>
        <w:contextualSpacing/>
        <w:rPr>
          <w:rFonts w:eastAsia="Calibri" w:cs="Times New Roman"/>
        </w:rPr>
      </w:pPr>
    </w:p>
    <w:p w14:paraId="5FBA5321" w14:textId="77777777" w:rsidR="000000D1" w:rsidRPr="000000D1" w:rsidRDefault="000000D1" w:rsidP="000000D1">
      <w:pPr>
        <w:ind w:left="720"/>
        <w:rPr>
          <w:rFonts w:eastAsia="Calibri" w:cs="Times New Roman"/>
        </w:rPr>
      </w:pPr>
      <w:r w:rsidRPr="000000D1">
        <w:rPr>
          <w:rFonts w:eastAsia="Calibri" w:cs="Times New Roman"/>
        </w:rPr>
        <w:t xml:space="preserve">830 Mass. Code Regs. 62.5A.1(1) </w:t>
      </w:r>
    </w:p>
    <w:p w14:paraId="0A13FFA5" w14:textId="77777777" w:rsidR="000000D1" w:rsidRPr="000000D1" w:rsidRDefault="000000D1" w:rsidP="000000D1">
      <w:pPr>
        <w:ind w:left="1440"/>
        <w:contextualSpacing/>
        <w:rPr>
          <w:rFonts w:eastAsia="Calibri" w:cs="Times New Roman"/>
        </w:rPr>
      </w:pPr>
      <w:r w:rsidRPr="000000D1">
        <w:rPr>
          <w:rFonts w:eastAsia="Calibri" w:cs="Times New Roman"/>
          <w:highlight w:val="yellow"/>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3C430A93" w14:textId="77777777" w:rsidR="000000D1" w:rsidRPr="000000D1" w:rsidRDefault="000000D1" w:rsidP="000000D1">
      <w:pPr>
        <w:ind w:left="1440"/>
        <w:contextualSpacing/>
        <w:rPr>
          <w:rFonts w:eastAsia="Calibri" w:cs="Times New Roman"/>
        </w:rPr>
      </w:pPr>
    </w:p>
    <w:p w14:paraId="72F974A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In the case of multi-tiered unitary businesses where at least one entity in the structure is engaged in the conduct of a trade or business or the ownership of real or tangible personal property in Massachusetts, and income derived from one or more members of the unitary business is taxable in another state, the group of entities must apportion its income, as determined under this regulation. </w:t>
      </w:r>
    </w:p>
    <w:p w14:paraId="66FC2C69" w14:textId="77777777" w:rsidR="000000D1" w:rsidRPr="000000D1" w:rsidRDefault="000000D1" w:rsidP="000000D1">
      <w:pPr>
        <w:ind w:left="1440"/>
        <w:contextualSpacing/>
        <w:rPr>
          <w:rFonts w:eastAsia="Calibri" w:cs="Times New Roman"/>
        </w:rPr>
      </w:pPr>
    </w:p>
    <w:p w14:paraId="7340B5F2" w14:textId="77777777" w:rsidR="000000D1" w:rsidRPr="000000D1" w:rsidRDefault="000000D1" w:rsidP="000000D1">
      <w:pPr>
        <w:ind w:left="720"/>
        <w:rPr>
          <w:rFonts w:eastAsia="Calibri" w:cs="Times New Roman"/>
        </w:rPr>
      </w:pPr>
      <w:r w:rsidRPr="000000D1">
        <w:rPr>
          <w:rFonts w:eastAsia="Calibri" w:cs="Times New Roman"/>
        </w:rPr>
        <w:lastRenderedPageBreak/>
        <w:t xml:space="preserve">830 Mass. Code Regs. 62.5A.1(2) </w:t>
      </w:r>
    </w:p>
    <w:p w14:paraId="14910425" w14:textId="77777777" w:rsidR="000000D1" w:rsidRPr="000000D1" w:rsidRDefault="000000D1" w:rsidP="000000D1">
      <w:pPr>
        <w:ind w:left="1440"/>
        <w:rPr>
          <w:rFonts w:eastAsia="Calibri" w:cs="Times New Roman"/>
        </w:rPr>
      </w:pPr>
      <w:r w:rsidRPr="000000D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1A58C367" w14:textId="77777777" w:rsidR="000000D1" w:rsidRPr="000000D1" w:rsidRDefault="000000D1" w:rsidP="000000D1">
      <w:pPr>
        <w:ind w:left="720"/>
        <w:rPr>
          <w:rFonts w:eastAsia="Calibri" w:cs="Times New Roman"/>
        </w:rPr>
      </w:pPr>
      <w:r w:rsidRPr="000000D1">
        <w:rPr>
          <w:rFonts w:eastAsia="Calibri" w:cs="Times New Roman"/>
        </w:rPr>
        <w:t xml:space="preserve">830 Mass. Code Regs. 62.5A.1(3) </w:t>
      </w:r>
    </w:p>
    <w:p w14:paraId="5A4D1697" w14:textId="77777777" w:rsidR="000000D1" w:rsidRPr="000000D1" w:rsidRDefault="000000D1" w:rsidP="000000D1">
      <w:pPr>
        <w:ind w:left="1440"/>
        <w:rPr>
          <w:rFonts w:eastAsia="Calibri" w:cs="Times New Roman"/>
        </w:rPr>
      </w:pPr>
      <w:r w:rsidRPr="000000D1">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5A688655" w14:textId="77777777" w:rsidR="000000D1" w:rsidRPr="000000D1" w:rsidRDefault="000000D1" w:rsidP="000000D1">
      <w:pPr>
        <w:ind w:left="1440"/>
        <w:rPr>
          <w:rFonts w:eastAsia="Calibri" w:cs="Times New Roman"/>
        </w:rPr>
      </w:pPr>
      <w:r w:rsidRPr="000000D1">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76F63ECC" w14:textId="77777777" w:rsidR="000000D1" w:rsidRPr="000000D1" w:rsidRDefault="000000D1" w:rsidP="000000D1">
      <w:pPr>
        <w:ind w:left="720" w:firstLine="720"/>
        <w:rPr>
          <w:rFonts w:eastAsia="Calibri" w:cs="Times New Roman"/>
        </w:rPr>
      </w:pPr>
      <w:r w:rsidRPr="000000D1">
        <w:rPr>
          <w:rFonts w:eastAsia="Calibri" w:cs="Times New Roman"/>
        </w:rPr>
        <w:t>1. "Trade or business, including any employment."</w:t>
      </w:r>
    </w:p>
    <w:p w14:paraId="5FD402BB" w14:textId="77777777" w:rsidR="000000D1" w:rsidRPr="000000D1" w:rsidRDefault="000000D1" w:rsidP="000000D1">
      <w:pPr>
        <w:ind w:left="1440"/>
        <w:rPr>
          <w:rFonts w:eastAsia="Calibri" w:cs="Times New Roman"/>
        </w:rPr>
      </w:pPr>
      <w:r w:rsidRPr="000000D1">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6379AC0E" w14:textId="77777777" w:rsidR="000000D1" w:rsidRPr="000000D1" w:rsidRDefault="000000D1" w:rsidP="000000D1">
      <w:pPr>
        <w:ind w:left="1440"/>
        <w:rPr>
          <w:rFonts w:eastAsia="Calibri" w:cs="Times New Roman"/>
        </w:rPr>
      </w:pPr>
      <w:r w:rsidRPr="000000D1">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4DCA730C" w14:textId="77777777" w:rsidR="000000D1" w:rsidRPr="000000D1" w:rsidRDefault="000000D1" w:rsidP="000000D1">
      <w:pPr>
        <w:ind w:left="1440"/>
        <w:rPr>
          <w:rFonts w:eastAsia="Calibri" w:cs="Times New Roman"/>
        </w:rPr>
      </w:pPr>
      <w:r w:rsidRPr="000000D1">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6AAC64A7" w14:textId="77777777" w:rsidR="000000D1" w:rsidRPr="000000D1" w:rsidRDefault="000000D1" w:rsidP="000000D1">
      <w:pPr>
        <w:ind w:left="1440"/>
        <w:rPr>
          <w:rFonts w:eastAsia="Calibri" w:cs="Times New Roman"/>
        </w:rPr>
      </w:pPr>
      <w:r w:rsidRPr="000000D1">
        <w:rPr>
          <w:rFonts w:eastAsia="Calibri" w:cs="Times New Roman"/>
        </w:rPr>
        <w:t>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729E5DF1" w14:textId="77777777" w:rsidR="000000D1" w:rsidRPr="000000D1" w:rsidRDefault="000000D1" w:rsidP="000000D1">
      <w:pPr>
        <w:ind w:left="1440"/>
        <w:rPr>
          <w:rFonts w:eastAsia="Calibri" w:cs="Times New Roman"/>
        </w:rPr>
      </w:pPr>
      <w:r w:rsidRPr="000000D1">
        <w:rPr>
          <w:rFonts w:eastAsia="Calibri" w:cs="Times New Roman"/>
        </w:rPr>
        <w:t>iv. If the non-resident licenses intangibles, including trademarks or patents, directly or through representatives or employees, for use in Massachusetts on an ongoing basis…</w:t>
      </w:r>
    </w:p>
    <w:p w14:paraId="4086C962" w14:textId="77777777" w:rsidR="000000D1" w:rsidRPr="000000D1" w:rsidRDefault="000000D1" w:rsidP="000000D1">
      <w:pPr>
        <w:ind w:left="1440"/>
        <w:rPr>
          <w:rFonts w:eastAsia="Calibri" w:cs="Times New Roman"/>
        </w:rPr>
      </w:pPr>
      <w:r w:rsidRPr="000000D1">
        <w:rPr>
          <w:rFonts w:eastAsia="Calibri" w:cs="Times New Roman"/>
        </w:rPr>
        <w:lastRenderedPageBreak/>
        <w:t>(b) Income from a Pass-Through Entity that is Derived from or Effectively Connected with a Trade or Business, Including Any Employment Carried on in Massachusetts.</w:t>
      </w:r>
    </w:p>
    <w:p w14:paraId="0DE87E8F" w14:textId="77777777" w:rsidR="000000D1" w:rsidRPr="000000D1" w:rsidRDefault="000000D1" w:rsidP="000000D1">
      <w:pPr>
        <w:ind w:left="1440"/>
        <w:rPr>
          <w:rFonts w:eastAsia="Calibri" w:cs="Times New Roman"/>
        </w:rPr>
      </w:pPr>
      <w:r w:rsidRPr="000000D1">
        <w:rPr>
          <w:rFonts w:eastAsia="Calibri" w:cs="Times New Roman"/>
        </w:rPr>
        <w:t xml:space="preserve">1. General rule. </w:t>
      </w:r>
      <w:r w:rsidRPr="000000D1">
        <w:rPr>
          <w:rFonts w:eastAsia="Calibri" w:cs="Times New Roman"/>
          <w:highlight w:val="yellow"/>
        </w:rPr>
        <w:t>The activities of a pass-through entity are attributed to its individual members. A non-resident member of a pass-through entity is therefore engaged in the conduct of the trade or business of the pass-through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w:t>
      </w:r>
      <w:r w:rsidRPr="000000D1">
        <w:rPr>
          <w:rFonts w:eastAsia="Calibri" w:cs="Times New Roman"/>
        </w:rPr>
        <w:t xml:space="preserve">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2B4BF224" w14:textId="77777777" w:rsidR="000000D1" w:rsidRPr="000000D1" w:rsidRDefault="000000D1" w:rsidP="000000D1">
      <w:pPr>
        <w:ind w:left="1440"/>
        <w:rPr>
          <w:rFonts w:eastAsia="Calibri" w:cs="Times New Roman"/>
        </w:rPr>
      </w:pPr>
      <w:r w:rsidRPr="000000D1">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1B951FC7" w14:textId="77777777" w:rsidR="000000D1" w:rsidRPr="000000D1" w:rsidRDefault="000000D1" w:rsidP="000000D1">
      <w:pPr>
        <w:ind w:left="1440"/>
        <w:rPr>
          <w:rFonts w:eastAsia="Calibri" w:cs="Times New Roman"/>
        </w:rPr>
      </w:pPr>
      <w:r w:rsidRPr="000000D1">
        <w:rPr>
          <w:rFonts w:eastAsia="Calibri" w:cs="Times New Roman"/>
        </w:rPr>
        <w:t>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62.5A.1(6). That income must retain its identity as Massachusetts source income, and be reported as such to members as it passes through multiple pass-through entities, without further apportionment.</w:t>
      </w:r>
    </w:p>
    <w:p w14:paraId="42F0E0D2" w14:textId="77777777" w:rsidR="000000D1" w:rsidRPr="000000D1" w:rsidRDefault="000000D1" w:rsidP="000000D1">
      <w:pPr>
        <w:ind w:left="1440"/>
        <w:rPr>
          <w:rFonts w:eastAsia="Calibri" w:cs="Times New Roman"/>
        </w:rPr>
      </w:pPr>
      <w:r w:rsidRPr="000000D1">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2DEDB5BA" w14:textId="77777777" w:rsidR="000000D1" w:rsidRPr="000000D1" w:rsidRDefault="000000D1" w:rsidP="000000D1">
      <w:pPr>
        <w:ind w:left="1440"/>
        <w:rPr>
          <w:rFonts w:eastAsia="Calibri" w:cs="Times New Roman"/>
        </w:rPr>
      </w:pPr>
      <w:r w:rsidRPr="000000D1">
        <w:rPr>
          <w:rFonts w:eastAsia="Calibri" w:cs="Times New Roman"/>
        </w:rPr>
        <w:t>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13616775" w14:textId="77777777" w:rsidR="000000D1" w:rsidRPr="000000D1" w:rsidRDefault="000000D1" w:rsidP="000000D1">
      <w:pPr>
        <w:ind w:left="1440"/>
        <w:rPr>
          <w:rFonts w:eastAsia="Calibri" w:cs="Times New Roman"/>
        </w:rPr>
      </w:pPr>
      <w:r w:rsidRPr="000000D1">
        <w:rPr>
          <w:rFonts w:eastAsia="Calibri" w:cs="Times New Roman"/>
        </w:rPr>
        <w:lastRenderedPageBreak/>
        <w:t>3. Multiple pass-through entities engaged in a unitary business. In the case of multiple pass-through entities that are engaged in a unitary business, the income of any entity 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1ACAA08A" w14:textId="77777777" w:rsidR="000000D1" w:rsidRPr="000000D1" w:rsidRDefault="000000D1" w:rsidP="000000D1">
      <w:pPr>
        <w:ind w:left="1440"/>
        <w:rPr>
          <w:rFonts w:eastAsia="Calibri" w:cs="Times New Roman"/>
        </w:rPr>
      </w:pPr>
      <w:r w:rsidRPr="000000D1">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6A7D87FA" w14:textId="77777777" w:rsidR="000000D1" w:rsidRPr="000000D1" w:rsidRDefault="000000D1" w:rsidP="000000D1">
      <w:pPr>
        <w:ind w:left="1440"/>
        <w:rPr>
          <w:rFonts w:eastAsia="Calibri" w:cs="Times New Roman"/>
        </w:rPr>
      </w:pPr>
      <w:r w:rsidRPr="000000D1">
        <w:rPr>
          <w:rFonts w:eastAsia="Calibri" w:cs="Times New Roman"/>
        </w:rPr>
        <w:t>(c) Specific types of Massachusetts source income. If a non-resident has a trade or business, including any employment, carried on in Massachusetts, Massachusetts source income includes, among other things . . .</w:t>
      </w:r>
    </w:p>
    <w:p w14:paraId="6CD66459" w14:textId="77777777" w:rsidR="000000D1" w:rsidRPr="000000D1" w:rsidRDefault="000000D1" w:rsidP="000000D1">
      <w:pPr>
        <w:ind w:left="720"/>
        <w:rPr>
          <w:rFonts w:eastAsia="Calibri" w:cs="Times New Roman"/>
          <w:i/>
          <w:iCs/>
        </w:rPr>
      </w:pPr>
      <w:r w:rsidRPr="000000D1">
        <w:rPr>
          <w:rFonts w:eastAsia="Calibri" w:cs="Times New Roman"/>
        </w:rPr>
        <w:t>830 Mass. Code Regs. 62.5A.1(6) Rules for Allocation or Apportionment of Income to Massachusetts for Non-Resident Members of Pass-Through Entities</w:t>
      </w:r>
    </w:p>
    <w:p w14:paraId="77D4A510" w14:textId="77777777" w:rsidR="000000D1" w:rsidRPr="000000D1" w:rsidRDefault="000000D1" w:rsidP="000000D1">
      <w:pPr>
        <w:ind w:left="1440"/>
        <w:rPr>
          <w:rFonts w:eastAsia="Calibri" w:cs="Times New Roman"/>
        </w:rPr>
      </w:pPr>
      <w:r w:rsidRPr="000000D1">
        <w:rPr>
          <w:rFonts w:eastAsia="Calibri" w:cs="Times New Roman"/>
        </w:rPr>
        <w:t>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These rules apply to pass-through entities with non-resident members that have Massachusetts source income. Non-resident individuals use the rules at 830 CMR 62.5A.1(5). The Commissioner may by rule or other public statement create alternate allocation and apportionment methods.</w:t>
      </w:r>
    </w:p>
    <w:p w14:paraId="33CD4508" w14:textId="77777777" w:rsidR="000000D1" w:rsidRPr="000000D1" w:rsidRDefault="000000D1" w:rsidP="000000D1">
      <w:pPr>
        <w:ind w:left="1440"/>
        <w:rPr>
          <w:rFonts w:eastAsia="Calibri" w:cs="Times New Roman"/>
        </w:rPr>
      </w:pPr>
      <w:r w:rsidRPr="000000D1">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G.L. c. 63, §38 and 830 CMR 63.38.1. For taxable years beginning on or after January 1, 2025, the apportionment percentage is equal to the sales factor except as otherwise required under G.L. c. 63, §38.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this paragraph.</w:t>
      </w:r>
    </w:p>
    <w:p w14:paraId="64DE253C" w14:textId="77777777" w:rsidR="000000D1" w:rsidRPr="000000D1" w:rsidRDefault="000000D1" w:rsidP="000000D1">
      <w:pPr>
        <w:ind w:left="1440"/>
        <w:rPr>
          <w:rFonts w:eastAsia="Calibri" w:cs="Times New Roman"/>
        </w:rPr>
      </w:pPr>
      <w:r w:rsidRPr="000000D1">
        <w:rPr>
          <w:rFonts w:eastAsia="Calibri" w:cs="Times New Roman"/>
        </w:rPr>
        <w:t xml:space="preserve">(b)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w:t>
      </w:r>
      <w:r w:rsidRPr="000000D1">
        <w:rPr>
          <w:rFonts w:eastAsia="Calibri" w:cs="Times New Roman"/>
        </w:rPr>
        <w:lastRenderedPageBreak/>
        <w:t>of the members of the unitary business is subject to Massachusetts apportionment. The method of apportionment is to take the pro rata share of the applicable apportionment factor or factors of each entity in the unitary structure, and to aggregate the result for the entire group. The non-resident members will report as Massachusetts source income their apportioned share of income of the entire unitary business.</w:t>
      </w:r>
    </w:p>
    <w:p w14:paraId="39476D20" w14:textId="77777777" w:rsidR="000000D1" w:rsidRPr="000000D1" w:rsidRDefault="000000D1" w:rsidP="000000D1">
      <w:pPr>
        <w:ind w:left="1440"/>
        <w:rPr>
          <w:rFonts w:eastAsia="Calibri" w:cs="Times New Roman"/>
        </w:rPr>
      </w:pPr>
      <w:r w:rsidRPr="000000D1">
        <w:rPr>
          <w:rFonts w:eastAsia="Calibri" w:cs="Times New Roman"/>
        </w:rPr>
        <w:t>Example (6)(b)(1.1). In a taxable year beginning before January 1, 2025,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043247E9" w14:textId="77777777" w:rsidR="000000D1" w:rsidRPr="000000D1" w:rsidRDefault="000000D1" w:rsidP="000000D1">
      <w:pPr>
        <w:ind w:left="1440"/>
        <w:rPr>
          <w:rFonts w:eastAsia="Calibri" w:cs="Times New Roman"/>
        </w:rPr>
      </w:pPr>
      <w:r w:rsidRPr="000000D1">
        <w:rPr>
          <w:rFonts w:eastAsia="Calibri" w:cs="Times New Roman"/>
        </w:rPr>
        <w:t>Example (6)(b)(1.2). Assume the same facts as in Example (6)(b)(1.1), except that the taxable year begins on or after January 1, 2025. In this case, the $750 income figure must be multiplied by the blended sales factor. The blended sales factor is determined by adding the full sales factor of General to half the value of Subsidiary's sales factor (again, because of the 50% ownership). Thus, the blended sales factor is [(1000 + 500)/(10,000 + 5,000)] = 1,500/15,000 =.1.</w:t>
      </w:r>
    </w:p>
    <w:p w14:paraId="17FD5C9C" w14:textId="77777777" w:rsidR="000000D1" w:rsidRPr="000000D1" w:rsidRDefault="000000D1" w:rsidP="000000D1">
      <w:pPr>
        <w:ind w:left="1440"/>
        <w:rPr>
          <w:rFonts w:eastAsia="Calibri" w:cs="Times New Roman"/>
        </w:rPr>
      </w:pPr>
      <w:r w:rsidRPr="000000D1">
        <w:rPr>
          <w:rFonts w:eastAsia="Calibri" w:cs="Times New Roman"/>
        </w:rPr>
        <w:t>(c) Treatment of income derived from unrelated activities. If the unitary business subject to Massachusetts apportionment has income derived from unrelated business activities, as determined under 830 CMR 62.5A.1(6) (d),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applicable apportionment factor or factors.</w:t>
      </w:r>
    </w:p>
    <w:p w14:paraId="6DD69187" w14:textId="77777777" w:rsidR="000000D1" w:rsidRPr="000000D1" w:rsidRDefault="000000D1" w:rsidP="000000D1">
      <w:pPr>
        <w:ind w:left="1440"/>
        <w:rPr>
          <w:rFonts w:eastAsia="Calibri" w:cs="Times New Roman"/>
        </w:rPr>
      </w:pPr>
    </w:p>
    <w:p w14:paraId="5B99E579" w14:textId="77777777" w:rsidR="000000D1" w:rsidRPr="000000D1" w:rsidRDefault="000000D1" w:rsidP="000000D1">
      <w:pPr>
        <w:ind w:left="1440"/>
        <w:rPr>
          <w:rFonts w:eastAsia="Calibri" w:cs="Times New Roman"/>
        </w:rPr>
      </w:pPr>
      <w:r w:rsidRPr="000000D1">
        <w:rPr>
          <w:rFonts w:eastAsia="Calibri" w:cs="Times New Roman"/>
        </w:rPr>
        <w:t xml:space="preserve">Example (6)(c)(1). In a taxable year beginning before January 1, 2025,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t>
      </w:r>
      <w:r w:rsidRPr="000000D1">
        <w:rPr>
          <w:rFonts w:eastAsia="Calibri" w:cs="Times New Roman"/>
        </w:rPr>
        <w:lastRenderedPageBreak/>
        <w:t>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3A052F7F" w14:textId="77777777" w:rsidR="000000D1" w:rsidRPr="000000D1" w:rsidRDefault="000000D1" w:rsidP="000000D1">
      <w:pPr>
        <w:ind w:left="1440"/>
        <w:rPr>
          <w:rFonts w:eastAsia="Calibri" w:cs="Times New Roman"/>
        </w:rPr>
      </w:pPr>
      <w:r w:rsidRPr="000000D1">
        <w:rPr>
          <w:rFonts w:eastAsia="Calibri" w:cs="Times New Roman"/>
        </w:rPr>
        <w:t>Example (6)(c)(2). Assume the same facts as in Example (6)(c)(1), except that the taxable year begins on or after January 1, 2025. In this case, the Massachusetts source income of the Owner LLC members, the Massachusetts LLC and the Partnership is determined by combining their taxable net income and calculating the Massachusetts apportionment percentage based on their combined sales. The unitary business will exclude the income of the manufacturing corporation and the public utility corporation from this determination, and will not take into account any of the sales of the two corporations in calculating the Massachusetts apportionment percentage of the unitary business.</w:t>
      </w:r>
    </w:p>
    <w:p w14:paraId="73FBDB1F" w14:textId="77777777" w:rsidR="000000D1" w:rsidRPr="000000D1" w:rsidRDefault="000000D1" w:rsidP="000000D1">
      <w:pPr>
        <w:ind w:left="1440"/>
        <w:rPr>
          <w:rFonts w:eastAsia="Calibri" w:cs="Times New Roman"/>
        </w:rPr>
      </w:pPr>
      <w:r w:rsidRPr="000000D1">
        <w:rPr>
          <w:rFonts w:eastAsia="Calibri" w:cs="Times New Roman"/>
        </w:rPr>
        <w:t>(d) Related Business Activities.</w:t>
      </w:r>
    </w:p>
    <w:p w14:paraId="2012391D" w14:textId="77777777" w:rsidR="000000D1" w:rsidRPr="000000D1" w:rsidRDefault="000000D1" w:rsidP="000000D1">
      <w:pPr>
        <w:ind w:left="1440"/>
        <w:rPr>
          <w:rFonts w:eastAsia="Calibri" w:cs="Times New Roman"/>
        </w:rPr>
      </w:pPr>
      <w:r w:rsidRPr="000000D1">
        <w:rPr>
          <w:rFonts w:eastAsia="Calibri" w:cs="Times New Roman"/>
        </w:rPr>
        <w:t>1. Definition.</w:t>
      </w:r>
    </w:p>
    <w:p w14:paraId="7625C2F5" w14:textId="50BE8B91" w:rsidR="000000D1" w:rsidRPr="000000D1" w:rsidRDefault="000000D1" w:rsidP="000000D1">
      <w:pPr>
        <w:ind w:left="1440"/>
        <w:rPr>
          <w:rFonts w:eastAsia="Calibri" w:cs="Times New Roman"/>
        </w:rPr>
      </w:pPr>
      <w:r w:rsidRPr="000000D1">
        <w:rPr>
          <w:rFonts w:eastAsia="Calibri" w:cs="Times New Roman"/>
        </w:rPr>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this regulation. In general, any two segments or activities of a single pass-th</w:t>
      </w:r>
      <w:r w:rsidR="00505B32">
        <w:rPr>
          <w:rFonts w:eastAsia="Calibri" w:cs="Times New Roman"/>
        </w:rPr>
        <w:t>r</w:t>
      </w:r>
      <w:r w:rsidRPr="000000D1">
        <w:rPr>
          <w:rFonts w:eastAsia="Calibri" w:cs="Times New Roman"/>
        </w:rPr>
        <w:t>ough entity are related business activities unless the two segments or activities are not unitary. In addition, the following activities are related business activities notwithstanding the absence of a unitary relationship:</w:t>
      </w:r>
    </w:p>
    <w:p w14:paraId="21B51E67" w14:textId="77777777" w:rsidR="000000D1" w:rsidRPr="000000D1" w:rsidRDefault="000000D1" w:rsidP="000000D1">
      <w:pPr>
        <w:ind w:left="1440"/>
        <w:rPr>
          <w:rFonts w:eastAsia="Calibri" w:cs="Times New Roman"/>
        </w:rPr>
      </w:pPr>
      <w:r w:rsidRPr="000000D1">
        <w:rPr>
          <w:rFonts w:eastAsia="Calibri" w:cs="Times New Roman"/>
        </w:rPr>
        <w:t>i. the short term investment of capital in a non-unitary business segment or activity; and</w:t>
      </w:r>
    </w:p>
    <w:p w14:paraId="3C5C1063" w14:textId="77777777" w:rsidR="000000D1" w:rsidRPr="000000D1" w:rsidRDefault="000000D1" w:rsidP="000000D1">
      <w:pPr>
        <w:ind w:left="1440"/>
        <w:rPr>
          <w:rFonts w:eastAsia="Calibri" w:cs="Times New Roman"/>
        </w:rPr>
      </w:pPr>
      <w:r w:rsidRPr="000000D1">
        <w:rPr>
          <w:rFonts w:eastAsia="Calibri" w:cs="Times New Roman"/>
        </w:rPr>
        <w:t>ii. any other investment of capital that serves an operational function.</w:t>
      </w:r>
    </w:p>
    <w:p w14:paraId="32ED7DEF" w14:textId="77777777" w:rsidR="000000D1" w:rsidRPr="000000D1" w:rsidRDefault="000000D1" w:rsidP="000000D1">
      <w:pPr>
        <w:ind w:left="1440"/>
        <w:rPr>
          <w:rFonts w:eastAsia="Calibri" w:cs="Times New Roman"/>
        </w:rPr>
      </w:pPr>
      <w:r w:rsidRPr="000000D1">
        <w:rPr>
          <w:rFonts w:eastAsia="Calibri" w:cs="Times New Roman"/>
        </w:rPr>
        <w:t>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interim investment of funds pending their future use in the taxpayer's business.</w:t>
      </w:r>
    </w:p>
    <w:p w14:paraId="5C04F6BD" w14:textId="313C1383" w:rsidR="000000D1" w:rsidRPr="000000D1" w:rsidRDefault="000000D1" w:rsidP="000000D1">
      <w:pPr>
        <w:ind w:left="1440"/>
        <w:rPr>
          <w:rFonts w:eastAsia="Calibri" w:cs="Times New Roman"/>
        </w:rPr>
      </w:pPr>
      <w:r w:rsidRPr="000000D1">
        <w:rPr>
          <w:rFonts w:eastAsia="Calibri" w:cs="Times New Roman"/>
        </w:rPr>
        <w:t>2. Burden of Proof. Except as provided in 830 CMR 62.5A.1(6)(d)(3) (relating to pass-through entity limited partners), all income of a single pass-th</w:t>
      </w:r>
      <w:r w:rsidR="00FE53E1">
        <w:rPr>
          <w:rFonts w:eastAsia="Calibri" w:cs="Times New Roman"/>
        </w:rPr>
        <w:t>r</w:t>
      </w:r>
      <w:r w:rsidRPr="000000D1">
        <w:rPr>
          <w:rFonts w:eastAsia="Calibri" w:cs="Times New Roman"/>
        </w:rPr>
        <w:t xml:space="preserve">ough entity (whether derived directly or through representatives, or other pass-through entities)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t>
      </w:r>
      <w:r w:rsidRPr="000000D1">
        <w:rPr>
          <w:rFonts w:eastAsia="Calibri" w:cs="Times New Roman"/>
        </w:rPr>
        <w:lastRenderedPageBreak/>
        <w:t>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457AA459" w14:textId="77777777" w:rsidR="000000D1" w:rsidRPr="000000D1" w:rsidRDefault="000000D1" w:rsidP="000000D1">
      <w:pPr>
        <w:ind w:left="1440"/>
        <w:rPr>
          <w:rFonts w:eastAsia="Calibri" w:cs="Times New Roman"/>
        </w:rPr>
      </w:pPr>
      <w:r w:rsidRPr="000000D1">
        <w:rPr>
          <w:rFonts w:eastAsia="Calibri" w:cs="Times New Roman"/>
        </w:rPr>
        <w:t>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 or factors applicable to that activity.</w:t>
      </w:r>
    </w:p>
    <w:p w14:paraId="0CFFD58F" w14:textId="77777777" w:rsidR="000000D1" w:rsidRPr="000000D1" w:rsidRDefault="000000D1" w:rsidP="000000D1">
      <w:pPr>
        <w:ind w:left="1440"/>
        <w:rPr>
          <w:rFonts w:eastAsia="Calibri" w:cs="Times New Roman"/>
        </w:rPr>
      </w:pPr>
      <w:r w:rsidRPr="000000D1">
        <w:rPr>
          <w:rFonts w:eastAsia="Calibri" w:cs="Times New Roman"/>
        </w:rPr>
        <w:t>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LLC must separately apportion to Massachusetts income from the holding or disposition of its interest in Partnership A, using the apportionment factor or factors derived from the partnership's activity. Income from Texas LLC's other activities is not subject to Massachusetts tax jurisdiction and is excluded from the Massachusetts source income that it reports to its members.</w:t>
      </w:r>
    </w:p>
    <w:p w14:paraId="4DB07FA7" w14:textId="77777777" w:rsidR="000000D1" w:rsidRPr="000000D1" w:rsidRDefault="000000D1" w:rsidP="000000D1">
      <w:pPr>
        <w:ind w:left="1440"/>
        <w:rPr>
          <w:rFonts w:eastAsia="Calibri" w:cs="Times New Roman"/>
        </w:rPr>
      </w:pPr>
      <w:r w:rsidRPr="000000D1">
        <w:rPr>
          <w:rFonts w:eastAsia="Calibri" w:cs="Times New Roman"/>
        </w:rPr>
        <w:t>(e) Special apportionment rules for the gain on the sale of an ownership interest in a partnership that holds real property in Massachusetts.</w:t>
      </w:r>
    </w:p>
    <w:p w14:paraId="071E060F" w14:textId="77777777" w:rsidR="000000D1" w:rsidRPr="000000D1" w:rsidRDefault="000000D1" w:rsidP="000000D1">
      <w:pPr>
        <w:ind w:left="1440"/>
        <w:rPr>
          <w:rFonts w:eastAsia="Calibri" w:cs="Times New Roman"/>
        </w:rPr>
      </w:pPr>
      <w:r w:rsidRPr="000000D1">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25DB1F81" w14:textId="77777777" w:rsidR="000000D1" w:rsidRPr="000000D1" w:rsidRDefault="000000D1" w:rsidP="000000D1">
      <w:pPr>
        <w:ind w:left="1440"/>
        <w:rPr>
          <w:rFonts w:eastAsia="Calibri" w:cs="Times New Roman"/>
        </w:rPr>
      </w:pPr>
      <w:r w:rsidRPr="000000D1">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6254583A" w14:textId="77777777" w:rsidR="000000D1" w:rsidRPr="000000D1" w:rsidRDefault="000000D1" w:rsidP="000000D1">
      <w:pPr>
        <w:ind w:left="1440"/>
        <w:rPr>
          <w:rFonts w:eastAsia="Calibri" w:cs="Times New Roman"/>
        </w:rPr>
      </w:pPr>
    </w:p>
    <w:p w14:paraId="58C98408" w14:textId="77777777" w:rsidR="000000D1" w:rsidRPr="000000D1" w:rsidRDefault="000000D1" w:rsidP="000000D1">
      <w:pPr>
        <w:ind w:left="1440"/>
        <w:rPr>
          <w:rFonts w:eastAsia="Calibri" w:cs="Times New Roman"/>
        </w:rPr>
      </w:pPr>
      <w:r w:rsidRPr="000000D1">
        <w:rPr>
          <w:rFonts w:eastAsia="Calibri" w:cs="Times New Roman"/>
        </w:rPr>
        <w:t xml:space="preserve">Example (6)(e)(2). Non-resident is a partner in LandHold, a partnership that purchases land in several states and holds the land for subsequent sale to developers. The partnership was formed with an initial capital contribution from its partners, but was not engaged in the conduct of a trade or business in Massachusetts during the year that </w:t>
      </w:r>
      <w:r w:rsidRPr="000000D1">
        <w:rPr>
          <w:rFonts w:eastAsia="Calibri" w:cs="Times New Roman"/>
        </w:rPr>
        <w:lastRenderedPageBreak/>
        <w:t>Non-resident sells his interest in the partnership. The Massachusetts source income derived from the sale is the total gain from the sale, multiplied by fraction set forth in 830 CMR 62.5A.1(6)(e)(2).</w:t>
      </w:r>
    </w:p>
    <w:p w14:paraId="45DB1460" w14:textId="77777777" w:rsidR="000000D1" w:rsidRPr="000000D1" w:rsidRDefault="000000D1" w:rsidP="000000D1">
      <w:pPr>
        <w:ind w:left="720"/>
        <w:contextualSpacing/>
        <w:rPr>
          <w:rFonts w:eastAsia="Calibri" w:cs="Times New Roman"/>
        </w:rPr>
      </w:pPr>
      <w:r w:rsidRPr="000000D1">
        <w:rPr>
          <w:rFonts w:eastAsia="Calibri" w:cs="Times New Roman"/>
        </w:rPr>
        <w:t xml:space="preserve">830 Mass. Code Regs. 63.39.1(7)(a) </w:t>
      </w:r>
    </w:p>
    <w:p w14:paraId="00A98F2E"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03E68532" w14:textId="77777777" w:rsidR="000000D1" w:rsidRPr="000000D1" w:rsidRDefault="000000D1" w:rsidP="000000D1">
      <w:pPr>
        <w:ind w:left="1440"/>
        <w:contextualSpacing/>
        <w:rPr>
          <w:rFonts w:eastAsia="Calibri" w:cs="Times New Roman"/>
        </w:rPr>
      </w:pPr>
      <w:r w:rsidRPr="000000D1">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p>
    <w:p w14:paraId="3D908C75" w14:textId="77777777" w:rsidR="000000D1" w:rsidRPr="000000D1" w:rsidRDefault="000000D1" w:rsidP="000000D1">
      <w:pPr>
        <w:pBdr>
          <w:bottom w:val="single" w:sz="4" w:space="0" w:color="auto"/>
        </w:pBdr>
        <w:rPr>
          <w:rFonts w:eastAsia="Calibri" w:cs="Times New Roman"/>
        </w:rPr>
      </w:pPr>
    </w:p>
    <w:p w14:paraId="6D6939C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4" w:name="_Toc195435293"/>
      <w:r w:rsidRPr="000000D1">
        <w:rPr>
          <w:rFonts w:ascii="Californian FB" w:eastAsia="Times New Roman" w:hAnsi="Californian FB" w:cs="Times New Roman"/>
          <w:b/>
          <w:color w:val="851C00"/>
          <w:sz w:val="24"/>
          <w:szCs w:val="24"/>
          <w:u w:val="single"/>
        </w:rPr>
        <w:t>Michigan</w:t>
      </w:r>
      <w:bookmarkEnd w:id="114"/>
    </w:p>
    <w:p w14:paraId="78DB717E" w14:textId="77777777" w:rsidR="000000D1" w:rsidRPr="000000D1" w:rsidRDefault="000000D1" w:rsidP="000000D1">
      <w:pPr>
        <w:ind w:left="720"/>
        <w:contextualSpacing/>
        <w:rPr>
          <w:rFonts w:eastAsia="Calibri" w:cs="Times New Roman"/>
        </w:rPr>
      </w:pPr>
      <w:bookmarkStart w:id="115" w:name="_Hlk155102832"/>
      <w:bookmarkStart w:id="116" w:name="_Hlk155102813"/>
      <w:r w:rsidRPr="000000D1">
        <w:rPr>
          <w:rFonts w:eastAsia="Calibri" w:cs="Times New Roman"/>
        </w:rPr>
        <w:t xml:space="preserve">Mich. Comp. Laws § 206.661(2) </w:t>
      </w:r>
    </w:p>
    <w:p w14:paraId="159DF114" w14:textId="77777777" w:rsidR="000000D1" w:rsidRPr="000000D1" w:rsidRDefault="000000D1" w:rsidP="000000D1">
      <w:pPr>
        <w:contextualSpacing/>
        <w:rPr>
          <w:rFonts w:eastAsia="Calibri" w:cs="Times New Roman"/>
        </w:rPr>
      </w:pPr>
      <w:r w:rsidRPr="000000D1">
        <w:rPr>
          <w:rFonts w:eastAsia="Calibri" w:cs="Times New Roman"/>
        </w:rPr>
        <w:tab/>
      </w:r>
    </w:p>
    <w:p w14:paraId="67363AF2" w14:textId="77777777" w:rsidR="000000D1" w:rsidRPr="000000D1" w:rsidRDefault="000000D1" w:rsidP="000000D1">
      <w:pPr>
        <w:ind w:left="1440"/>
        <w:rPr>
          <w:rFonts w:eastAsia="Calibri" w:cs="Times New Roman"/>
        </w:rPr>
      </w:pPr>
      <w:r w:rsidRPr="000000D1">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268035F9"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Mich. Comp. Laws § 206.663 </w:t>
      </w:r>
    </w:p>
    <w:p w14:paraId="1FA3660E"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Except as otherwise provided in subsection (2) and section 669, the sales factor is a fraction, the numerator of which is the total sales of the taxpayer in this state 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5A8EDD55"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calculating the sales factor. Sales between a taxpayer and a flow-through entity unitary with that taxpayer shall, to the extent of the taxpayer's interest in the flow-through entity, be eliminated in calculating the sales factor. Sales between a flow-</w:t>
      </w:r>
      <w:r w:rsidRPr="000000D1">
        <w:rPr>
          <w:rFonts w:eastAsia="Calibri" w:cs="Times New Roman"/>
        </w:rPr>
        <w:lastRenderedPageBreak/>
        <w:t>through entity unitary with a taxpayer and another flow-through entity unitary with that same taxpayer shall, to the extent of the taxpayer's interest in the selling flow-through entity, be eliminated in calculating the sales factor.</w:t>
      </w:r>
    </w:p>
    <w:p w14:paraId="35CDF333"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38F7C5E4" w14:textId="77777777" w:rsidR="000000D1" w:rsidRPr="000000D1" w:rsidRDefault="000000D1" w:rsidP="000000D1">
      <w:pPr>
        <w:ind w:left="720"/>
        <w:rPr>
          <w:rFonts w:eastAsia="Calibri" w:cs="Times New Roman"/>
          <w:i/>
          <w:iCs/>
        </w:rPr>
      </w:pPr>
      <w:r w:rsidRPr="000000D1">
        <w:rPr>
          <w:rFonts w:eastAsia="Calibri" w:cs="Times New Roman"/>
          <w:i/>
          <w:iCs/>
        </w:rPr>
        <w:t>Malpass v. Dep’t of Treasury</w:t>
      </w:r>
      <w:r w:rsidRPr="000000D1">
        <w:rPr>
          <w:rFonts w:eastAsia="Calibri" w:cs="Times New Roman"/>
        </w:rPr>
        <w:t xml:space="preserve">, 833 N.W.2d 272 (Mich. 2013) </w:t>
      </w:r>
    </w:p>
    <w:p w14:paraId="146F97EB" w14:textId="77777777" w:rsidR="000000D1" w:rsidRPr="000000D1" w:rsidRDefault="000000D1" w:rsidP="000000D1">
      <w:pPr>
        <w:ind w:left="1440"/>
        <w:rPr>
          <w:rFonts w:eastAsia="Calibri" w:cs="Times New Roman"/>
        </w:rPr>
      </w:pPr>
      <w:r w:rsidRPr="000000D1">
        <w:rPr>
          <w:rFonts w:eastAsia="Calibri" w:cs="Times New Roman"/>
        </w:rPr>
        <w:t>The Michigan Supreme Court held “that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 This case allows individuals the freedom to choose combined or separate apportionment on a year-by-year basis.</w:t>
      </w:r>
    </w:p>
    <w:bookmarkEnd w:id="115"/>
    <w:p w14:paraId="1823CEEA" w14:textId="77777777" w:rsidR="000000D1" w:rsidRPr="000000D1" w:rsidRDefault="000000D1" w:rsidP="000000D1">
      <w:pPr>
        <w:pBdr>
          <w:bottom w:val="single" w:sz="4" w:space="0" w:color="auto"/>
        </w:pBdr>
        <w:rPr>
          <w:rFonts w:eastAsia="Calibri" w:cs="Times New Roman"/>
        </w:rPr>
      </w:pPr>
    </w:p>
    <w:p w14:paraId="30C5B7D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7" w:name="_Toc195435294"/>
      <w:bookmarkEnd w:id="116"/>
      <w:r w:rsidRPr="000000D1">
        <w:rPr>
          <w:rFonts w:ascii="Californian FB" w:eastAsia="Times New Roman" w:hAnsi="Californian FB" w:cs="Times New Roman"/>
          <w:b/>
          <w:color w:val="851C00"/>
          <w:sz w:val="24"/>
          <w:szCs w:val="24"/>
          <w:u w:val="single"/>
        </w:rPr>
        <w:t>Minnesota</w:t>
      </w:r>
      <w:bookmarkEnd w:id="117"/>
    </w:p>
    <w:p w14:paraId="2C2B2606"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290.014 </w:t>
      </w:r>
    </w:p>
    <w:p w14:paraId="0E5E8960" w14:textId="77777777" w:rsidR="000000D1" w:rsidRPr="000000D1" w:rsidRDefault="000000D1" w:rsidP="000000D1">
      <w:pPr>
        <w:contextualSpacing/>
        <w:rPr>
          <w:rFonts w:eastAsia="Calibri" w:cs="Times New Roman"/>
        </w:rPr>
      </w:pPr>
    </w:p>
    <w:p w14:paraId="5BC8EF81" w14:textId="77777777" w:rsidR="000000D1" w:rsidRPr="000000D1" w:rsidRDefault="000000D1" w:rsidP="000000D1">
      <w:pPr>
        <w:ind w:left="1440"/>
        <w:rPr>
          <w:rFonts w:eastAsia="Calibri" w:cs="Times New Roman"/>
        </w:rPr>
      </w:pPr>
      <w:r w:rsidRPr="000000D1">
        <w:rPr>
          <w:rFonts w:eastAsia="Calibri" w:cs="Times New Roman"/>
        </w:rPr>
        <w:t>Subd. 4: Except as provided in section 290.015, a partnership is subject to the return filing requirements and to tax as provided in this chapter if the income of the partnership is:</w:t>
      </w:r>
    </w:p>
    <w:p w14:paraId="46991A94" w14:textId="77777777" w:rsidR="000000D1" w:rsidRPr="000000D1" w:rsidRDefault="000000D1" w:rsidP="000000D1">
      <w:pPr>
        <w:ind w:left="1440"/>
        <w:rPr>
          <w:rFonts w:eastAsia="Calibri" w:cs="Times New Roman"/>
        </w:rPr>
      </w:pPr>
      <w:r w:rsidRPr="000000D1">
        <w:rPr>
          <w:rFonts w:eastAsia="Calibri" w:cs="Times New Roman"/>
        </w:rPr>
        <w:t>(1) allocable to this state under section 290.17, 290.191, or 290.20;</w:t>
      </w:r>
    </w:p>
    <w:p w14:paraId="7A9D7D1F" w14:textId="77777777" w:rsidR="000000D1" w:rsidRPr="000000D1" w:rsidRDefault="000000D1" w:rsidP="000000D1">
      <w:pPr>
        <w:ind w:left="1440"/>
        <w:rPr>
          <w:rFonts w:eastAsia="Calibri" w:cs="Times New Roman"/>
        </w:rPr>
      </w:pPr>
      <w:r w:rsidRPr="000000D1">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06D61AE8" w14:textId="77777777" w:rsidR="000000D1" w:rsidRPr="000000D1" w:rsidRDefault="000000D1" w:rsidP="000000D1">
      <w:pPr>
        <w:ind w:left="1440"/>
        <w:rPr>
          <w:rFonts w:eastAsia="Calibri" w:cs="Times New Roman"/>
        </w:rPr>
      </w:pPr>
      <w:r w:rsidRPr="000000D1">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D2E782" w14:textId="77777777" w:rsidR="000000D1" w:rsidRPr="000000D1" w:rsidRDefault="000000D1" w:rsidP="000000D1">
      <w:pPr>
        <w:ind w:left="1440"/>
        <w:rPr>
          <w:rFonts w:eastAsia="Calibri" w:cs="Times New Roman"/>
        </w:rPr>
      </w:pPr>
      <w:r w:rsidRPr="000000D1">
        <w:rPr>
          <w:rFonts w:eastAsia="Calibri" w:cs="Times New Roman"/>
        </w:rPr>
        <w:t>(4)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second tier partnership directly from the source from which realized by the first tier partnership.</w:t>
      </w:r>
    </w:p>
    <w:p w14:paraId="5C084D07" w14:textId="77777777" w:rsidR="000000D1" w:rsidRPr="000000D1" w:rsidRDefault="000000D1" w:rsidP="000000D1">
      <w:pPr>
        <w:ind w:left="1440"/>
        <w:rPr>
          <w:rFonts w:eastAsia="Calibri" w:cs="Times New Roman"/>
        </w:rPr>
      </w:pPr>
      <w:r w:rsidRPr="000000D1">
        <w:rPr>
          <w:rFonts w:eastAsia="Calibri" w:cs="Times New Roman"/>
        </w:rPr>
        <w:lastRenderedPageBreak/>
        <w:t>Subd. 5: 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457FE779" w14:textId="77777777" w:rsidR="000000D1" w:rsidRPr="000000D1" w:rsidRDefault="000000D1" w:rsidP="000000D1">
      <w:pPr>
        <w:ind w:left="1440"/>
        <w:rPr>
          <w:rFonts w:eastAsia="Calibri" w:cs="Times New Roman"/>
        </w:rPr>
      </w:pPr>
      <w:r w:rsidRPr="000000D1">
        <w:rPr>
          <w:rFonts w:eastAsia="Calibri" w:cs="Times New Roman"/>
        </w:rPr>
        <w:t>(1) allocable to this state under section 290.17, 290.191, 290.20, or 290.36;</w:t>
      </w:r>
    </w:p>
    <w:p w14:paraId="56DFF64E" w14:textId="77777777" w:rsidR="000000D1" w:rsidRPr="000000D1" w:rsidRDefault="000000D1" w:rsidP="000000D1">
      <w:pPr>
        <w:ind w:left="1440"/>
        <w:rPr>
          <w:rFonts w:eastAsia="Calibri" w:cs="Times New Roman"/>
        </w:rPr>
      </w:pPr>
      <w:r w:rsidRPr="000000D1">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68F8F702" w14:textId="77777777" w:rsidR="000000D1" w:rsidRPr="000000D1" w:rsidRDefault="000000D1" w:rsidP="000000D1">
      <w:pPr>
        <w:ind w:left="1440"/>
        <w:rPr>
          <w:rFonts w:eastAsia="Calibri" w:cs="Times New Roman"/>
        </w:rPr>
      </w:pPr>
      <w:r w:rsidRPr="000000D1">
        <w:rPr>
          <w:rFonts w:eastAsia="Calibri" w:cs="Times New Roman"/>
        </w:rPr>
        <w:t>(3) taxed to the corporation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3228FE6A" w14:textId="77777777" w:rsidR="000000D1" w:rsidRPr="000000D1" w:rsidRDefault="000000D1" w:rsidP="000000D1">
      <w:pPr>
        <w:ind w:left="1440"/>
        <w:rPr>
          <w:rFonts w:eastAsia="Calibri" w:cs="Times New Roman"/>
        </w:rPr>
      </w:pPr>
      <w:r w:rsidRPr="000000D1">
        <w:rPr>
          <w:rFonts w:eastAsia="Calibri" w:cs="Times New Roman"/>
        </w:rPr>
        <w:t>(4) taxed to the corporation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69B4F78E"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290.17 </w:t>
      </w:r>
    </w:p>
    <w:p w14:paraId="5E89F4A0" w14:textId="77777777" w:rsidR="000000D1" w:rsidRPr="000000D1" w:rsidRDefault="000000D1" w:rsidP="000000D1">
      <w:pPr>
        <w:contextualSpacing/>
        <w:rPr>
          <w:rFonts w:eastAsia="Calibri" w:cs="Times New Roman"/>
        </w:rPr>
      </w:pPr>
    </w:p>
    <w:p w14:paraId="6D7A897F" w14:textId="77777777" w:rsidR="000000D1" w:rsidRPr="000000D1" w:rsidRDefault="000000D1" w:rsidP="000000D1">
      <w:pPr>
        <w:ind w:left="1440"/>
        <w:rPr>
          <w:rFonts w:eastAsia="Calibri" w:cs="Times New Roman"/>
        </w:rPr>
      </w:pPr>
      <w:r w:rsidRPr="000000D1">
        <w:rPr>
          <w:rFonts w:eastAsia="Calibri" w:cs="Times New Roman"/>
        </w:rPr>
        <w:t>Subd. 1(a) 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10F9B225" w14:textId="77777777" w:rsidR="000000D1" w:rsidRPr="000000D1" w:rsidRDefault="000000D1" w:rsidP="000000D1">
      <w:pPr>
        <w:ind w:left="1440"/>
        <w:rPr>
          <w:rFonts w:eastAsia="Calibri" w:cs="Times New Roman"/>
        </w:rPr>
      </w:pPr>
      <w:r w:rsidRPr="000000D1">
        <w:rPr>
          <w:rFonts w:eastAsia="Calibri" w:cs="Times New Roman"/>
        </w:rPr>
        <w:t>Subd 4(b) The 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5633E339" w14:textId="77777777" w:rsidR="000000D1" w:rsidRPr="000000D1" w:rsidRDefault="000000D1" w:rsidP="000000D1">
      <w:pPr>
        <w:ind w:left="1440"/>
        <w:rPr>
          <w:rFonts w:eastAsia="Calibri" w:cs="Times New Roman"/>
        </w:rPr>
      </w:pPr>
      <w:r w:rsidRPr="000000D1">
        <w:rPr>
          <w:rFonts w:eastAsia="Calibri" w:cs="Times New Roman"/>
        </w:rPr>
        <w:t xml:space="preserve">Subd 4(g) 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and apportionment factors of a foreign entity, other than an entity treated as a C corporation for federal income tax purposes, that is included in the federal taxable income, </w:t>
      </w:r>
      <w:r w:rsidRPr="000000D1">
        <w:rPr>
          <w:rFonts w:eastAsia="Calibri" w:cs="Times New Roman"/>
        </w:rPr>
        <w:lastRenderedPageBreak/>
        <w:t>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1FA0DA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290.0922, subd. 4 (Minimum Fee) </w:t>
      </w:r>
    </w:p>
    <w:p w14:paraId="78F97CB1" w14:textId="77777777" w:rsidR="000000D1" w:rsidRPr="000000D1" w:rsidRDefault="000000D1" w:rsidP="000000D1">
      <w:pPr>
        <w:contextualSpacing/>
        <w:rPr>
          <w:rFonts w:eastAsia="Calibri" w:cs="Times New Roman"/>
        </w:rPr>
      </w:pPr>
    </w:p>
    <w:p w14:paraId="163190C8" w14:textId="77777777" w:rsidR="000000D1" w:rsidRPr="000000D1" w:rsidRDefault="000000D1" w:rsidP="000000D1">
      <w:pPr>
        <w:ind w:left="1440"/>
        <w:rPr>
          <w:rFonts w:eastAsia="Calibri" w:cs="Times New Roman"/>
        </w:rPr>
      </w:pPr>
      <w:r w:rsidRPr="000000D1">
        <w:rPr>
          <w:rFonts w:eastAsia="Calibri" w:cs="Times New Roman"/>
        </w:rPr>
        <w:t>For the purposes of this section, a partner's pro rata share of a partnership's property, payroll, and sales or receipts is not included in the property, payroll, and sales or receipts of the partner.</w:t>
      </w:r>
    </w:p>
    <w:p w14:paraId="068C138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Minnesota Revenue Notice 08-03 (February 19, 2008) </w:t>
      </w:r>
    </w:p>
    <w:p w14:paraId="46D54DAC" w14:textId="77777777" w:rsidR="000000D1" w:rsidRPr="000000D1" w:rsidRDefault="000000D1" w:rsidP="000000D1">
      <w:pPr>
        <w:contextualSpacing/>
        <w:rPr>
          <w:rFonts w:eastAsia="Calibri" w:cs="Times New Roman"/>
        </w:rPr>
      </w:pPr>
    </w:p>
    <w:p w14:paraId="0011AB76" w14:textId="77777777" w:rsidR="000000D1" w:rsidRPr="000000D1" w:rsidRDefault="000000D1" w:rsidP="000000D1">
      <w:pPr>
        <w:ind w:left="1440"/>
        <w:rPr>
          <w:rFonts w:eastAsia="Calibri" w:cs="Times New Roman"/>
        </w:rPr>
      </w:pPr>
      <w:r w:rsidRPr="000000D1">
        <w:rPr>
          <w:rFonts w:eastAsia="Calibri" w:cs="Times New Roman"/>
        </w:rPr>
        <w:t>Partnership income is included in the corporate partner’s Minnesota income in one of two ways.</w:t>
      </w:r>
    </w:p>
    <w:p w14:paraId="40EB7787" w14:textId="77777777" w:rsidR="000000D1" w:rsidRPr="000000D1" w:rsidRDefault="000000D1" w:rsidP="000000D1">
      <w:pPr>
        <w:ind w:left="1440"/>
        <w:rPr>
          <w:rFonts w:eastAsia="Calibri" w:cs="Times New Roman"/>
        </w:rPr>
      </w:pPr>
      <w:r w:rsidRPr="000000D1">
        <w:rPr>
          <w:rFonts w:eastAsia="Calibri" w:cs="Times New Roman"/>
        </w:rPr>
        <w:t>Partnership income is subject to apportionment as business income of the unitary business when a unitary business relationship exists between the corporation and the 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24554F96" w14:textId="77777777" w:rsidR="000000D1" w:rsidRPr="000000D1" w:rsidRDefault="000000D1" w:rsidP="000000D1">
      <w:pPr>
        <w:ind w:left="1440"/>
        <w:rPr>
          <w:rFonts w:eastAsia="Calibri" w:cs="Times New Roman"/>
        </w:rPr>
      </w:pPr>
      <w:r w:rsidRPr="000000D1">
        <w:rPr>
          <w:rFonts w:eastAsia="Calibri" w:cs="Times New Roman"/>
        </w:rPr>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77DAF0ED" w14:textId="77777777" w:rsidR="000000D1" w:rsidRPr="000000D1" w:rsidRDefault="000000D1" w:rsidP="000000D1">
      <w:pPr>
        <w:pBdr>
          <w:bottom w:val="single" w:sz="4" w:space="0" w:color="auto"/>
        </w:pBdr>
        <w:rPr>
          <w:rFonts w:eastAsia="Calibri" w:cs="Times New Roman"/>
        </w:rPr>
      </w:pPr>
    </w:p>
    <w:p w14:paraId="2559A03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8" w:name="_Toc195435295"/>
      <w:r w:rsidRPr="000000D1">
        <w:rPr>
          <w:rFonts w:ascii="Californian FB" w:eastAsia="Times New Roman" w:hAnsi="Californian FB" w:cs="Times New Roman"/>
          <w:b/>
          <w:color w:val="851C00"/>
          <w:sz w:val="24"/>
          <w:szCs w:val="24"/>
          <w:u w:val="single"/>
        </w:rPr>
        <w:t>Mississippi</w:t>
      </w:r>
      <w:bookmarkEnd w:id="118"/>
    </w:p>
    <w:p w14:paraId="7A646260"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 Code Ann. § 27-7-23(b)(2) </w:t>
      </w:r>
    </w:p>
    <w:p w14:paraId="781EFB80" w14:textId="77777777" w:rsidR="000000D1" w:rsidRPr="000000D1" w:rsidRDefault="000000D1" w:rsidP="000000D1">
      <w:pPr>
        <w:contextualSpacing/>
        <w:rPr>
          <w:rFonts w:eastAsia="Calibri" w:cs="Times New Roman"/>
        </w:rPr>
      </w:pPr>
    </w:p>
    <w:p w14:paraId="57A35CCD" w14:textId="77777777" w:rsidR="000000D1" w:rsidRPr="000000D1" w:rsidRDefault="000000D1" w:rsidP="000000D1">
      <w:pPr>
        <w:ind w:left="1440"/>
        <w:rPr>
          <w:rFonts w:eastAsia="Calibri" w:cs="Times New Roman"/>
        </w:rPr>
      </w:pPr>
      <w:r w:rsidRPr="000000D1">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312C15B1"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 Code Ann. § 27-7-23(2)(2)(A) </w:t>
      </w:r>
    </w:p>
    <w:p w14:paraId="0348EC64" w14:textId="77777777" w:rsidR="000000D1" w:rsidRPr="000000D1" w:rsidRDefault="000000D1" w:rsidP="000000D1">
      <w:pPr>
        <w:contextualSpacing/>
        <w:rPr>
          <w:rFonts w:eastAsia="Calibri" w:cs="Times New Roman"/>
        </w:rPr>
      </w:pPr>
    </w:p>
    <w:p w14:paraId="1FA15793" w14:textId="77777777" w:rsidR="000000D1" w:rsidRPr="000000D1" w:rsidRDefault="000000D1" w:rsidP="000000D1">
      <w:pPr>
        <w:ind w:left="1440"/>
        <w:contextualSpacing/>
        <w:rPr>
          <w:rFonts w:eastAsia="Calibri" w:cs="Times New Roman"/>
        </w:rPr>
      </w:pPr>
      <w:r w:rsidRPr="000000D1">
        <w:rPr>
          <w:rFonts w:eastAsia="Calibri" w:cs="Times New Roman"/>
        </w:rPr>
        <w:t xml:space="preserve">Except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enacted by the commissioner. If the business income of the corporation is derived </w:t>
      </w:r>
      <w:r w:rsidRPr="000000D1">
        <w:rPr>
          <w:rFonts w:eastAsia="Calibri" w:cs="Times New Roman"/>
        </w:rPr>
        <w:lastRenderedPageBreak/>
        <w:t>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0BA9726E" w14:textId="77777777" w:rsidR="000000D1" w:rsidRPr="000000D1" w:rsidRDefault="000000D1" w:rsidP="000000D1">
      <w:pPr>
        <w:ind w:left="720"/>
        <w:contextualSpacing/>
        <w:rPr>
          <w:rFonts w:eastAsia="Calibri" w:cs="Times New Roman"/>
        </w:rPr>
      </w:pPr>
    </w:p>
    <w:p w14:paraId="7E97B023" w14:textId="77777777" w:rsidR="000000D1" w:rsidRPr="000000D1" w:rsidRDefault="000000D1" w:rsidP="000000D1">
      <w:pPr>
        <w:ind w:left="720"/>
        <w:contextualSpacing/>
        <w:rPr>
          <w:rFonts w:eastAsia="Calibri" w:cs="Times New Roman"/>
        </w:rPr>
      </w:pPr>
      <w:r w:rsidRPr="000000D1">
        <w:rPr>
          <w:rFonts w:eastAsia="Calibri" w:cs="Times New Roman"/>
        </w:rPr>
        <w:t>tit. no. 35 - pt. 3, subpt. 08, ch. 06, Miss. Code R. 302.01(8)</w:t>
      </w:r>
      <w:r w:rsidRPr="000000D1">
        <w:rPr>
          <w:rFonts w:eastAsia="Calibri" w:cs="Times New Roman"/>
          <w:i/>
          <w:iCs/>
        </w:rPr>
        <w:t xml:space="preserve"> </w:t>
      </w:r>
    </w:p>
    <w:p w14:paraId="1C4D282D" w14:textId="77777777" w:rsidR="000000D1" w:rsidRPr="000000D1" w:rsidRDefault="000000D1" w:rsidP="000000D1">
      <w:pPr>
        <w:contextualSpacing/>
        <w:rPr>
          <w:rFonts w:eastAsia="Calibri" w:cs="Times New Roman"/>
        </w:rPr>
      </w:pPr>
    </w:p>
    <w:p w14:paraId="570B0AC2" w14:textId="77777777" w:rsidR="000000D1" w:rsidRPr="000000D1" w:rsidRDefault="000000D1" w:rsidP="000000D1">
      <w:pPr>
        <w:ind w:left="1440"/>
        <w:rPr>
          <w:rFonts w:eastAsia="Calibri" w:cs="Times New Roman"/>
        </w:rPr>
      </w:pPr>
      <w:r w:rsidRPr="000000D1">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DA88818" w14:textId="77777777" w:rsidR="000000D1" w:rsidRPr="000000D1" w:rsidRDefault="000000D1" w:rsidP="000000D1">
      <w:pPr>
        <w:ind w:left="720"/>
        <w:contextualSpacing/>
        <w:rPr>
          <w:rFonts w:eastAsia="Calibri" w:cs="Times New Roman"/>
        </w:rPr>
      </w:pPr>
      <w:r w:rsidRPr="000000D1">
        <w:rPr>
          <w:rFonts w:eastAsia="Calibri" w:cs="Times New Roman"/>
        </w:rPr>
        <w:t xml:space="preserve">tit. no. 35 - pt. 3, subpt. 08, ch. 06, Miss. Code R. § 401.04 </w:t>
      </w:r>
    </w:p>
    <w:p w14:paraId="2579F5D5" w14:textId="77777777" w:rsidR="000000D1" w:rsidRPr="000000D1" w:rsidRDefault="000000D1" w:rsidP="000000D1">
      <w:pPr>
        <w:contextualSpacing/>
        <w:rPr>
          <w:rFonts w:eastAsia="Calibri" w:cs="Times New Roman"/>
        </w:rPr>
      </w:pPr>
    </w:p>
    <w:p w14:paraId="52D8C28C" w14:textId="77777777" w:rsidR="000000D1" w:rsidRPr="000000D1" w:rsidRDefault="000000D1" w:rsidP="000000D1">
      <w:pPr>
        <w:ind w:left="1440"/>
        <w:rPr>
          <w:rFonts w:eastAsia="Calibri" w:cs="Times New Roman"/>
        </w:rPr>
      </w:pPr>
      <w:r w:rsidRPr="000000D1">
        <w:rPr>
          <w:rFonts w:eastAsia="Calibri" w:cs="Times New Roman"/>
        </w:rPr>
        <w:t>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apportionment in accordance with the further provisions of this regulation, where direct or separate accounting of net income or loss is not feasible.</w:t>
      </w:r>
    </w:p>
    <w:p w14:paraId="60AC4A5A" w14:textId="77777777" w:rsidR="000000D1" w:rsidRPr="000000D1" w:rsidRDefault="000000D1" w:rsidP="000000D1">
      <w:pPr>
        <w:pBdr>
          <w:bottom w:val="single" w:sz="4" w:space="0" w:color="auto"/>
        </w:pBdr>
        <w:rPr>
          <w:rFonts w:eastAsia="Calibri" w:cs="Times New Roman"/>
        </w:rPr>
      </w:pPr>
    </w:p>
    <w:p w14:paraId="4CAD423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9" w:name="_Toc195435296"/>
      <w:r w:rsidRPr="000000D1">
        <w:rPr>
          <w:rFonts w:ascii="Californian FB" w:eastAsia="Times New Roman" w:hAnsi="Californian FB" w:cs="Times New Roman"/>
          <w:b/>
          <w:color w:val="851C00"/>
          <w:sz w:val="24"/>
          <w:szCs w:val="24"/>
          <w:u w:val="single"/>
        </w:rPr>
        <w:t>Missouri</w:t>
      </w:r>
      <w:bookmarkEnd w:id="119"/>
    </w:p>
    <w:p w14:paraId="2DD180C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Mo. Rev. Stat. § 143.421 </w:t>
      </w:r>
    </w:p>
    <w:p w14:paraId="59457156" w14:textId="77777777" w:rsidR="000000D1" w:rsidRPr="000000D1" w:rsidRDefault="000000D1" w:rsidP="00E10036">
      <w:pPr>
        <w:numPr>
          <w:ilvl w:val="0"/>
          <w:numId w:val="26"/>
        </w:numPr>
        <w:contextualSpacing/>
        <w:rPr>
          <w:rFonts w:eastAsia="Calibri" w:cs="Times New Roman"/>
        </w:rPr>
      </w:pPr>
      <w:r w:rsidRPr="000000D1">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 . . .</w:t>
      </w:r>
    </w:p>
    <w:p w14:paraId="5819C86F"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w14:paraId="702B1C2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Mo Rev. Stat. § 143.411(2) </w:t>
      </w:r>
    </w:p>
    <w:p w14:paraId="40E39EC5" w14:textId="77777777" w:rsidR="000000D1" w:rsidRPr="000000D1" w:rsidRDefault="000000D1" w:rsidP="000000D1">
      <w:pPr>
        <w:ind w:left="720"/>
        <w:contextualSpacing/>
        <w:rPr>
          <w:rFonts w:eastAsia="Calibri" w:cs="Times New Roman"/>
        </w:rPr>
      </w:pPr>
    </w:p>
    <w:p w14:paraId="774EB19F" w14:textId="77777777" w:rsidR="000000D1" w:rsidRPr="000000D1" w:rsidRDefault="000000D1" w:rsidP="000000D1">
      <w:pPr>
        <w:ind w:left="1440"/>
        <w:contextualSpacing/>
        <w:rPr>
          <w:rFonts w:eastAsia="Calibri" w:cs="Times New Roman"/>
        </w:rPr>
      </w:pPr>
      <w:r w:rsidRPr="000000D1">
        <w:rPr>
          <w:rFonts w:eastAsia="Calibri" w:cs="Times New Roman"/>
        </w:rPr>
        <w:t>Each item of partnership income, gain, loss, or deduction shall have the same character for a partner under sections </w:t>
      </w:r>
      <w:hyperlink r:id="rId32" w:history="1">
        <w:r w:rsidRPr="000000D1">
          <w:rPr>
            <w:rFonts w:eastAsia="Calibri" w:cs="Times New Roman"/>
            <w:color w:val="C00000"/>
            <w:u w:val="single"/>
          </w:rPr>
          <w:t>143.005 to 143.998</w:t>
        </w:r>
      </w:hyperlink>
      <w:r w:rsidRPr="000000D1">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1011A99" w14:textId="77777777" w:rsidR="000000D1" w:rsidRPr="000000D1" w:rsidRDefault="000000D1" w:rsidP="000000D1">
      <w:pPr>
        <w:ind w:left="720" w:firstLine="720"/>
        <w:contextualSpacing/>
        <w:rPr>
          <w:rFonts w:eastAsia="Calibri" w:cs="Times New Roman"/>
        </w:rPr>
      </w:pPr>
    </w:p>
    <w:p w14:paraId="4266208C"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Mo. Code Regs. Ann. tit. 12, § 10-2.190(2)(B) </w:t>
      </w:r>
    </w:p>
    <w:p w14:paraId="62FB60D7" w14:textId="77777777" w:rsidR="000000D1" w:rsidRPr="000000D1" w:rsidRDefault="000000D1" w:rsidP="000000D1">
      <w:pPr>
        <w:contextualSpacing/>
        <w:rPr>
          <w:rFonts w:eastAsia="Calibri" w:cs="Times New Roman"/>
        </w:rPr>
      </w:pPr>
    </w:p>
    <w:p w14:paraId="60BF0AF8" w14:textId="77777777" w:rsidR="000000D1" w:rsidRPr="000000D1" w:rsidRDefault="000000D1" w:rsidP="000000D1">
      <w:pPr>
        <w:ind w:left="1440"/>
        <w:rPr>
          <w:rFonts w:eastAsia="Calibri" w:cs="Times New Roman"/>
        </w:rPr>
      </w:pPr>
      <w:r w:rsidRPr="000000D1">
        <w:rPr>
          <w:rFonts w:eastAsia="Calibri" w:cs="Times New Roman"/>
        </w:rPr>
        <w:t xml:space="preserve">The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RSMo. The ratio with a numerator of that portion of the total income which is derived from or connected with sources in Missouri and a denominator of the total income of the partnership or S corporation shall be the basis of allocation of each nonresident partner's or nonresident </w:t>
      </w:r>
      <w:r w:rsidRPr="000000D1">
        <w:rPr>
          <w:rFonts w:eastAsia="Calibri" w:cs="Times New Roman"/>
        </w:rPr>
        <w:lastRenderedPageBreak/>
        <w:t>shareholder's income to Missouri by applying that percentage to the total distributable income of each nonresident partner or shareholder based upon his/her percentage of interest in the partnership or S corporation.</w:t>
      </w:r>
    </w:p>
    <w:p w14:paraId="1C14B76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Missouri Private Letter Ruling No. LR 4970 (08/05/2008) </w:t>
      </w:r>
    </w:p>
    <w:p w14:paraId="61CC555D" w14:textId="77777777" w:rsidR="000000D1" w:rsidRPr="000000D1" w:rsidRDefault="000000D1" w:rsidP="000000D1">
      <w:pPr>
        <w:contextualSpacing/>
        <w:rPr>
          <w:rFonts w:eastAsia="Calibri" w:cs="Times New Roman"/>
        </w:rPr>
      </w:pPr>
    </w:p>
    <w:p w14:paraId="76F3A90C" w14:textId="77777777" w:rsidR="000000D1" w:rsidRPr="000000D1" w:rsidRDefault="000000D1" w:rsidP="000000D1">
      <w:pPr>
        <w:ind w:left="1440"/>
        <w:rPr>
          <w:rFonts w:eastAsia="Calibri" w:cs="Times New Roman"/>
        </w:rPr>
      </w:pPr>
      <w:r w:rsidRPr="000000D1">
        <w:rPr>
          <w:rFonts w:eastAsia="Calibri" w:cs="Times New Roman"/>
        </w:rPr>
        <w:t>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or business of the partnership. Therefore, income from the Partnership's trade, investing, is Missouri  source income for the partners, including Applicant.</w:t>
      </w:r>
    </w:p>
    <w:p w14:paraId="7CA93082" w14:textId="77777777" w:rsidR="000000D1" w:rsidRPr="000000D1" w:rsidRDefault="000000D1" w:rsidP="000000D1">
      <w:pPr>
        <w:ind w:left="1440"/>
        <w:rPr>
          <w:rFonts w:eastAsia="Calibri" w:cs="Times New Roman"/>
        </w:rPr>
      </w:pPr>
      <w:r w:rsidRPr="000000D1">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01B6F4E0" w14:textId="77777777" w:rsidR="000000D1" w:rsidRPr="000000D1" w:rsidRDefault="000000D1" w:rsidP="000000D1">
      <w:pPr>
        <w:ind w:firstLine="720"/>
        <w:rPr>
          <w:rFonts w:eastAsia="Calibri" w:cs="Times New Roman"/>
        </w:rPr>
      </w:pPr>
      <w:r w:rsidRPr="000000D1">
        <w:rPr>
          <w:rFonts w:eastAsia="Calibri" w:cs="Times New Roman"/>
        </w:rPr>
        <w:t xml:space="preserve">Missouri Private Letter Ruling No. LR 2664 (12/21/2000) </w:t>
      </w:r>
    </w:p>
    <w:p w14:paraId="62DCDC69" w14:textId="77777777" w:rsidR="000000D1" w:rsidRPr="000000D1" w:rsidRDefault="000000D1" w:rsidP="000000D1">
      <w:pPr>
        <w:ind w:left="1440"/>
        <w:rPr>
          <w:rFonts w:eastAsia="Calibri" w:cs="Times New Roman"/>
        </w:rPr>
      </w:pPr>
      <w:r w:rsidRPr="000000D1">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4E009A56" w14:textId="77777777" w:rsidR="000000D1" w:rsidRPr="000000D1" w:rsidRDefault="000000D1" w:rsidP="000000D1">
      <w:pPr>
        <w:ind w:left="720" w:firstLine="720"/>
        <w:rPr>
          <w:rFonts w:eastAsia="Calibri" w:cs="Times New Roman"/>
        </w:rPr>
      </w:pPr>
      <w:r w:rsidRPr="000000D1">
        <w:rPr>
          <w:rFonts w:eastAsia="Calibri" w:cs="Times New Roman"/>
        </w:rPr>
        <w:t>ISSUE:</w:t>
      </w:r>
    </w:p>
    <w:p w14:paraId="082DBF32" w14:textId="77777777" w:rsidR="000000D1" w:rsidRPr="000000D1" w:rsidRDefault="000000D1" w:rsidP="000000D1">
      <w:pPr>
        <w:ind w:left="1440"/>
        <w:rPr>
          <w:rFonts w:eastAsia="Calibri" w:cs="Times New Roman"/>
        </w:rPr>
      </w:pPr>
      <w:r w:rsidRPr="000000D1">
        <w:rPr>
          <w:rFonts w:eastAsia="Calibri" w:cs="Times New Roman"/>
        </w:rPr>
        <w:t>May Applicant apportion income to Missouri based on the actual amount of income generated in Missouri?</w:t>
      </w:r>
    </w:p>
    <w:p w14:paraId="5E0C8E7F" w14:textId="77777777" w:rsidR="000000D1" w:rsidRPr="000000D1" w:rsidRDefault="000000D1" w:rsidP="000000D1">
      <w:pPr>
        <w:ind w:left="720" w:firstLine="720"/>
        <w:rPr>
          <w:rFonts w:eastAsia="Calibri" w:cs="Times New Roman"/>
        </w:rPr>
      </w:pPr>
      <w:r w:rsidRPr="000000D1">
        <w:rPr>
          <w:rFonts w:eastAsia="Calibri" w:cs="Times New Roman"/>
        </w:rPr>
        <w:t>RESPONSE:</w:t>
      </w:r>
    </w:p>
    <w:p w14:paraId="22C373DB" w14:textId="77777777" w:rsidR="000000D1" w:rsidRPr="000000D1" w:rsidRDefault="000000D1" w:rsidP="000000D1">
      <w:pPr>
        <w:ind w:left="1440"/>
        <w:rPr>
          <w:rFonts w:eastAsia="Calibri" w:cs="Times New Roman"/>
        </w:rPr>
      </w:pPr>
      <w:r w:rsidRPr="000000D1">
        <w:rPr>
          <w:rFonts w:eastAsia="Calibri" w:cs="Times New Roman"/>
        </w:rPr>
        <w:t>Applicant may not apportion income to Missouri  based on the actual amount of income generated in Missouri.</w:t>
      </w:r>
    </w:p>
    <w:p w14:paraId="3F406A9B" w14:textId="77777777" w:rsidR="000000D1" w:rsidRPr="000000D1" w:rsidRDefault="000000D1" w:rsidP="000000D1">
      <w:pPr>
        <w:ind w:left="1440"/>
        <w:rPr>
          <w:rFonts w:eastAsia="Calibri" w:cs="Times New Roman"/>
        </w:rPr>
      </w:pPr>
      <w:r w:rsidRPr="000000D1">
        <w:rPr>
          <w:rFonts w:eastAsia="Calibri" w:cs="Times New Roman"/>
        </w:rPr>
        <w:t>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2546922E"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Missouri Department of Revenue Partnership Tax FAQ </w:t>
      </w:r>
    </w:p>
    <w:p w14:paraId="1F62A855" w14:textId="77777777" w:rsidR="000000D1" w:rsidRPr="000000D1" w:rsidRDefault="000000D1" w:rsidP="000000D1">
      <w:pPr>
        <w:contextualSpacing/>
        <w:rPr>
          <w:rFonts w:eastAsia="Calibri" w:cs="Times New Roman"/>
        </w:rPr>
      </w:pPr>
    </w:p>
    <w:p w14:paraId="26E09282" w14:textId="77777777" w:rsidR="000000D1" w:rsidRPr="000000D1" w:rsidRDefault="000000D1" w:rsidP="000000D1">
      <w:pPr>
        <w:ind w:left="1440"/>
        <w:rPr>
          <w:rFonts w:eastAsia="Calibri" w:cs="Times New Roman"/>
          <w:b/>
          <w:bCs/>
        </w:rPr>
      </w:pPr>
      <w:r w:rsidRPr="000000D1">
        <w:rPr>
          <w:rFonts w:eastAsia="Calibri" w:cs="Times New Roman"/>
          <w:b/>
          <w:bCs/>
        </w:rPr>
        <w:t>What is considered Missouri source income?</w:t>
      </w:r>
    </w:p>
    <w:p w14:paraId="10613F99" w14:textId="77777777" w:rsidR="000000D1" w:rsidRPr="000000D1" w:rsidRDefault="000000D1" w:rsidP="000000D1">
      <w:pPr>
        <w:ind w:left="1440"/>
        <w:rPr>
          <w:rFonts w:eastAsia="Calibri" w:cs="Times New Roman"/>
        </w:rPr>
      </w:pPr>
      <w:r w:rsidRPr="000000D1">
        <w:rPr>
          <w:rFonts w:eastAsia="Calibri" w:cs="Times New Roman"/>
        </w:rPr>
        <w:t xml:space="preserve">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w:t>
      </w:r>
      <w:r w:rsidRPr="000000D1">
        <w:rPr>
          <w:rFonts w:eastAsia="Calibri" w:cs="Times New Roman"/>
        </w:rPr>
        <w:lastRenderedPageBreak/>
        <w:t>to the extent that such property is employed in a business, trade, profession or occupation carried on in Missouri, constitutes income derived from sources within Missouri.</w:t>
      </w:r>
    </w:p>
    <w:p w14:paraId="7DD19729" w14:textId="77777777" w:rsidR="000000D1" w:rsidRPr="000000D1" w:rsidRDefault="000000D1" w:rsidP="000000D1">
      <w:pPr>
        <w:ind w:left="720"/>
        <w:contextualSpacing/>
        <w:rPr>
          <w:rFonts w:eastAsia="Calibri" w:cs="Times New Roman"/>
          <w:i/>
          <w:iCs/>
        </w:rPr>
      </w:pPr>
      <w:r w:rsidRPr="000000D1">
        <w:rPr>
          <w:rFonts w:eastAsia="Calibri" w:cs="Times New Roman"/>
        </w:rPr>
        <w:t>Mo Rev. Stat. § 143.411(3)</w:t>
      </w:r>
    </w:p>
    <w:p w14:paraId="6CA10424" w14:textId="77777777" w:rsidR="000000D1" w:rsidRPr="000000D1" w:rsidRDefault="000000D1" w:rsidP="000000D1">
      <w:pPr>
        <w:contextualSpacing/>
        <w:rPr>
          <w:rFonts w:eastAsia="Calibri" w:cs="Times New Roman"/>
        </w:rPr>
      </w:pPr>
    </w:p>
    <w:p w14:paraId="7828C9D8" w14:textId="77777777" w:rsidR="000000D1" w:rsidRPr="000000D1" w:rsidRDefault="000000D1" w:rsidP="000000D1">
      <w:pPr>
        <w:ind w:left="1440"/>
        <w:rPr>
          <w:rFonts w:eastAsia="Calibri" w:cs="Times New Roman"/>
        </w:rPr>
      </w:pPr>
      <w:r w:rsidRPr="000000D1">
        <w:rPr>
          <w:rFonts w:eastAsia="Calibri" w:cs="Times New Roman"/>
        </w:rPr>
        <w:t>Where a partner's distributive share of an item of partnership income, gain, loss, or deduction is determined for federal income tax purposes by a special provision in the partnership agreement with respect to such item, and the principal purpose of such provision is the avoidance of tax under sections 143.005 to 143.998, the partner's distributive share of such item and any modification required with respect thereto shall be determined in accordance with his distributive share of the taxable income or loss of the partnership generally (that is, exclusive of those items requiring separate computation under the provisions of Section 702 of the Internal Revenue Code).</w:t>
      </w:r>
    </w:p>
    <w:p w14:paraId="4FD44B8B" w14:textId="77777777" w:rsidR="000000D1" w:rsidRPr="000000D1" w:rsidRDefault="000000D1" w:rsidP="000000D1">
      <w:pPr>
        <w:pBdr>
          <w:bottom w:val="single" w:sz="4" w:space="0" w:color="auto"/>
        </w:pBdr>
        <w:rPr>
          <w:rFonts w:eastAsia="Calibri" w:cs="Times New Roman"/>
        </w:rPr>
      </w:pPr>
    </w:p>
    <w:p w14:paraId="1E62F8E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0" w:name="_Toc195435297"/>
      <w:r w:rsidRPr="000000D1">
        <w:rPr>
          <w:rFonts w:ascii="Californian FB" w:eastAsia="Times New Roman" w:hAnsi="Californian FB" w:cs="Times New Roman"/>
          <w:b/>
          <w:color w:val="851C00"/>
          <w:sz w:val="24"/>
          <w:szCs w:val="24"/>
          <w:u w:val="single"/>
        </w:rPr>
        <w:t>Montana</w:t>
      </w:r>
      <w:bookmarkEnd w:id="120"/>
    </w:p>
    <w:p w14:paraId="55F279FF" w14:textId="77777777" w:rsidR="000000D1" w:rsidRPr="000000D1" w:rsidRDefault="000000D1" w:rsidP="000000D1">
      <w:pPr>
        <w:ind w:left="720"/>
        <w:contextualSpacing/>
        <w:rPr>
          <w:rFonts w:eastAsia="Calibri" w:cs="Times New Roman"/>
        </w:rPr>
      </w:pPr>
      <w:r w:rsidRPr="000000D1">
        <w:t>Mont. Code Ann. §</w:t>
      </w:r>
      <w:r w:rsidRPr="000000D1">
        <w:rPr>
          <w:i/>
          <w:iCs/>
        </w:rPr>
        <w:t xml:space="preserve"> </w:t>
      </w:r>
      <w:r w:rsidRPr="000000D1">
        <w:t>15-30-3302</w:t>
      </w:r>
      <w:r w:rsidRPr="000000D1">
        <w:rPr>
          <w:i/>
          <w:iCs/>
        </w:rPr>
        <w:t xml:space="preserve"> </w:t>
      </w:r>
    </w:p>
    <w:p w14:paraId="523F168F" w14:textId="77777777" w:rsidR="000000D1" w:rsidRPr="000000D1" w:rsidRDefault="000000D1" w:rsidP="00E10036">
      <w:pPr>
        <w:numPr>
          <w:ilvl w:val="0"/>
          <w:numId w:val="26"/>
        </w:numPr>
        <w:contextualSpacing/>
        <w:rPr>
          <w:rFonts w:eastAsia="Calibri" w:cs="Times New Roman"/>
        </w:rPr>
      </w:pPr>
      <w:r w:rsidRPr="000000D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 . . .</w:t>
      </w:r>
    </w:p>
    <w:p w14:paraId="59514D81" w14:textId="77777777" w:rsidR="000000D1" w:rsidRPr="000000D1" w:rsidRDefault="000000D1" w:rsidP="000000D1">
      <w:pPr>
        <w:ind w:left="1800"/>
        <w:contextualSpacing/>
        <w:rPr>
          <w:rFonts w:eastAsia="Calibri" w:cs="Times New Roman"/>
        </w:rPr>
      </w:pPr>
    </w:p>
    <w:p w14:paraId="1F173ABD"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For purposes of this part:</w:t>
      </w:r>
    </w:p>
    <w:p w14:paraId="59351536" w14:textId="77777777" w:rsidR="000000D1" w:rsidRPr="000000D1" w:rsidRDefault="000000D1" w:rsidP="000000D1">
      <w:pPr>
        <w:ind w:left="1800"/>
        <w:contextualSpacing/>
        <w:rPr>
          <w:rFonts w:eastAsia="Calibri" w:cs="Times New Roman"/>
        </w:rPr>
      </w:pPr>
    </w:p>
    <w:p w14:paraId="647BAD6E" w14:textId="77777777" w:rsidR="000000D1" w:rsidRPr="000000D1" w:rsidRDefault="000000D1" w:rsidP="000000D1">
      <w:pPr>
        <w:ind w:left="1800"/>
        <w:contextualSpacing/>
        <w:rPr>
          <w:rFonts w:eastAsia="Calibri" w:cs="Times New Roman"/>
        </w:rPr>
      </w:pPr>
      <w:r w:rsidRPr="000000D1">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77B9359E" w14:textId="77777777" w:rsidR="000000D1" w:rsidRPr="000000D1" w:rsidRDefault="000000D1" w:rsidP="000000D1">
      <w:pPr>
        <w:ind w:left="1800"/>
        <w:contextualSpacing/>
        <w:rPr>
          <w:rFonts w:eastAsia="Calibri" w:cs="Times New Roman"/>
        </w:rPr>
      </w:pPr>
    </w:p>
    <w:p w14:paraId="174AD461" w14:textId="77777777" w:rsidR="000000D1" w:rsidRPr="000000D1" w:rsidRDefault="000000D1" w:rsidP="000000D1">
      <w:pPr>
        <w:ind w:left="1800"/>
        <w:contextualSpacing/>
        <w:rPr>
          <w:rFonts w:eastAsia="Calibri" w:cs="Times New Roman"/>
        </w:rPr>
      </w:pPr>
      <w:r w:rsidRPr="000000D1">
        <w:rPr>
          <w:rFonts w:eastAsia="Calibri" w:cs="Times New Roman"/>
        </w:rPr>
        <w:t>(b) a disregarded entity that is not owned by an individual, estate, or trust and that has business activity occurring both within and outside of this state shall calculate its Montana source income pursuant to the allocation and apportionment provisions contained in Title 15, chapter 31, part 3.</w:t>
      </w:r>
    </w:p>
    <w:p w14:paraId="2CC248F5" w14:textId="77777777" w:rsidR="000000D1" w:rsidRPr="000000D1" w:rsidRDefault="000000D1" w:rsidP="000000D1">
      <w:pPr>
        <w:ind w:left="720"/>
        <w:contextualSpacing/>
        <w:rPr>
          <w:rFonts w:eastAsia="Calibri" w:cs="Times New Roman"/>
        </w:rPr>
      </w:pPr>
      <w:r w:rsidRPr="000000D1">
        <w:t xml:space="preserve">Mont. Admin. R. 42.9.107 </w:t>
      </w:r>
    </w:p>
    <w:p w14:paraId="3475AFED" w14:textId="77777777" w:rsidR="000000D1" w:rsidRPr="000000D1" w:rsidRDefault="000000D1" w:rsidP="000000D1">
      <w:pPr>
        <w:contextualSpacing/>
        <w:rPr>
          <w:rFonts w:eastAsia="Calibri" w:cs="Times New Roman"/>
        </w:rPr>
      </w:pPr>
    </w:p>
    <w:p w14:paraId="21EAF788" w14:textId="77777777" w:rsidR="000000D1" w:rsidRPr="000000D1" w:rsidRDefault="000000D1" w:rsidP="000000D1">
      <w:pPr>
        <w:ind w:left="1440"/>
        <w:rPr>
          <w:rFonts w:eastAsia="Calibri" w:cs="Times New Roman"/>
        </w:rPr>
      </w:pPr>
      <w:r w:rsidRPr="000000D1">
        <w:rPr>
          <w:rFonts w:eastAsia="Calibri" w:cs="Times New Roman"/>
        </w:rPr>
        <w:t>(1) A pass-through entity may have, in addition to income from its own operations or activities, income from one or more other pass-through entities. This rule describes how the pass-through entity must classify its income from its own operations or activities as apportionable or nonapportionable income and how it must report its income from other pass-through entities. For purposes of this rule, "operations income" means the income of a pass-through entity from its own operations or activities and "flow-through income" means its separately and nonseparately stated distributable share of income from other pass-through entities.</w:t>
      </w:r>
    </w:p>
    <w:p w14:paraId="4E26ED7A" w14:textId="77777777" w:rsidR="000000D1" w:rsidRPr="000000D1" w:rsidRDefault="000000D1" w:rsidP="000000D1">
      <w:pPr>
        <w:ind w:left="1440"/>
        <w:rPr>
          <w:rFonts w:eastAsia="Calibri" w:cs="Times New Roman"/>
        </w:rPr>
      </w:pPr>
      <w:r w:rsidRPr="000000D1">
        <w:rPr>
          <w:rFonts w:eastAsia="Calibri" w:cs="Times New Roman"/>
        </w:rPr>
        <w:t xml:space="preserve">(2) Except as provided in (5), each pass-through entity has to separately determine whether its operations income is apportionable or nonapportionable income as those terms are defined in ARM 42.26.206. Once a pass-through entity determines the apportionable or nonapportionable character of its operations income, the entity must then </w:t>
      </w:r>
      <w:r w:rsidRPr="000000D1">
        <w:rPr>
          <w:rFonts w:eastAsia="Calibri" w:cs="Times New Roman"/>
        </w:rPr>
        <w:lastRenderedPageBreak/>
        <w:t>determine what part of this apportionable and/or nonapportionable income is Montana source income. Except as provided in (5) and (6), the operations income retains its character as apportionable or nonapportionable income and as Montana source income regardless of how many other tiers of pass-through entities through which the income is passed.</w:t>
      </w:r>
    </w:p>
    <w:p w14:paraId="46714FB1" w14:textId="77777777" w:rsidR="000000D1" w:rsidRPr="000000D1" w:rsidRDefault="000000D1" w:rsidP="000000D1">
      <w:pPr>
        <w:ind w:left="1440"/>
        <w:rPr>
          <w:rFonts w:eastAsia="Calibri" w:cs="Times New Roman"/>
        </w:rPr>
      </w:pPr>
      <w:r w:rsidRPr="000000D1">
        <w:rPr>
          <w:rFonts w:eastAsia="Calibri" w:cs="Times New Roman"/>
        </w:rPr>
        <w:t>(3) Except as provided in (5) and (6), flow-through income of a pass-through entity, determined as provided in (1), retains its character as apportionable and/or nonapportionable income and its character as Montana source income.</w:t>
      </w:r>
    </w:p>
    <w:p w14:paraId="040B0223" w14:textId="77777777" w:rsidR="000000D1" w:rsidRPr="000000D1" w:rsidRDefault="000000D1" w:rsidP="000000D1">
      <w:pPr>
        <w:ind w:left="1440"/>
        <w:rPr>
          <w:rFonts w:eastAsia="Calibri" w:cs="Times New Roman"/>
        </w:rPr>
      </w:pPr>
      <w:r w:rsidRPr="000000D1">
        <w:rPr>
          <w:rFonts w:eastAsia="Calibri" w:cs="Times New Roman"/>
        </w:rPr>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355D9B1C" w14:textId="77777777" w:rsidR="000000D1" w:rsidRPr="000000D1" w:rsidRDefault="000000D1" w:rsidP="000000D1">
      <w:pPr>
        <w:ind w:left="1440"/>
        <w:rPr>
          <w:rFonts w:eastAsia="Calibri" w:cs="Times New Roman"/>
        </w:rPr>
      </w:pPr>
      <w:r w:rsidRPr="000000D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631442F5" w14:textId="77777777" w:rsidR="000000D1" w:rsidRPr="000000D1" w:rsidRDefault="000000D1" w:rsidP="000000D1">
      <w:pPr>
        <w:ind w:left="1440"/>
        <w:rPr>
          <w:rFonts w:eastAsia="Calibri" w:cs="Times New Roman"/>
        </w:rPr>
      </w:pPr>
      <w:r w:rsidRPr="000000D1">
        <w:rPr>
          <w:rFonts w:eastAsia="Calibri" w:cs="Times New Roman"/>
        </w:rPr>
        <w:t>(6) Nothing in this rule prevents the department from determining the apportionable or nonapportionable character of an entity's operations income or the Montana source character of its Montana flow-through income sourced to Montana.</w:t>
      </w:r>
    </w:p>
    <w:p w14:paraId="1B599D47" w14:textId="77777777" w:rsidR="000000D1" w:rsidRPr="000000D1" w:rsidRDefault="000000D1" w:rsidP="000000D1">
      <w:pPr>
        <w:ind w:left="720"/>
        <w:contextualSpacing/>
        <w:rPr>
          <w:rFonts w:eastAsia="Calibri" w:cs="Times New Roman"/>
        </w:rPr>
      </w:pPr>
      <w:r w:rsidRPr="000000D1">
        <w:t xml:space="preserve">Mont. Admin. R. 42.9.112(5) </w:t>
      </w:r>
      <w:r w:rsidRPr="000000D1">
        <w:rPr>
          <w:i/>
          <w:iCs/>
        </w:rPr>
        <w:t>Sourcing</w:t>
      </w:r>
    </w:p>
    <w:p w14:paraId="57F37253" w14:textId="77777777" w:rsidR="000000D1" w:rsidRPr="000000D1" w:rsidRDefault="000000D1" w:rsidP="000000D1">
      <w:pPr>
        <w:contextualSpacing/>
        <w:rPr>
          <w:rFonts w:eastAsia="Calibri" w:cs="Times New Roman"/>
        </w:rPr>
      </w:pPr>
    </w:p>
    <w:p w14:paraId="3175C992" w14:textId="77777777" w:rsidR="000000D1" w:rsidRPr="000000D1" w:rsidRDefault="000000D1" w:rsidP="000000D1">
      <w:pPr>
        <w:ind w:left="1440"/>
        <w:rPr>
          <w:rFonts w:eastAsia="Calibri" w:cs="Times New Roman"/>
        </w:rPr>
      </w:pPr>
      <w:r w:rsidRPr="000000D1">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0EC2C3B4" w14:textId="77777777" w:rsidR="000000D1" w:rsidRPr="000000D1" w:rsidRDefault="000000D1" w:rsidP="000000D1">
      <w:pPr>
        <w:ind w:left="720"/>
        <w:contextualSpacing/>
        <w:rPr>
          <w:rFonts w:eastAsia="Calibri" w:cs="Times New Roman"/>
        </w:rPr>
      </w:pPr>
      <w:r w:rsidRPr="000000D1">
        <w:t xml:space="preserve">Mont. Admin. R. 42.26.228 </w:t>
      </w:r>
    </w:p>
    <w:p w14:paraId="60DA85D0" w14:textId="77777777" w:rsidR="000000D1" w:rsidRPr="000000D1" w:rsidRDefault="000000D1" w:rsidP="000000D1">
      <w:pPr>
        <w:contextualSpacing/>
        <w:rPr>
          <w:rFonts w:eastAsia="Calibri" w:cs="Times New Roman"/>
        </w:rPr>
      </w:pPr>
    </w:p>
    <w:p w14:paraId="3A4C69F5" w14:textId="77777777" w:rsidR="000000D1" w:rsidRPr="000000D1" w:rsidRDefault="000000D1" w:rsidP="000000D1">
      <w:pPr>
        <w:ind w:left="1440"/>
        <w:rPr>
          <w:rFonts w:eastAsia="Calibri" w:cs="Times New Roman"/>
        </w:rPr>
      </w:pPr>
      <w:r w:rsidRPr="000000D1">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2089BD57" w14:textId="77777777" w:rsidR="000000D1" w:rsidRPr="000000D1" w:rsidRDefault="000000D1" w:rsidP="000000D1">
      <w:pPr>
        <w:ind w:left="1440"/>
        <w:rPr>
          <w:rFonts w:eastAsia="Calibri" w:cs="Times New Roman"/>
        </w:rPr>
      </w:pPr>
      <w:r w:rsidRPr="000000D1">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unitary.</w:t>
      </w:r>
    </w:p>
    <w:p w14:paraId="5F316435" w14:textId="77777777" w:rsidR="000000D1" w:rsidRPr="000000D1" w:rsidRDefault="000000D1" w:rsidP="000000D1">
      <w:pPr>
        <w:ind w:left="720"/>
        <w:contextualSpacing/>
        <w:rPr>
          <w:rFonts w:eastAsia="Calibri" w:cs="Times New Roman"/>
        </w:rPr>
      </w:pPr>
      <w:r w:rsidRPr="000000D1">
        <w:t xml:space="preserve">Mont. Admin. R. 42.26.229 </w:t>
      </w:r>
    </w:p>
    <w:p w14:paraId="04DE288A" w14:textId="77777777" w:rsidR="000000D1" w:rsidRPr="000000D1" w:rsidRDefault="000000D1" w:rsidP="000000D1">
      <w:pPr>
        <w:contextualSpacing/>
        <w:rPr>
          <w:rFonts w:eastAsia="Calibri" w:cs="Times New Roman"/>
        </w:rPr>
      </w:pPr>
    </w:p>
    <w:p w14:paraId="59C5DD18" w14:textId="77777777" w:rsidR="000000D1" w:rsidRPr="000000D1" w:rsidRDefault="000000D1" w:rsidP="000000D1">
      <w:pPr>
        <w:ind w:left="1440"/>
        <w:rPr>
          <w:rFonts w:eastAsia="Calibri" w:cs="Times New Roman"/>
        </w:rPr>
      </w:pPr>
      <w:r w:rsidRPr="000000D1">
        <w:rPr>
          <w:rFonts w:eastAsia="Calibri" w:cs="Times New Roman"/>
        </w:rPr>
        <w:t>A partnership or disregarded entity that is not part of a unitary business operation of a corporate partner or disregarded entity owner will be treated as follows:</w:t>
      </w:r>
    </w:p>
    <w:p w14:paraId="16BFCCF2" w14:textId="77777777" w:rsidR="000000D1" w:rsidRPr="000000D1" w:rsidRDefault="000000D1" w:rsidP="00E10036">
      <w:pPr>
        <w:numPr>
          <w:ilvl w:val="0"/>
          <w:numId w:val="33"/>
        </w:numPr>
        <w:contextualSpacing/>
        <w:rPr>
          <w:rFonts w:eastAsia="Calibri" w:cs="Times New Roman"/>
        </w:rPr>
      </w:pPr>
      <w:r w:rsidRPr="000000D1">
        <w:rPr>
          <w:rFonts w:eastAsia="Calibri" w:cs="Times New Roman"/>
        </w:rPr>
        <w:lastRenderedPageBreak/>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5726109E" w14:textId="77777777" w:rsidR="000000D1" w:rsidRPr="000000D1" w:rsidRDefault="000000D1" w:rsidP="000000D1">
      <w:pPr>
        <w:ind w:left="720"/>
        <w:rPr>
          <w:rFonts w:eastAsia="Calibri" w:cs="Times New Roman"/>
          <w:i/>
          <w:iCs/>
        </w:rPr>
      </w:pPr>
      <w:r w:rsidRPr="000000D1">
        <w:rPr>
          <w:rFonts w:eastAsia="Calibri" w:cs="Times New Roman"/>
          <w:i/>
          <w:iCs/>
        </w:rPr>
        <w:t>Pioneer News Group, Co. and Subsidiaries v. State of Montana Dep’t of Revenue</w:t>
      </w:r>
      <w:r w:rsidRPr="000000D1">
        <w:rPr>
          <w:rFonts w:eastAsia="Calibri" w:cs="Times New Roman"/>
        </w:rPr>
        <w:t xml:space="preserve">, Montana Tax Appeal Board Case No. IT-2020-40 (January 20, 2022) </w:t>
      </w:r>
    </w:p>
    <w:p w14:paraId="6A5859C8" w14:textId="77777777" w:rsidR="000000D1" w:rsidRPr="000000D1" w:rsidRDefault="000000D1" w:rsidP="000000D1">
      <w:pPr>
        <w:ind w:left="1440"/>
        <w:rPr>
          <w:rFonts w:eastAsia="Calibri" w:cs="Times New Roman"/>
        </w:rPr>
      </w:pPr>
      <w:r w:rsidRPr="000000D1">
        <w:rPr>
          <w:rFonts w:eastAsia="Calibri" w:cs="Times New Roman"/>
        </w:rPr>
        <w:t>Under the facts of the case, the Board permitted the taxpayer to use the apportionment provisions of the Multistate Tax Compact to source pass-through income in a tiered structure. The Board noted “[w]hile ARM 42.9.107 may be applicable in other situations not at issue here, this Board declines to read this rule in a manner that contradicts or adds to the Compact.”</w:t>
      </w:r>
    </w:p>
    <w:p w14:paraId="5A794C6F" w14:textId="77777777" w:rsidR="000000D1" w:rsidRPr="000000D1" w:rsidRDefault="000000D1" w:rsidP="000000D1">
      <w:pPr>
        <w:ind w:left="720"/>
        <w:contextualSpacing/>
        <w:rPr>
          <w:rFonts w:eastAsia="Calibri" w:cs="Times New Roman"/>
          <w:i/>
          <w:iCs/>
        </w:rPr>
      </w:pPr>
      <w:r w:rsidRPr="000000D1">
        <w:rPr>
          <w:rFonts w:eastAsia="Calibri" w:cs="Times New Roman"/>
        </w:rPr>
        <w:t>MT common-errors-to-avoid-when-filing-Form-PTE 030824</w:t>
      </w:r>
    </w:p>
    <w:p w14:paraId="7A76250C" w14:textId="77777777" w:rsidR="000000D1" w:rsidRPr="000000D1" w:rsidRDefault="000000D1" w:rsidP="000000D1">
      <w:pPr>
        <w:contextualSpacing/>
        <w:rPr>
          <w:rFonts w:eastAsia="Calibri" w:cs="Times New Roman"/>
        </w:rPr>
      </w:pPr>
    </w:p>
    <w:p w14:paraId="21783EB0" w14:textId="77777777" w:rsidR="000000D1" w:rsidRPr="000000D1" w:rsidRDefault="000000D1" w:rsidP="000000D1">
      <w:pPr>
        <w:ind w:left="1440"/>
        <w:rPr>
          <w:rFonts w:eastAsia="Calibri" w:cs="Times New Roman"/>
        </w:rPr>
      </w:pPr>
      <w:r w:rsidRPr="000000D1">
        <w:rPr>
          <w:rFonts w:eastAsia="Calibri" w:cs="Times New Roman"/>
        </w:rPr>
        <w:t>Schedule K-1</w:t>
      </w:r>
    </w:p>
    <w:p w14:paraId="1D09AD32" w14:textId="77777777" w:rsidR="000000D1" w:rsidRPr="000000D1" w:rsidRDefault="000000D1" w:rsidP="000000D1">
      <w:pPr>
        <w:ind w:left="1440"/>
        <w:rPr>
          <w:rFonts w:eastAsia="Calibri" w:cs="Times New Roman"/>
        </w:rPr>
      </w:pPr>
      <w:r w:rsidRPr="000000D1">
        <w:rPr>
          <w:rFonts w:eastAsia="Calibri" w:cs="Times New Roman"/>
        </w:rPr>
        <w:t>Special Allocations. Special allocations must be specified on the Schedule K-1 for partners with a special allocation. Mark the Special Allocation checkbox on the Schedule K-1 for any partner that has a special allocation for income/loss that does not follow the profit/loss percentage.</w:t>
      </w:r>
    </w:p>
    <w:p w14:paraId="1746270A" w14:textId="77777777" w:rsidR="000000D1" w:rsidRPr="000000D1" w:rsidRDefault="000000D1" w:rsidP="000000D1">
      <w:pPr>
        <w:ind w:left="1440"/>
        <w:rPr>
          <w:rFonts w:eastAsia="Calibri" w:cs="Times New Roman"/>
        </w:rPr>
      </w:pPr>
    </w:p>
    <w:p w14:paraId="7954763B" w14:textId="77777777" w:rsidR="000000D1" w:rsidRPr="000000D1" w:rsidRDefault="000000D1" w:rsidP="000000D1">
      <w:pPr>
        <w:pBdr>
          <w:bottom w:val="single" w:sz="4" w:space="0" w:color="auto"/>
        </w:pBdr>
        <w:rPr>
          <w:rFonts w:eastAsia="Calibri" w:cs="Times New Roman"/>
        </w:rPr>
      </w:pPr>
    </w:p>
    <w:p w14:paraId="3848C03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1" w:name="_Toc195435298"/>
      <w:r w:rsidRPr="000000D1">
        <w:rPr>
          <w:rFonts w:ascii="Californian FB" w:eastAsia="Times New Roman" w:hAnsi="Californian FB" w:cs="Times New Roman"/>
          <w:b/>
          <w:color w:val="851C00"/>
          <w:sz w:val="24"/>
          <w:szCs w:val="24"/>
          <w:u w:val="single"/>
        </w:rPr>
        <w:t>Nebraska</w:t>
      </w:r>
      <w:bookmarkEnd w:id="121"/>
    </w:p>
    <w:p w14:paraId="5A024D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Neb. Rev. Stat. § 77-2728 </w:t>
      </w:r>
    </w:p>
    <w:p w14:paraId="2569D371" w14:textId="77777777" w:rsidR="000000D1" w:rsidRPr="000000D1" w:rsidRDefault="000000D1" w:rsidP="000000D1">
      <w:pPr>
        <w:ind w:left="720"/>
        <w:contextualSpacing/>
        <w:rPr>
          <w:rFonts w:eastAsia="Calibri" w:cs="Times New Roman"/>
        </w:rPr>
      </w:pPr>
    </w:p>
    <w:p w14:paraId="67E14C5F" w14:textId="77777777" w:rsidR="000000D1" w:rsidRPr="000000D1" w:rsidRDefault="000000D1" w:rsidP="000000D1">
      <w:pPr>
        <w:ind w:left="1440"/>
        <w:contextualSpacing/>
        <w:rPr>
          <w:rFonts w:eastAsia="Calibri" w:cs="Times New Roman"/>
        </w:rPr>
      </w:pPr>
      <w:r w:rsidRPr="000000D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493BCCCD" w14:textId="77777777" w:rsidR="000000D1" w:rsidRPr="000000D1" w:rsidRDefault="000000D1" w:rsidP="000000D1">
      <w:pPr>
        <w:ind w:left="720"/>
        <w:contextualSpacing/>
        <w:rPr>
          <w:rFonts w:eastAsia="Calibri" w:cs="Times New Roman"/>
        </w:rPr>
      </w:pPr>
    </w:p>
    <w:p w14:paraId="162CAAB8"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24-301 </w:t>
      </w:r>
    </w:p>
    <w:p w14:paraId="4A9E0AF1"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p>
    <w:p w14:paraId="2C169EF0"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bookmarkStart w:id="122" w:name="section301.01_0"/>
      <w:r w:rsidRPr="000000D1">
        <w:rPr>
          <w:rFonts w:eastAsia="Calibri" w:cs="Times New Roman"/>
        </w:rPr>
        <w:t>301.01</w:t>
      </w:r>
      <w:bookmarkEnd w:id="122"/>
      <w:r w:rsidRPr="000000D1">
        <w:rPr>
          <w:rFonts w:eastAsia="Calibri" w:cs="Times New Roman"/>
        </w:rPr>
        <w:t> In General</w:t>
      </w:r>
    </w:p>
    <w:p w14:paraId="7ADC196D" w14:textId="77777777" w:rsidR="000000D1" w:rsidRPr="000000D1" w:rsidRDefault="000000D1" w:rsidP="000000D1">
      <w:pPr>
        <w:ind w:left="1440"/>
        <w:contextualSpacing/>
        <w:rPr>
          <w:rFonts w:eastAsia="Calibri" w:cs="Times New Roman"/>
        </w:rPr>
      </w:pPr>
      <w:r w:rsidRPr="000000D1">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68C86C4C" w14:textId="77777777" w:rsidR="000000D1" w:rsidRPr="000000D1" w:rsidRDefault="000000D1" w:rsidP="000000D1">
      <w:pPr>
        <w:ind w:left="720" w:firstLine="720"/>
        <w:contextualSpacing/>
        <w:rPr>
          <w:rFonts w:eastAsia="Calibri" w:cs="Times New Roman"/>
        </w:rPr>
      </w:pPr>
      <w:bookmarkStart w:id="123" w:name="section301.02_0"/>
      <w:r w:rsidRPr="000000D1">
        <w:rPr>
          <w:rFonts w:eastAsia="Calibri" w:cs="Times New Roman"/>
        </w:rPr>
        <w:t>301.02</w:t>
      </w:r>
      <w:bookmarkEnd w:id="123"/>
      <w:r w:rsidRPr="000000D1">
        <w:rPr>
          <w:rFonts w:eastAsia="Calibri" w:cs="Times New Roman"/>
        </w:rPr>
        <w:t> Apportionable Income</w:t>
      </w:r>
    </w:p>
    <w:p w14:paraId="6BEF89A1" w14:textId="77777777" w:rsidR="000000D1" w:rsidRPr="000000D1" w:rsidRDefault="000000D1" w:rsidP="000000D1">
      <w:pPr>
        <w:ind w:left="1440"/>
        <w:contextualSpacing/>
        <w:rPr>
          <w:rFonts w:eastAsia="Calibri" w:cs="Times New Roman"/>
        </w:rPr>
      </w:pPr>
      <w:r w:rsidRPr="000000D1">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5F7FE683" w14:textId="77777777" w:rsidR="000000D1" w:rsidRPr="000000D1" w:rsidRDefault="000000D1" w:rsidP="000000D1">
      <w:pPr>
        <w:contextualSpacing/>
        <w:rPr>
          <w:rFonts w:eastAsia="Calibri" w:cs="Times New Roman"/>
        </w:rPr>
      </w:pPr>
    </w:p>
    <w:p w14:paraId="48BB27B3"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24-305 </w:t>
      </w:r>
      <w:bookmarkStart w:id="124" w:name="section.01_0"/>
    </w:p>
    <w:p w14:paraId="4EEEDE62" w14:textId="77777777" w:rsidR="000000D1" w:rsidRPr="000000D1" w:rsidRDefault="000000D1" w:rsidP="000000D1">
      <w:pPr>
        <w:ind w:left="720"/>
        <w:contextualSpacing/>
        <w:rPr>
          <w:rFonts w:eastAsia="Calibri" w:cs="Times New Roman"/>
        </w:rPr>
      </w:pPr>
    </w:p>
    <w:p w14:paraId="3CD64612" w14:textId="77777777" w:rsidR="000000D1" w:rsidRPr="000000D1" w:rsidRDefault="000000D1" w:rsidP="000000D1">
      <w:pPr>
        <w:ind w:left="720" w:firstLine="720"/>
        <w:contextualSpacing/>
        <w:rPr>
          <w:rFonts w:eastAsia="Calibri" w:cs="Times New Roman"/>
        </w:rPr>
      </w:pPr>
      <w:r w:rsidRPr="000000D1">
        <w:rPr>
          <w:rFonts w:eastAsia="Calibri" w:cs="Times New Roman"/>
        </w:rPr>
        <w:t>305.01</w:t>
      </w:r>
      <w:bookmarkEnd w:id="124"/>
      <w:r w:rsidRPr="000000D1">
        <w:rPr>
          <w:rFonts w:eastAsia="Calibri" w:cs="Times New Roman"/>
        </w:rPr>
        <w:t> Corporations or Partnerships; Apportionment Formula</w:t>
      </w:r>
    </w:p>
    <w:p w14:paraId="034AECAC"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federal taxable income, as adjusted under Reg-24-155, Nebraska Adjustments to Taxable Income, of a corporation or partnership operating both within and outside </w:t>
      </w:r>
      <w:r w:rsidRPr="000000D1">
        <w:rPr>
          <w:rFonts w:eastAsia="Calibri" w:cs="Times New Roman"/>
        </w:rPr>
        <w:lastRenderedPageBreak/>
        <w:t>Nebraska is apportioned to Nebraska by using the sales factor of the corporation or 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6C662493" w14:textId="77777777" w:rsidR="000000D1" w:rsidRPr="000000D1" w:rsidRDefault="000000D1" w:rsidP="000000D1">
      <w:pPr>
        <w:ind w:left="720"/>
        <w:contextualSpacing/>
        <w:rPr>
          <w:rFonts w:eastAsia="Calibri" w:cs="Times New Roman"/>
        </w:rPr>
      </w:pPr>
    </w:p>
    <w:p w14:paraId="25960E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24-315 </w:t>
      </w:r>
    </w:p>
    <w:p w14:paraId="08A5A978" w14:textId="77777777" w:rsidR="000000D1" w:rsidRPr="000000D1" w:rsidRDefault="000000D1" w:rsidP="000000D1">
      <w:pPr>
        <w:contextualSpacing/>
        <w:rPr>
          <w:rFonts w:eastAsia="Calibri" w:cs="Times New Roman"/>
        </w:rPr>
      </w:pPr>
    </w:p>
    <w:p w14:paraId="56632288" w14:textId="77777777" w:rsidR="000000D1" w:rsidRPr="000000D1" w:rsidRDefault="000000D1" w:rsidP="000000D1">
      <w:pPr>
        <w:ind w:left="1440"/>
        <w:rPr>
          <w:rFonts w:eastAsia="Calibri" w:cs="Times New Roman"/>
        </w:rPr>
      </w:pPr>
      <w:r w:rsidRPr="000000D1">
        <w:rPr>
          <w:rFonts w:eastAsia="Calibri" w:cs="Times New Roman"/>
        </w:rPr>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4308F41" w14:textId="77777777" w:rsidR="000000D1" w:rsidRPr="000000D1" w:rsidRDefault="000000D1" w:rsidP="000000D1">
      <w:pPr>
        <w:ind w:left="1440"/>
        <w:rPr>
          <w:rFonts w:eastAsia="Calibri" w:cs="Times New Roman"/>
        </w:rPr>
      </w:pPr>
      <w:r w:rsidRPr="000000D1">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45F46DE8" w14:textId="77777777" w:rsidR="000000D1" w:rsidRPr="000000D1" w:rsidRDefault="000000D1" w:rsidP="000000D1">
      <w:pPr>
        <w:ind w:left="1440"/>
        <w:rPr>
          <w:rFonts w:eastAsia="Calibri" w:cs="Times New Roman"/>
        </w:rPr>
      </w:pPr>
      <w:r w:rsidRPr="000000D1">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4D292716" w14:textId="77777777" w:rsidR="000000D1" w:rsidRPr="000000D1" w:rsidRDefault="000000D1" w:rsidP="000000D1">
      <w:pPr>
        <w:ind w:left="1440"/>
        <w:rPr>
          <w:rFonts w:eastAsia="Calibri" w:cs="Times New Roman"/>
        </w:rPr>
      </w:pPr>
      <w:r w:rsidRPr="000000D1">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3ECD4D9C" w14:textId="77777777" w:rsidR="000000D1" w:rsidRPr="000000D1" w:rsidRDefault="000000D1" w:rsidP="000000D1">
      <w:pPr>
        <w:ind w:left="1440"/>
        <w:rPr>
          <w:rFonts w:eastAsia="Calibri" w:cs="Times New Roman"/>
        </w:rPr>
      </w:pPr>
      <w:r w:rsidRPr="000000D1">
        <w:rPr>
          <w:rFonts w:eastAsia="Calibri" w:cs="Times New Roman"/>
        </w:rPr>
        <w:t>315.02A(2) Intercompany sales will be eliminated using calculations made in the following order:</w:t>
      </w:r>
    </w:p>
    <w:p w14:paraId="6527329C" w14:textId="77777777" w:rsidR="000000D1" w:rsidRPr="000000D1" w:rsidRDefault="000000D1" w:rsidP="000000D1">
      <w:pPr>
        <w:ind w:left="1440"/>
        <w:rPr>
          <w:rFonts w:eastAsia="Calibri" w:cs="Times New Roman"/>
        </w:rPr>
      </w:pPr>
      <w:r w:rsidRPr="000000D1">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0000D1">
        <w:rPr>
          <w:rFonts w:eastAsia="Calibri" w:cs="Times New Roman"/>
        </w:rPr>
        <w:noBreakHyphen/>
        <w:t>24</w:t>
      </w:r>
      <w:r w:rsidRPr="000000D1">
        <w:rPr>
          <w:rFonts w:eastAsia="Calibri" w:cs="Times New Roman"/>
        </w:rPr>
        <w:noBreakHyphen/>
        <w:t>315.02A(4)); and</w:t>
      </w:r>
    </w:p>
    <w:p w14:paraId="2BCD7BD1" w14:textId="77777777" w:rsidR="000000D1" w:rsidRPr="000000D1" w:rsidRDefault="000000D1" w:rsidP="000000D1">
      <w:pPr>
        <w:ind w:left="1440"/>
        <w:rPr>
          <w:rFonts w:eastAsia="Calibri" w:cs="Times New Roman"/>
        </w:rPr>
      </w:pPr>
      <w:r w:rsidRPr="000000D1">
        <w:rPr>
          <w:rFonts w:eastAsia="Calibri" w:cs="Times New Roman"/>
        </w:rPr>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513BF0C" w14:textId="77777777" w:rsidR="000000D1" w:rsidRPr="000000D1" w:rsidRDefault="000000D1" w:rsidP="000000D1">
      <w:pPr>
        <w:ind w:left="1440"/>
        <w:rPr>
          <w:rFonts w:eastAsia="Calibri" w:cs="Times New Roman"/>
        </w:rPr>
      </w:pPr>
      <w:r w:rsidRPr="000000D1">
        <w:rPr>
          <w:rFonts w:eastAsia="Calibri" w:cs="Times New Roman"/>
        </w:rPr>
        <w:t>315.02A(2)(c) Any partnership agreements that identify particular activities to a specific owner will not be considered when determining the income of each owner subject to tax in Nebraska . . .</w:t>
      </w:r>
    </w:p>
    <w:p w14:paraId="6194D2B9" w14:textId="77777777" w:rsidR="000000D1" w:rsidRPr="000000D1" w:rsidRDefault="000000D1" w:rsidP="000000D1">
      <w:pPr>
        <w:ind w:left="1440"/>
        <w:rPr>
          <w:rFonts w:eastAsia="Calibri" w:cs="Times New Roman"/>
        </w:rPr>
      </w:pPr>
      <w:r w:rsidRPr="000000D1">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 . . .</w:t>
      </w:r>
    </w:p>
    <w:p w14:paraId="2564F939" w14:textId="77777777" w:rsidR="000000D1" w:rsidRPr="000000D1" w:rsidRDefault="000000D1" w:rsidP="000000D1">
      <w:pPr>
        <w:ind w:left="1440"/>
        <w:rPr>
          <w:rFonts w:eastAsia="Calibri" w:cs="Times New Roman"/>
        </w:rPr>
      </w:pPr>
      <w:r w:rsidRPr="000000D1">
        <w:rPr>
          <w:rFonts w:eastAsia="Calibri" w:cs="Times New Roman"/>
        </w:rPr>
        <w:lastRenderedPageBreak/>
        <w:t>315.02B(2) The business entity's sales factor does not include sales made by the partnership. Therefore, the business entity's sales factor is not adjusted to eliminate sales made between the business entity and the partnership.</w:t>
      </w:r>
    </w:p>
    <w:p w14:paraId="2DB9B668"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Nebraska Return of Partnership Instructions (2022) </w:t>
      </w:r>
    </w:p>
    <w:p w14:paraId="48977E2F" w14:textId="77777777" w:rsidR="000000D1" w:rsidRPr="000000D1" w:rsidRDefault="000000D1" w:rsidP="000000D1">
      <w:pPr>
        <w:contextualSpacing/>
        <w:rPr>
          <w:rFonts w:eastAsia="Calibri" w:cs="Times New Roman"/>
        </w:rPr>
      </w:pPr>
    </w:p>
    <w:p w14:paraId="76D0B912" w14:textId="77777777" w:rsidR="000000D1" w:rsidRPr="000000D1" w:rsidRDefault="000000D1" w:rsidP="000000D1">
      <w:pPr>
        <w:ind w:left="1440"/>
        <w:rPr>
          <w:rFonts w:eastAsia="Calibri" w:cs="Times New Roman"/>
        </w:rPr>
      </w:pPr>
      <w:r w:rsidRPr="000000D1">
        <w:rPr>
          <w:rFonts w:eastAsia="Calibri" w:cs="Times New Roman"/>
        </w:rPr>
        <w:t xml:space="preserve">Nebraska source income is determined by apportioning the partnership or LLC income using a single, sales-only factor. Apportionment refers to the division of income between states by the use of a formula containing one or more apportionment factors . . . </w:t>
      </w:r>
      <w:r w:rsidRPr="000000D1">
        <w:t>For partnerships that are only subject to income tax in Nebraska, the amounts entered on lines 1-14 will come directly from the partner’s Federal Schedule K-1. For partnerships that are subject to income tax in another state, the amounts entered on lines 1-14 will be the result of the Federal Schedule K-1 amounts multiplied by the partnership’s Nebraska apportionment factor.</w:t>
      </w:r>
    </w:p>
    <w:p w14:paraId="4058EC3D" w14:textId="77777777" w:rsidR="000000D1" w:rsidRPr="000000D1" w:rsidRDefault="000000D1" w:rsidP="000000D1">
      <w:pPr>
        <w:pBdr>
          <w:bottom w:val="single" w:sz="4" w:space="0" w:color="auto"/>
        </w:pBdr>
        <w:rPr>
          <w:rFonts w:eastAsia="Calibri" w:cs="Times New Roman"/>
        </w:rPr>
      </w:pPr>
    </w:p>
    <w:p w14:paraId="2E6BAE0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5" w:name="_Toc195435299"/>
      <w:r w:rsidRPr="000000D1">
        <w:rPr>
          <w:rFonts w:ascii="Californian FB" w:eastAsia="Times New Roman" w:hAnsi="Californian FB" w:cs="Times New Roman"/>
          <w:b/>
          <w:color w:val="851C00"/>
          <w:sz w:val="24"/>
          <w:szCs w:val="24"/>
          <w:u w:val="single"/>
        </w:rPr>
        <w:t>New Hampshire</w:t>
      </w:r>
      <w:bookmarkEnd w:id="125"/>
    </w:p>
    <w:p w14:paraId="73FF785C" w14:textId="77777777" w:rsidR="000000D1" w:rsidRPr="000000D1" w:rsidRDefault="000000D1" w:rsidP="000000D1">
      <w:pPr>
        <w:ind w:left="720"/>
        <w:contextualSpacing/>
        <w:rPr>
          <w:rFonts w:eastAsia="Calibri" w:cs="Times New Roman"/>
        </w:rPr>
      </w:pPr>
      <w:r w:rsidRPr="000000D1">
        <w:rPr>
          <w:rFonts w:eastAsia="Calibri" w:cs="Times New Roman"/>
        </w:rPr>
        <w:t>New Hampshire taxes partnership income at the entity level, rather than allocating each partner their distributive share.</w:t>
      </w:r>
    </w:p>
    <w:p w14:paraId="2AB9685F" w14:textId="77777777" w:rsidR="000000D1" w:rsidRPr="000000D1" w:rsidRDefault="000000D1" w:rsidP="000000D1">
      <w:pPr>
        <w:ind w:left="720"/>
        <w:contextualSpacing/>
        <w:rPr>
          <w:rFonts w:eastAsia="Calibri" w:cs="Times New Roman"/>
        </w:rPr>
      </w:pPr>
    </w:p>
    <w:p w14:paraId="25E5BD3C" w14:textId="77777777" w:rsidR="000000D1" w:rsidRPr="000000D1" w:rsidRDefault="000000D1" w:rsidP="000000D1">
      <w:pPr>
        <w:ind w:left="720"/>
        <w:contextualSpacing/>
        <w:rPr>
          <w:rFonts w:eastAsia="Calibri" w:cs="Times New Roman"/>
        </w:rPr>
      </w:pPr>
      <w:r w:rsidRPr="000000D1">
        <w:rPr>
          <w:rFonts w:eastAsia="Calibri" w:cs="Times New Roman"/>
        </w:rPr>
        <w:tab/>
        <w:t>N.H. Constitution, Part II, Art. 5 Requirements:</w:t>
      </w:r>
    </w:p>
    <w:p w14:paraId="79996D87"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0E0BBFDE" w14:textId="77777777" w:rsidR="000000D1" w:rsidRPr="000000D1" w:rsidRDefault="000000D1" w:rsidP="000000D1">
      <w:pPr>
        <w:ind w:left="2160"/>
        <w:contextualSpacing/>
        <w:rPr>
          <w:rFonts w:eastAsia="Calibri" w:cs="Times New Roman"/>
        </w:rPr>
      </w:pPr>
      <w:r w:rsidRPr="000000D1">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73CC69CF"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040412F4" w14:textId="77777777" w:rsidR="000000D1" w:rsidRPr="000000D1" w:rsidRDefault="000000D1" w:rsidP="000000D1">
      <w:pPr>
        <w:ind w:left="720" w:firstLine="720"/>
        <w:contextualSpacing/>
        <w:rPr>
          <w:rFonts w:eastAsia="Calibri" w:cs="Times New Roman"/>
        </w:rPr>
      </w:pPr>
      <w:r w:rsidRPr="000000D1">
        <w:rPr>
          <w:rFonts w:eastAsia="Calibri" w:cs="Times New Roman"/>
        </w:rPr>
        <w:t>Opinion of the Justices, 111 N.H. 206, 209 (1971).</w:t>
      </w:r>
    </w:p>
    <w:p w14:paraId="2B57CBB8"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622F2AB5" w14:textId="77777777" w:rsidR="000000D1" w:rsidRPr="000000D1" w:rsidRDefault="000000D1" w:rsidP="000000D1">
      <w:pPr>
        <w:ind w:left="2160"/>
        <w:contextualSpacing/>
        <w:rPr>
          <w:rFonts w:eastAsia="Calibri" w:cs="Times New Roman"/>
        </w:rPr>
      </w:pPr>
      <w:r w:rsidRPr="000000D1">
        <w:rPr>
          <w:rFonts w:eastAsia="Calibri" w:cs="Times New Roman"/>
        </w:rPr>
        <w:t xml:space="preserve">“[I]t is our view that if corporations are to be taxed upon the receipt of income, the tax burden must be shared by others enjoying like privileges.” </w:t>
      </w:r>
    </w:p>
    <w:p w14:paraId="46864BED"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291BABB3" w14:textId="77777777" w:rsidR="000000D1" w:rsidRPr="000000D1" w:rsidRDefault="000000D1" w:rsidP="000000D1">
      <w:pPr>
        <w:ind w:left="720" w:firstLine="720"/>
        <w:contextualSpacing/>
        <w:rPr>
          <w:rFonts w:eastAsia="Calibri" w:cs="Times New Roman"/>
        </w:rPr>
      </w:pPr>
      <w:r w:rsidRPr="000000D1">
        <w:rPr>
          <w:rFonts w:eastAsia="Calibri" w:cs="Times New Roman"/>
        </w:rPr>
        <w:t xml:space="preserve">N.H. Rev. Stat. Ann. § 77-A:1, I </w:t>
      </w:r>
    </w:p>
    <w:p w14:paraId="2596BB62"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229F71C6" w14:textId="77777777" w:rsidR="000000D1" w:rsidRPr="000000D1" w:rsidRDefault="000000D1" w:rsidP="000000D1">
      <w:pPr>
        <w:ind w:left="2160"/>
        <w:contextualSpacing/>
        <w:rPr>
          <w:rFonts w:eastAsia="Calibri" w:cs="Times New Roman"/>
        </w:rPr>
      </w:pPr>
      <w:r w:rsidRPr="000000D1">
        <w:rPr>
          <w:rFonts w:eastAsia="Calibri" w:cs="Times New Roman"/>
        </w:rPr>
        <w:t>“Business organization” means any enterprise, whether corporation, partnership, limited liability company, proprietorship, association, business trust, real estate trust or other form of organization….</w:t>
      </w:r>
    </w:p>
    <w:p w14:paraId="59DC843B" w14:textId="77777777" w:rsidR="000000D1" w:rsidRPr="000000D1" w:rsidRDefault="000000D1" w:rsidP="000000D1">
      <w:pPr>
        <w:contextualSpacing/>
        <w:rPr>
          <w:rFonts w:eastAsia="Calibri" w:cs="Times New Roman"/>
        </w:rPr>
      </w:pPr>
    </w:p>
    <w:p w14:paraId="7BC9BA5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N.H. Rev. Stat. Ann. § 77-A:3, III </w:t>
      </w:r>
    </w:p>
    <w:p w14:paraId="04FDFBC4" w14:textId="77777777" w:rsidR="000000D1" w:rsidRPr="000000D1" w:rsidRDefault="000000D1" w:rsidP="000000D1">
      <w:pPr>
        <w:contextualSpacing/>
        <w:rPr>
          <w:rFonts w:eastAsia="Calibri" w:cs="Times New Roman"/>
        </w:rPr>
      </w:pPr>
    </w:p>
    <w:p w14:paraId="1EB03A30" w14:textId="77777777" w:rsidR="000000D1" w:rsidRPr="000000D1" w:rsidRDefault="000000D1" w:rsidP="000000D1">
      <w:pPr>
        <w:ind w:left="1440"/>
        <w:rPr>
          <w:rFonts w:eastAsia="Calibri" w:cs="Times New Roman"/>
        </w:rPr>
      </w:pPr>
      <w:r w:rsidRPr="000000D1">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p>
    <w:p w14:paraId="69B50ED0"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New Hampshire Department of Revenue Website </w:t>
      </w:r>
    </w:p>
    <w:p w14:paraId="6206376C" w14:textId="77777777" w:rsidR="000000D1" w:rsidRPr="000000D1" w:rsidRDefault="000000D1" w:rsidP="000000D1">
      <w:pPr>
        <w:contextualSpacing/>
        <w:rPr>
          <w:rFonts w:eastAsia="Calibri" w:cs="Times New Roman"/>
        </w:rPr>
      </w:pPr>
    </w:p>
    <w:p w14:paraId="23891FB9" w14:textId="77777777" w:rsidR="000000D1" w:rsidRPr="000000D1" w:rsidRDefault="000000D1" w:rsidP="000000D1">
      <w:pPr>
        <w:ind w:left="1440"/>
        <w:rPr>
          <w:rFonts w:eastAsia="Calibri" w:cs="Times New Roman"/>
        </w:rPr>
      </w:pPr>
      <w:r w:rsidRPr="000000D1">
        <w:rPr>
          <w:rFonts w:eastAsia="Calibri" w:cs="Times New Roman"/>
        </w:rPr>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E92CEDA" w14:textId="77777777" w:rsidR="000000D1" w:rsidRPr="000000D1" w:rsidRDefault="000000D1" w:rsidP="000000D1">
      <w:pPr>
        <w:pBdr>
          <w:bottom w:val="single" w:sz="4" w:space="0" w:color="auto"/>
        </w:pBdr>
        <w:rPr>
          <w:rFonts w:eastAsia="Calibri" w:cs="Times New Roman"/>
        </w:rPr>
      </w:pPr>
    </w:p>
    <w:p w14:paraId="41166872"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6" w:name="_Toc195435300"/>
      <w:r w:rsidRPr="000000D1">
        <w:rPr>
          <w:rFonts w:ascii="Californian FB" w:eastAsia="Times New Roman" w:hAnsi="Californian FB" w:cs="Times New Roman"/>
          <w:b/>
          <w:color w:val="851C00"/>
          <w:sz w:val="24"/>
          <w:szCs w:val="24"/>
          <w:u w:val="single"/>
        </w:rPr>
        <w:t>New Jersey</w:t>
      </w:r>
      <w:bookmarkEnd w:id="126"/>
    </w:p>
    <w:p w14:paraId="13B1C2CC" w14:textId="77777777" w:rsidR="000000D1" w:rsidRPr="000000D1" w:rsidRDefault="000000D1" w:rsidP="000000D1">
      <w:pPr>
        <w:ind w:left="720"/>
        <w:contextualSpacing/>
        <w:rPr>
          <w:rFonts w:eastAsia="Calibri" w:cs="Times New Roman"/>
        </w:rPr>
      </w:pPr>
      <w:r w:rsidRPr="000000D1">
        <w:rPr>
          <w:rFonts w:eastAsia="Calibri" w:cs="Times New Roman"/>
        </w:rPr>
        <w:t xml:space="preserve">N.J. Admin. Code § 18:35-1.3(d)(6) </w:t>
      </w:r>
    </w:p>
    <w:p w14:paraId="258AB65F" w14:textId="77777777" w:rsidR="000000D1" w:rsidRPr="000000D1" w:rsidRDefault="000000D1" w:rsidP="000000D1">
      <w:pPr>
        <w:ind w:left="720"/>
        <w:contextualSpacing/>
        <w:rPr>
          <w:rFonts w:eastAsia="Calibri" w:cs="Times New Roman"/>
        </w:rPr>
      </w:pPr>
    </w:p>
    <w:p w14:paraId="55831F12" w14:textId="77777777" w:rsidR="000000D1" w:rsidRPr="000000D1" w:rsidRDefault="000000D1" w:rsidP="000000D1">
      <w:pPr>
        <w:ind w:left="1440"/>
        <w:rPr>
          <w:rFonts w:eastAsia="Calibri" w:cs="Times New Roman"/>
        </w:rPr>
      </w:pPr>
      <w:r w:rsidRPr="000000D1">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p>
    <w:p w14:paraId="224BD719" w14:textId="77777777" w:rsidR="000000D1" w:rsidRPr="000000D1" w:rsidRDefault="000000D1" w:rsidP="000000D1">
      <w:pPr>
        <w:ind w:left="720"/>
        <w:contextualSpacing/>
        <w:rPr>
          <w:rFonts w:eastAsia="Calibri" w:cs="Times New Roman"/>
        </w:rPr>
      </w:pPr>
      <w:r w:rsidRPr="000000D1">
        <w:rPr>
          <w:rFonts w:eastAsia="Calibri" w:cs="Times New Roman"/>
        </w:rPr>
        <w:t xml:space="preserve">N.J. Admin. Code § 18:7-7.6 </w:t>
      </w:r>
    </w:p>
    <w:p w14:paraId="5287A097" w14:textId="77777777" w:rsidR="000000D1" w:rsidRPr="000000D1" w:rsidRDefault="000000D1" w:rsidP="000000D1">
      <w:pPr>
        <w:contextualSpacing/>
        <w:rPr>
          <w:rFonts w:eastAsia="Calibri" w:cs="Times New Roman"/>
        </w:rPr>
      </w:pPr>
    </w:p>
    <w:p w14:paraId="382897C6" w14:textId="77777777" w:rsidR="000000D1" w:rsidRPr="000000D1" w:rsidRDefault="000000D1" w:rsidP="000000D1">
      <w:pPr>
        <w:ind w:left="1440"/>
        <w:rPr>
          <w:rFonts w:eastAsia="Calibri" w:cs="Times New Roman"/>
        </w:rPr>
      </w:pPr>
      <w:r w:rsidRPr="000000D1">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08535562" w14:textId="77777777" w:rsidR="000000D1" w:rsidRPr="000000D1" w:rsidRDefault="000000D1" w:rsidP="000000D1">
      <w:pPr>
        <w:ind w:left="1440"/>
        <w:rPr>
          <w:rFonts w:eastAsia="Calibri" w:cs="Times New Roman"/>
        </w:rPr>
      </w:pPr>
      <w:r w:rsidRPr="000000D1">
        <w:rPr>
          <w:rFonts w:eastAsia="Calibri" w:cs="Times New Roman"/>
        </w:rPr>
        <w:t>(1) 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transactions) of the business that the corporation carries on directly. Third, these two amounts would be added together to arrive at the corporation's entire net income apportioned to New Jersey.</w:t>
      </w:r>
    </w:p>
    <w:p w14:paraId="7FFF4AE4" w14:textId="77777777" w:rsidR="000000D1" w:rsidRPr="000000D1" w:rsidRDefault="000000D1" w:rsidP="000000D1">
      <w:pPr>
        <w:ind w:left="1440"/>
        <w:rPr>
          <w:rFonts w:eastAsia="Calibri" w:cs="Times New Roman"/>
        </w:rPr>
      </w:pPr>
      <w:r w:rsidRPr="000000D1">
        <w:rPr>
          <w:rFonts w:eastAsia="Calibri" w:cs="Times New Roman"/>
        </w:rPr>
        <w:t>(2)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7FE9192A" w14:textId="77777777" w:rsidR="000000D1" w:rsidRPr="000000D1" w:rsidRDefault="000000D1" w:rsidP="000000D1">
      <w:pPr>
        <w:ind w:left="1440"/>
        <w:rPr>
          <w:rFonts w:eastAsia="Calibri" w:cs="Times New Roman"/>
        </w:rPr>
      </w:pPr>
      <w:r w:rsidRPr="000000D1">
        <w:rPr>
          <w:rFonts w:eastAsia="Calibri" w:cs="Times New Roman"/>
        </w:rPr>
        <w:t>(3) Facts that either singly or in combination may suggest that the corporation and partnership are part of a unitary business and hence that a flow through approach may be appropriate include, without limitation thereto:</w:t>
      </w:r>
    </w:p>
    <w:p w14:paraId="2C7768B4" w14:textId="77777777" w:rsidR="000000D1" w:rsidRPr="000000D1" w:rsidRDefault="000000D1" w:rsidP="000000D1">
      <w:pPr>
        <w:ind w:left="1440"/>
        <w:rPr>
          <w:rFonts w:eastAsia="Calibri" w:cs="Times New Roman"/>
        </w:rPr>
      </w:pPr>
      <w:r w:rsidRPr="000000D1">
        <w:rPr>
          <w:rFonts w:eastAsia="Calibri" w:cs="Times New Roman"/>
        </w:rPr>
        <w:t>i. Substantial intercompany-partnership transactions;</w:t>
      </w:r>
    </w:p>
    <w:p w14:paraId="7BF89263" w14:textId="77777777" w:rsidR="000000D1" w:rsidRPr="000000D1" w:rsidRDefault="000000D1" w:rsidP="000000D1">
      <w:pPr>
        <w:ind w:left="1440"/>
        <w:rPr>
          <w:rFonts w:eastAsia="Calibri" w:cs="Times New Roman"/>
        </w:rPr>
      </w:pPr>
      <w:r w:rsidRPr="000000D1">
        <w:rPr>
          <w:rFonts w:eastAsia="Calibri" w:cs="Times New Roman"/>
        </w:rPr>
        <w:t>ii. The partnership interest is the only or the most substantial asset of the corporation;</w:t>
      </w:r>
    </w:p>
    <w:p w14:paraId="0A14C75F" w14:textId="77777777" w:rsidR="000000D1" w:rsidRPr="000000D1" w:rsidRDefault="000000D1" w:rsidP="000000D1">
      <w:pPr>
        <w:ind w:left="1440"/>
        <w:rPr>
          <w:rFonts w:eastAsia="Calibri" w:cs="Times New Roman"/>
        </w:rPr>
      </w:pPr>
      <w:r w:rsidRPr="000000D1">
        <w:rPr>
          <w:rFonts w:eastAsia="Calibri" w:cs="Times New Roman"/>
        </w:rPr>
        <w:t>iii. The partnership interest produces all or most of the income of the corporation;</w:t>
      </w:r>
    </w:p>
    <w:p w14:paraId="5A312E19" w14:textId="77777777" w:rsidR="000000D1" w:rsidRPr="000000D1" w:rsidRDefault="000000D1" w:rsidP="000000D1">
      <w:pPr>
        <w:ind w:left="1440"/>
        <w:rPr>
          <w:rFonts w:eastAsia="Calibri" w:cs="Times New Roman"/>
        </w:rPr>
      </w:pPr>
      <w:r w:rsidRPr="000000D1">
        <w:rPr>
          <w:rFonts w:eastAsia="Calibri" w:cs="Times New Roman"/>
        </w:rPr>
        <w:t>iv. The corporation and the partnership are in the same line of business;</w:t>
      </w:r>
    </w:p>
    <w:p w14:paraId="2BC263D4" w14:textId="77777777" w:rsidR="000000D1" w:rsidRPr="000000D1" w:rsidRDefault="000000D1" w:rsidP="000000D1">
      <w:pPr>
        <w:ind w:left="1440"/>
        <w:rPr>
          <w:rFonts w:eastAsia="Calibri" w:cs="Times New Roman"/>
        </w:rPr>
      </w:pPr>
      <w:r w:rsidRPr="000000D1">
        <w:rPr>
          <w:rFonts w:eastAsia="Calibri" w:cs="Times New Roman"/>
        </w:rPr>
        <w:t>v. There is substantial overlapping of employees and offices; and/or</w:t>
      </w:r>
    </w:p>
    <w:p w14:paraId="5B7C8153" w14:textId="77777777" w:rsidR="000000D1" w:rsidRPr="000000D1" w:rsidRDefault="000000D1" w:rsidP="000000D1">
      <w:pPr>
        <w:ind w:left="1440"/>
        <w:rPr>
          <w:rFonts w:eastAsia="Calibri" w:cs="Times New Roman"/>
        </w:rPr>
      </w:pPr>
      <w:r w:rsidRPr="000000D1">
        <w:rPr>
          <w:rFonts w:eastAsia="Calibri" w:cs="Times New Roman"/>
        </w:rPr>
        <w:t>vi. There is sharing of operational facilities, technology, and/or know-how.</w:t>
      </w:r>
    </w:p>
    <w:p w14:paraId="527A27AA"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For further information about combined returns and unitary businesses, see N.J.A.C. 18:7-21.</w:t>
      </w:r>
    </w:p>
    <w:p w14:paraId="33508EC8" w14:textId="77777777" w:rsidR="000000D1" w:rsidRPr="000000D1" w:rsidRDefault="000000D1" w:rsidP="000000D1">
      <w:pPr>
        <w:ind w:left="1440"/>
        <w:rPr>
          <w:rFonts w:eastAsia="Calibri" w:cs="Times New Roman"/>
        </w:rPr>
      </w:pPr>
      <w:r w:rsidRPr="000000D1">
        <w:rPr>
          <w:rFonts w:eastAsia="Calibri" w:cs="Times New Roman"/>
        </w:rPr>
        <w:lastRenderedPageBreak/>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34826952" w14:textId="77777777" w:rsidR="000000D1" w:rsidRPr="000000D1" w:rsidRDefault="000000D1" w:rsidP="000000D1">
      <w:pPr>
        <w:ind w:left="1440"/>
        <w:rPr>
          <w:rFonts w:eastAsia="Calibri" w:cs="Times New Roman"/>
        </w:rPr>
      </w:pPr>
      <w:r w:rsidRPr="000000D1">
        <w:rPr>
          <w:rFonts w:eastAsia="Calibri" w:cs="Times New Roman"/>
        </w:rPr>
        <w:t>(1) 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0A0F4064" w14:textId="77777777" w:rsidR="000000D1" w:rsidRPr="000000D1" w:rsidRDefault="000000D1" w:rsidP="000000D1">
      <w:pPr>
        <w:ind w:left="1440"/>
        <w:rPr>
          <w:rFonts w:eastAsia="Calibri" w:cs="Times New Roman"/>
        </w:rPr>
      </w:pPr>
      <w:r w:rsidRPr="000000D1">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0625E864" w14:textId="77777777" w:rsidR="000000D1" w:rsidRPr="000000D1" w:rsidRDefault="000000D1" w:rsidP="000000D1">
      <w:pPr>
        <w:ind w:left="1440"/>
        <w:rPr>
          <w:rFonts w:eastAsia="Calibri" w:cs="Times New Roman"/>
        </w:rPr>
      </w:pPr>
      <w:r w:rsidRPr="000000D1">
        <w:rPr>
          <w:rFonts w:eastAsia="Calibri" w:cs="Times New Roman"/>
        </w:rPr>
        <w:t>(j) The classification of partnership items of income, expense, or loss as operational or nonoperational is to be determined in accordance with N.J.S.A. 54:10A-6.1. Whether or not a partnership is unitary or nonunitary with its corporate partner is a different issue from the issue of taxability of operational or nonoperational income or the deductibility of operational or nonoperational expenses or losses.</w:t>
      </w:r>
    </w:p>
    <w:p w14:paraId="7750F04F" w14:textId="77777777" w:rsidR="000000D1" w:rsidRPr="000000D1" w:rsidRDefault="000000D1" w:rsidP="000000D1">
      <w:pPr>
        <w:ind w:left="720"/>
        <w:contextualSpacing/>
        <w:rPr>
          <w:rFonts w:eastAsia="Calibri" w:cs="Times New Roman"/>
        </w:rPr>
      </w:pPr>
    </w:p>
    <w:p w14:paraId="771FF87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New Jersey Technical Bulletin 112(R) (May 3, 2024) </w:t>
      </w:r>
      <w:r w:rsidRPr="000000D1">
        <w:rPr>
          <w:rFonts w:eastAsia="Calibri" w:cs="Times New Roman"/>
          <w:i/>
          <w:iCs/>
        </w:rPr>
        <w:t>Sourcing</w:t>
      </w:r>
    </w:p>
    <w:p w14:paraId="208AD6B4" w14:textId="77777777" w:rsidR="000000D1" w:rsidRPr="000000D1" w:rsidRDefault="000000D1" w:rsidP="000000D1">
      <w:pPr>
        <w:ind w:left="720"/>
        <w:contextualSpacing/>
        <w:rPr>
          <w:rFonts w:eastAsia="Calibri" w:cs="Times New Roman"/>
          <w:i/>
          <w:iCs/>
        </w:rPr>
      </w:pPr>
    </w:p>
    <w:p w14:paraId="095B6E2B" w14:textId="77777777" w:rsidR="000000D1" w:rsidRPr="000000D1" w:rsidRDefault="000000D1" w:rsidP="000000D1">
      <w:pPr>
        <w:ind w:left="720"/>
        <w:contextualSpacing/>
        <w:rPr>
          <w:rFonts w:eastAsia="Calibri" w:cs="Times New Roman"/>
          <w:b/>
          <w:bCs/>
        </w:rPr>
      </w:pPr>
      <w:r w:rsidRPr="000000D1">
        <w:rPr>
          <w:rFonts w:eastAsia="Calibri" w:cs="Times New Roman"/>
          <w:i/>
          <w:iCs/>
        </w:rPr>
        <w:tab/>
      </w:r>
      <w:r w:rsidRPr="000000D1">
        <w:rPr>
          <w:rFonts w:eastAsia="Calibri" w:cs="Times New Roman"/>
          <w:b/>
          <w:bCs/>
        </w:rPr>
        <w:t>Tiered Partnerships</w:t>
      </w:r>
    </w:p>
    <w:p w14:paraId="139E12A2" w14:textId="77777777" w:rsidR="000000D1" w:rsidRPr="000000D1" w:rsidRDefault="000000D1" w:rsidP="000000D1">
      <w:pPr>
        <w:ind w:left="720"/>
        <w:contextualSpacing/>
        <w:rPr>
          <w:rFonts w:eastAsia="Calibri" w:cs="Times New Roman"/>
        </w:rPr>
      </w:pPr>
    </w:p>
    <w:p w14:paraId="323D8E5E" w14:textId="77777777" w:rsidR="000000D1" w:rsidRPr="000000D1" w:rsidRDefault="000000D1" w:rsidP="000000D1">
      <w:pPr>
        <w:ind w:left="1440"/>
        <w:contextualSpacing/>
        <w:rPr>
          <w:rFonts w:eastAsia="Calibri" w:cs="Times New Roman"/>
        </w:rPr>
      </w:pPr>
      <w:r w:rsidRPr="000000D1">
        <w:rPr>
          <w:rFonts w:eastAsia="Calibri" w:cs="Times New Roman"/>
        </w:rPr>
        <w:t>A tiered partnership in which the lower-tiered partnership is unitary with the upper-tiered partnership (as outlined in N.J.A.C. 18:7-21.2) must use the flow-through method of accounting and sourcing for unitary partnerships as described in N.J.A.C. 18:7-7.6. For a unitary relationship to exist, there must be common ownership between the entities whereby the ownership in the entities, directly or indirectly, is more than a 50% ownership interest. A tiered partnership that is a nonunitary business uses the separate method of accounting and sourcing for nonunitary partnerships as described in N.J.A.C. 18:7-7.6.</w:t>
      </w:r>
    </w:p>
    <w:p w14:paraId="7E8B8ADB" w14:textId="77777777" w:rsidR="000000D1" w:rsidRPr="000000D1" w:rsidRDefault="000000D1" w:rsidP="000000D1">
      <w:pPr>
        <w:pBdr>
          <w:bottom w:val="single" w:sz="4" w:space="0" w:color="auto"/>
        </w:pBdr>
        <w:rPr>
          <w:rFonts w:eastAsia="Calibri" w:cs="Times New Roman"/>
        </w:rPr>
      </w:pPr>
    </w:p>
    <w:p w14:paraId="4A5AE42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7" w:name="_Toc195435301"/>
      <w:r w:rsidRPr="000000D1">
        <w:rPr>
          <w:rFonts w:ascii="Californian FB" w:eastAsia="Times New Roman" w:hAnsi="Californian FB" w:cs="Times New Roman"/>
          <w:b/>
          <w:color w:val="851C00"/>
          <w:sz w:val="24"/>
          <w:szCs w:val="24"/>
          <w:u w:val="single"/>
        </w:rPr>
        <w:t>New Mexico</w:t>
      </w:r>
      <w:bookmarkEnd w:id="127"/>
    </w:p>
    <w:p w14:paraId="1BF06C7D" w14:textId="77777777" w:rsidR="000000D1" w:rsidRPr="000000D1" w:rsidRDefault="000000D1" w:rsidP="000000D1">
      <w:pPr>
        <w:ind w:left="720"/>
        <w:contextualSpacing/>
        <w:rPr>
          <w:rFonts w:eastAsia="Calibri" w:cs="Times New Roman"/>
        </w:rPr>
      </w:pPr>
      <w:r w:rsidRPr="000000D1">
        <w:rPr>
          <w:rFonts w:eastAsia="Calibri" w:cs="Times New Roman"/>
        </w:rPr>
        <w:t xml:space="preserve">NMSA 1978 § 7-4-10(a) </w:t>
      </w:r>
    </w:p>
    <w:p w14:paraId="717EBE97" w14:textId="77777777" w:rsidR="000000D1" w:rsidRPr="000000D1" w:rsidRDefault="000000D1" w:rsidP="000000D1">
      <w:pPr>
        <w:contextualSpacing/>
        <w:rPr>
          <w:rFonts w:eastAsia="Calibri" w:cs="Times New Roman"/>
        </w:rPr>
      </w:pPr>
    </w:p>
    <w:p w14:paraId="26629620" w14:textId="77777777" w:rsidR="000000D1" w:rsidRPr="000000D1" w:rsidRDefault="000000D1" w:rsidP="000000D1">
      <w:pPr>
        <w:ind w:left="1440"/>
        <w:rPr>
          <w:rFonts w:eastAsia="Calibri" w:cs="Times New Roman"/>
        </w:rPr>
      </w:pPr>
      <w:r w:rsidRPr="000000D1">
        <w:rPr>
          <w:rFonts w:eastAsia="Calibri" w:cs="Times New Roman"/>
        </w:rPr>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F26196D"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N.M. Code R. § 3.3.11.12 </w:t>
      </w:r>
    </w:p>
    <w:p w14:paraId="63AA2F3B" w14:textId="77777777" w:rsidR="000000D1" w:rsidRPr="000000D1" w:rsidRDefault="000000D1" w:rsidP="000000D1">
      <w:pPr>
        <w:contextualSpacing/>
        <w:rPr>
          <w:rFonts w:eastAsia="Calibri" w:cs="Times New Roman"/>
        </w:rPr>
      </w:pPr>
    </w:p>
    <w:p w14:paraId="12E2D2F6" w14:textId="77777777" w:rsidR="000000D1" w:rsidRPr="000000D1" w:rsidRDefault="000000D1" w:rsidP="000000D1">
      <w:pPr>
        <w:ind w:left="1440"/>
        <w:contextualSpacing/>
        <w:rPr>
          <w:rFonts w:eastAsia="Calibri" w:cs="Times New Roman"/>
        </w:rPr>
      </w:pPr>
      <w:r w:rsidRPr="000000D1">
        <w:rPr>
          <w:rFonts w:eastAsia="Calibri" w:cs="Times New Roman"/>
        </w:rPr>
        <w:t>B. 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 . . .</w:t>
      </w:r>
    </w:p>
    <w:p w14:paraId="22C3E9C1" w14:textId="77777777" w:rsidR="000000D1" w:rsidRPr="000000D1" w:rsidRDefault="000000D1" w:rsidP="000000D1">
      <w:pPr>
        <w:ind w:left="1440"/>
        <w:contextualSpacing/>
        <w:rPr>
          <w:rFonts w:eastAsia="Calibri" w:cs="Times New Roman"/>
        </w:rPr>
      </w:pPr>
    </w:p>
    <w:p w14:paraId="50EB6867" w14:textId="77777777" w:rsidR="000000D1" w:rsidRPr="000000D1" w:rsidRDefault="000000D1" w:rsidP="000000D1">
      <w:pPr>
        <w:ind w:left="1440"/>
        <w:contextualSpacing/>
        <w:rPr>
          <w:rFonts w:eastAsia="Calibri" w:cs="Times New Roman"/>
        </w:rPr>
      </w:pPr>
      <w:r w:rsidRPr="000000D1">
        <w:rPr>
          <w:rFonts w:eastAsia="Calibri" w:cs="Times New Roman"/>
        </w:rPr>
        <w:t>D. The taxpayer shall apportion the taxpayer's distributive share of the unincorporated business entity's business income to New Mexico by multiplying the taxpayer's distributive share times the New Mexico apportionment percentage determined by 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721128B5" w14:textId="77777777" w:rsidR="000000D1" w:rsidRPr="000000D1" w:rsidRDefault="000000D1" w:rsidP="000000D1">
      <w:pPr>
        <w:pBdr>
          <w:bottom w:val="single" w:sz="4" w:space="0" w:color="auto"/>
        </w:pBdr>
        <w:rPr>
          <w:rFonts w:eastAsia="Calibri" w:cs="Times New Roman"/>
        </w:rPr>
      </w:pPr>
    </w:p>
    <w:p w14:paraId="17539A2C"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8" w:name="_Toc195435302"/>
      <w:r w:rsidRPr="000000D1">
        <w:rPr>
          <w:rFonts w:ascii="Californian FB" w:eastAsia="Times New Roman" w:hAnsi="Californian FB" w:cs="Times New Roman"/>
          <w:b/>
          <w:color w:val="851C00"/>
          <w:sz w:val="24"/>
          <w:szCs w:val="24"/>
          <w:u w:val="single"/>
        </w:rPr>
        <w:t>New York</w:t>
      </w:r>
      <w:bookmarkEnd w:id="128"/>
    </w:p>
    <w:p w14:paraId="7D4E4B8B" w14:textId="77777777" w:rsidR="000000D1" w:rsidRPr="000000D1" w:rsidRDefault="000000D1" w:rsidP="000000D1">
      <w:pPr>
        <w:ind w:left="720"/>
        <w:contextualSpacing/>
        <w:rPr>
          <w:rFonts w:eastAsia="Calibri" w:cs="Times New Roman"/>
        </w:rPr>
      </w:pPr>
      <w:r w:rsidRPr="000000D1">
        <w:rPr>
          <w:rFonts w:eastAsia="Calibri" w:cs="Times New Roman"/>
        </w:rPr>
        <w:t xml:space="preserve">N.Y. Tax Law § 210(3) </w:t>
      </w:r>
    </w:p>
    <w:p w14:paraId="3FB5113A" w14:textId="77777777" w:rsidR="000000D1" w:rsidRPr="000000D1" w:rsidRDefault="000000D1" w:rsidP="000000D1">
      <w:pPr>
        <w:ind w:left="720"/>
        <w:contextualSpacing/>
        <w:rPr>
          <w:rFonts w:eastAsia="Calibri" w:cs="Times New Roman"/>
        </w:rPr>
      </w:pPr>
    </w:p>
    <w:p w14:paraId="2062B01E" w14:textId="77777777" w:rsidR="000000D1" w:rsidRPr="000000D1" w:rsidRDefault="000000D1" w:rsidP="000000D1">
      <w:pPr>
        <w:ind w:left="1440"/>
        <w:contextualSpacing/>
        <w:rPr>
          <w:rFonts w:eastAsia="Calibri" w:cs="Times New Roman"/>
        </w:rPr>
      </w:pPr>
      <w:r w:rsidRPr="000000D1">
        <w:rPr>
          <w:rFonts w:eastAsia="Calibri" w:cs="Times New Roman"/>
        </w:rPr>
        <w:t>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050B44C5" w14:textId="77777777" w:rsidR="000000D1" w:rsidRPr="000000D1" w:rsidRDefault="000000D1" w:rsidP="000000D1">
      <w:pPr>
        <w:ind w:left="720"/>
        <w:contextualSpacing/>
        <w:rPr>
          <w:rFonts w:eastAsia="Calibri" w:cs="Times New Roman"/>
        </w:rPr>
      </w:pPr>
    </w:p>
    <w:p w14:paraId="1C59F33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9-2.3 </w:t>
      </w:r>
    </w:p>
    <w:p w14:paraId="41D34610" w14:textId="77777777" w:rsidR="000000D1" w:rsidRPr="000000D1" w:rsidRDefault="000000D1" w:rsidP="000000D1">
      <w:pPr>
        <w:ind w:left="720"/>
        <w:contextualSpacing/>
        <w:rPr>
          <w:rFonts w:eastAsia="Calibri" w:cs="Times New Roman"/>
        </w:rPr>
      </w:pPr>
    </w:p>
    <w:p w14:paraId="6133B48B" w14:textId="77777777" w:rsidR="000000D1" w:rsidRPr="000000D1" w:rsidRDefault="000000D1" w:rsidP="000000D1">
      <w:pPr>
        <w:ind w:left="1440"/>
        <w:contextualSpacing/>
        <w:rPr>
          <w:rFonts w:eastAsia="Calibri" w:cs="Times New Roman"/>
        </w:rPr>
      </w:pPr>
      <w:r w:rsidRPr="000000D1">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partner . . .</w:t>
      </w:r>
    </w:p>
    <w:p w14:paraId="17A22572" w14:textId="77777777" w:rsidR="000000D1" w:rsidRPr="000000D1" w:rsidRDefault="000000D1" w:rsidP="000000D1">
      <w:pPr>
        <w:ind w:left="1440"/>
        <w:contextualSpacing/>
        <w:rPr>
          <w:rFonts w:eastAsia="Calibri" w:cs="Times New Roman"/>
        </w:rPr>
      </w:pPr>
    </w:p>
    <w:p w14:paraId="42833DF0" w14:textId="77777777" w:rsidR="000000D1" w:rsidRPr="000000D1" w:rsidRDefault="000000D1" w:rsidP="000000D1">
      <w:pPr>
        <w:ind w:left="1440"/>
        <w:contextualSpacing/>
        <w:rPr>
          <w:rFonts w:eastAsia="Calibri" w:cs="Times New Roman"/>
        </w:rPr>
      </w:pPr>
      <w:r w:rsidRPr="000000D1">
        <w:rPr>
          <w:rFonts w:eastAsia="Calibri" w:cs="Times New Roman"/>
        </w:rPr>
        <w:t>(a)(4) Where a corporation is a partner in an upper tier partnership that is a partner in a lower tier partnership, the source and character of such corporation's distributive 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 . . .</w:t>
      </w:r>
    </w:p>
    <w:p w14:paraId="3FEBEA84" w14:textId="77777777" w:rsidR="000000D1" w:rsidRPr="000000D1" w:rsidRDefault="000000D1" w:rsidP="000000D1">
      <w:pPr>
        <w:ind w:left="1440"/>
        <w:contextualSpacing/>
        <w:rPr>
          <w:rFonts w:eastAsia="Calibri" w:cs="Times New Roman"/>
        </w:rPr>
      </w:pPr>
    </w:p>
    <w:p w14:paraId="5890AAFC"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40FC6801" w14:textId="77777777" w:rsidR="000000D1" w:rsidRPr="000000D1" w:rsidRDefault="000000D1" w:rsidP="000000D1">
      <w:pPr>
        <w:ind w:left="1440"/>
        <w:contextualSpacing/>
        <w:rPr>
          <w:rFonts w:eastAsia="Calibri" w:cs="Times New Roman"/>
        </w:rPr>
      </w:pPr>
    </w:p>
    <w:p w14:paraId="2E2EBBC4" w14:textId="77777777" w:rsidR="000000D1" w:rsidRPr="000000D1" w:rsidRDefault="000000D1" w:rsidP="000000D1">
      <w:pPr>
        <w:ind w:left="1440"/>
        <w:contextualSpacing/>
        <w:rPr>
          <w:rFonts w:eastAsia="Calibri" w:cs="Times New Roman"/>
        </w:rPr>
      </w:pPr>
      <w:r w:rsidRPr="000000D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 . . .</w:t>
      </w:r>
    </w:p>
    <w:p w14:paraId="51E61A08" w14:textId="77777777" w:rsidR="000000D1" w:rsidRPr="000000D1" w:rsidRDefault="000000D1" w:rsidP="000000D1">
      <w:pPr>
        <w:ind w:left="1440"/>
        <w:contextualSpacing/>
        <w:rPr>
          <w:rFonts w:eastAsia="Calibri" w:cs="Times New Roman"/>
        </w:rPr>
      </w:pPr>
    </w:p>
    <w:p w14:paraId="038177DB" w14:textId="77777777" w:rsidR="000000D1" w:rsidRPr="000000D1" w:rsidRDefault="000000D1" w:rsidP="000000D1">
      <w:pPr>
        <w:ind w:left="1440"/>
        <w:contextualSpacing/>
        <w:rPr>
          <w:rFonts w:eastAsia="Calibri" w:cs="Times New Roman"/>
        </w:rPr>
      </w:pPr>
      <w:r w:rsidRPr="000000D1">
        <w:rPr>
          <w:rFonts w:eastAsia="Calibri" w:cs="Times New Roman"/>
        </w:rPr>
        <w:t xml:space="preserve">(f)(1)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18DFC2F6" w14:textId="77777777" w:rsidR="000000D1" w:rsidRPr="000000D1" w:rsidRDefault="000000D1" w:rsidP="000000D1">
      <w:pPr>
        <w:ind w:left="1440"/>
        <w:contextualSpacing/>
        <w:rPr>
          <w:rFonts w:eastAsia="Calibri" w:cs="Times New Roman"/>
        </w:rPr>
      </w:pPr>
    </w:p>
    <w:p w14:paraId="5B4705E5" w14:textId="77777777" w:rsidR="000000D1" w:rsidRPr="000000D1" w:rsidRDefault="000000D1" w:rsidP="000000D1">
      <w:pPr>
        <w:ind w:left="1440"/>
        <w:contextualSpacing/>
        <w:rPr>
          <w:rFonts w:eastAsia="Calibri" w:cs="Times New Roman"/>
        </w:rPr>
      </w:pPr>
      <w:r w:rsidRPr="000000D1">
        <w:rPr>
          <w:rFonts w:eastAsia="Calibri" w:cs="Times New Roman"/>
        </w:rPr>
        <w:t>(f)(2)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does not include its distributive share of the partnership receipts from sales to the corporation in its BAF.</w:t>
      </w:r>
    </w:p>
    <w:p w14:paraId="4EBA1AAD" w14:textId="77777777" w:rsidR="000000D1" w:rsidRPr="000000D1" w:rsidRDefault="000000D1" w:rsidP="000000D1">
      <w:pPr>
        <w:ind w:left="1440"/>
        <w:contextualSpacing/>
        <w:rPr>
          <w:rFonts w:eastAsia="Calibri" w:cs="Times New Roman"/>
        </w:rPr>
      </w:pPr>
    </w:p>
    <w:p w14:paraId="549E3BAF" w14:textId="77777777" w:rsidR="000000D1" w:rsidRPr="000000D1" w:rsidRDefault="000000D1" w:rsidP="000000D1">
      <w:pPr>
        <w:ind w:left="1440"/>
        <w:contextualSpacing/>
        <w:rPr>
          <w:rFonts w:eastAsia="Calibri" w:cs="Times New Roman"/>
        </w:rPr>
      </w:pPr>
      <w:r w:rsidRPr="000000D1">
        <w:rPr>
          <w:rFonts w:eastAsia="Calibri" w:cs="Times New Roman"/>
        </w:rPr>
        <w:t>(f)(4) In instances where an apportionment rule requires the use of a fraction to compute New York receipts, the corporation must use the sum of its own amounts for the taxable year and its distributive share or proportionate part, as the case may be, of partnership amounts during the applicable partnership year when computing such fractions</w:t>
      </w:r>
    </w:p>
    <w:p w14:paraId="5564846F" w14:textId="77777777" w:rsidR="000000D1" w:rsidRPr="000000D1" w:rsidRDefault="000000D1" w:rsidP="000000D1">
      <w:pPr>
        <w:contextualSpacing/>
        <w:rPr>
          <w:rFonts w:eastAsia="Calibri" w:cs="Times New Roman"/>
        </w:rPr>
      </w:pPr>
    </w:p>
    <w:p w14:paraId="0C398AB1"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9-2.2(c) </w:t>
      </w:r>
    </w:p>
    <w:p w14:paraId="168A5F27" w14:textId="77777777" w:rsidR="000000D1" w:rsidRPr="000000D1" w:rsidRDefault="000000D1" w:rsidP="000000D1">
      <w:pPr>
        <w:ind w:left="720"/>
        <w:contextualSpacing/>
        <w:rPr>
          <w:rFonts w:eastAsia="Calibri" w:cs="Times New Roman"/>
        </w:rPr>
      </w:pPr>
    </w:p>
    <w:p w14:paraId="55710D25" w14:textId="77777777" w:rsidR="000000D1" w:rsidRPr="000000D1" w:rsidRDefault="000000D1" w:rsidP="000000D1">
      <w:pPr>
        <w:ind w:left="1440"/>
        <w:rPr>
          <w:rFonts w:eastAsia="Calibri" w:cs="Times New Roman"/>
        </w:rPr>
      </w:pPr>
      <w:r w:rsidRPr="000000D1">
        <w:rPr>
          <w:rFonts w:eastAsia="Calibri" w:cs="Times New Roman"/>
        </w:rPr>
        <w:t xml:space="preserve">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w:t>
      </w:r>
      <w:r w:rsidRPr="000000D1">
        <w:rPr>
          <w:rFonts w:eastAsia="Calibri" w:cs="Times New Roman"/>
        </w:rPr>
        <w:lastRenderedPageBreak/>
        <w:t>and does not have access to the necessary information with respect to a lower tier partnership the provisions of paragraph (1) of subdivision (b) of this section will apply.</w:t>
      </w:r>
    </w:p>
    <w:p w14:paraId="6D12243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9-2.4(e) Computation of tax under the entity method. </w:t>
      </w:r>
    </w:p>
    <w:p w14:paraId="6C03979C" w14:textId="77777777" w:rsidR="000000D1" w:rsidRPr="000000D1" w:rsidRDefault="000000D1" w:rsidP="000000D1">
      <w:pPr>
        <w:ind w:left="720"/>
        <w:contextualSpacing/>
        <w:rPr>
          <w:rFonts w:eastAsia="Calibri" w:cs="Times New Roman"/>
          <w:i/>
          <w:iCs/>
        </w:rPr>
      </w:pPr>
    </w:p>
    <w:p w14:paraId="60DC28D7"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7917B2F8" w14:textId="77777777" w:rsidR="000000D1" w:rsidRPr="000000D1" w:rsidRDefault="000000D1" w:rsidP="000000D1">
      <w:pPr>
        <w:ind w:left="720"/>
        <w:contextualSpacing/>
        <w:rPr>
          <w:rFonts w:eastAsia="Calibri" w:cs="Times New Roman"/>
        </w:rPr>
      </w:pPr>
    </w:p>
    <w:p w14:paraId="1D39BF65" w14:textId="77777777" w:rsidR="000000D1" w:rsidRPr="000000D1" w:rsidRDefault="000000D1" w:rsidP="000000D1">
      <w:pPr>
        <w:ind w:left="720"/>
        <w:contextualSpacing/>
        <w:rPr>
          <w:rFonts w:eastAsia="Calibri" w:cs="Times New Roman"/>
        </w:rPr>
      </w:pPr>
      <w:r w:rsidRPr="000000D1">
        <w:rPr>
          <w:rFonts w:eastAsia="Calibri" w:cs="Times New Roman"/>
        </w:rPr>
        <w:t xml:space="preserve">Recent New York Regulations providing more detail on aggregate and entity methods </w:t>
      </w:r>
    </w:p>
    <w:p w14:paraId="4B703D5D"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hyperlink r:id="rId33" w:history="1">
        <w:r w:rsidRPr="000000D1">
          <w:rPr>
            <w:rFonts w:eastAsia="Calibri" w:cs="Times New Roman"/>
            <w:color w:val="C00000"/>
            <w:u w:val="single"/>
          </w:rPr>
          <w:t>https://www.tax.ny.gov/pdf/rulemaking/dec1123/corpreform/text.pdf</w:t>
        </w:r>
      </w:hyperlink>
    </w:p>
    <w:p w14:paraId="2BEEF10D" w14:textId="77777777" w:rsidR="000000D1" w:rsidRPr="000000D1" w:rsidRDefault="000000D1" w:rsidP="000000D1">
      <w:pPr>
        <w:ind w:left="720"/>
        <w:contextualSpacing/>
        <w:rPr>
          <w:rFonts w:eastAsia="Calibri" w:cs="Times New Roman"/>
        </w:rPr>
      </w:pPr>
    </w:p>
    <w:p w14:paraId="08A25884"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New York </w:t>
      </w:r>
      <w:r w:rsidRPr="000000D1">
        <w:t xml:space="preserve">Instructions for Form IT-204 (2024) </w:t>
      </w:r>
    </w:p>
    <w:p w14:paraId="572A7CCB" w14:textId="77777777" w:rsidR="000000D1" w:rsidRPr="000000D1" w:rsidRDefault="000000D1" w:rsidP="000000D1">
      <w:pPr>
        <w:contextualSpacing/>
        <w:rPr>
          <w:rFonts w:eastAsia="Calibri" w:cs="Times New Roman"/>
        </w:rPr>
      </w:pPr>
    </w:p>
    <w:p w14:paraId="14026478" w14:textId="77777777" w:rsidR="000000D1" w:rsidRPr="000000D1" w:rsidRDefault="000000D1" w:rsidP="000000D1">
      <w:pPr>
        <w:ind w:left="1440"/>
        <w:rPr>
          <w:rFonts w:eastAsia="Calibri" w:cs="Times New Roman"/>
        </w:rPr>
      </w:pPr>
      <w:r w:rsidRPr="000000D1">
        <w:rPr>
          <w:rFonts w:eastAsia="Calibri" w:cs="Times New Roman"/>
        </w:rPr>
        <w:t xml:space="preserve">Tiered partnerships (Regulation section 137.6) </w:t>
      </w:r>
    </w:p>
    <w:p w14:paraId="3AD51893" w14:textId="77777777" w:rsidR="000000D1" w:rsidRPr="000000D1" w:rsidRDefault="000000D1" w:rsidP="000000D1">
      <w:pPr>
        <w:ind w:left="1440"/>
        <w:rPr>
          <w:rFonts w:eastAsia="Calibri" w:cs="Times New Roman"/>
        </w:rPr>
      </w:pPr>
      <w:r w:rsidRPr="000000D1">
        <w:rPr>
          <w:rFonts w:eastAsia="Calibri" w:cs="Times New Roman"/>
        </w:rPr>
        <w:t xml:space="preserve">If your partnership is a partner in another partnership (a lower-tier partnership), the source and character of the distributive share of each item of your partnership to any partner of your partnership that is attributable to the lower-tier partnership retains the source and character determined at the level of the lower-tier partnership. Any such item that flows through your partnership to such partner does not change the source and character of that item. </w:t>
      </w:r>
    </w:p>
    <w:p w14:paraId="1C1C9619" w14:textId="77777777" w:rsidR="000000D1" w:rsidRPr="000000D1" w:rsidRDefault="000000D1" w:rsidP="000000D1">
      <w:pPr>
        <w:ind w:left="1440"/>
        <w:rPr>
          <w:rFonts w:eastAsia="Calibri" w:cs="Times New Roman"/>
        </w:rPr>
      </w:pPr>
      <w:r w:rsidRPr="000000D1">
        <w:rPr>
          <w:rFonts w:eastAsia="Calibri" w:cs="Times New Roman"/>
        </w:rPr>
        <w:t xml:space="preserve">Example: Partnership A was a partner in another partnership, B. A is referred to as the upper tier partnership while B is referred to as the lower-tier partnership. P was a nonresident individual partner of A. </w:t>
      </w:r>
    </w:p>
    <w:p w14:paraId="0FB6F6A1" w14:textId="77777777" w:rsidR="000000D1" w:rsidRPr="000000D1" w:rsidRDefault="000000D1" w:rsidP="000000D1">
      <w:pPr>
        <w:ind w:left="1440"/>
        <w:rPr>
          <w:rFonts w:eastAsia="Calibri" w:cs="Times New Roman"/>
        </w:rPr>
      </w:pPr>
      <w:r w:rsidRPr="000000D1">
        <w:rPr>
          <w:rFonts w:eastAsia="Calibri" w:cs="Times New Roman"/>
        </w:rPr>
        <w:t>Partnership A was not engaged in a trade or business in New York, but partnership B was. Even though partnership A was not carrying on business in New York, it had New York source income from the distributive shares it 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would allocate its share of B’s income (which flows to A) at B’s business allocation percentage. This allocation method should be reflected on Forms IT-204 and IT-204-IP.</w:t>
      </w:r>
    </w:p>
    <w:p w14:paraId="79204524" w14:textId="77777777" w:rsidR="000000D1" w:rsidRPr="000000D1" w:rsidRDefault="000000D1" w:rsidP="000000D1">
      <w:pPr>
        <w:ind w:left="720"/>
        <w:contextualSpacing/>
        <w:rPr>
          <w:rFonts w:eastAsia="Calibri" w:cs="Times New Roman"/>
        </w:rPr>
      </w:pPr>
      <w:r w:rsidRPr="000000D1">
        <w:rPr>
          <w:rFonts w:eastAsia="Calibri" w:cs="Times New Roman"/>
        </w:rPr>
        <w:t>N.Y. Tax Law § 617(c)</w:t>
      </w:r>
    </w:p>
    <w:p w14:paraId="6609814B"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15B206F8" w14:textId="77777777" w:rsidR="000000D1" w:rsidRPr="000000D1" w:rsidRDefault="000000D1" w:rsidP="000000D1">
      <w:pPr>
        <w:ind w:left="1440"/>
        <w:contextualSpacing/>
        <w:rPr>
          <w:rFonts w:eastAsia="Calibri" w:cs="Times New Roman"/>
        </w:rPr>
      </w:pPr>
      <w:r w:rsidRPr="000000D1">
        <w:rPr>
          <w:rFonts w:eastAsia="Calibri" w:cs="Times New Roman"/>
        </w:rPr>
        <w:t>(c)</w:t>
      </w:r>
      <w:r w:rsidRPr="000000D1">
        <w:rPr>
          <w:rFonts w:eastAsia="Calibri" w:cs="Times New Roman"/>
        </w:rPr>
        <w:t> </w:t>
      </w:r>
      <w:r w:rsidRPr="000000D1">
        <w:rPr>
          <w:rFonts w:eastAsia="Calibri" w:cs="Times New Roman"/>
        </w:rPr>
        <w:t xml:space="preserve">New York tax avoidance or evasion. </w:t>
      </w:r>
      <w:r w:rsidRPr="000000D1">
        <w:rPr>
          <w:rFonts w:eastAsia="Calibri" w:cs="Times New Roman"/>
        </w:rPr>
        <w:t> </w:t>
      </w:r>
      <w:r w:rsidRPr="000000D1">
        <w:rPr>
          <w:rFonts w:eastAsia="Calibri" w:cs="Times New Roman"/>
        </w:rPr>
        <w:t>Where a partner's distributive share of an item of partnership income, gain, loss or deduction is determined for federal income tax purposes by special provision in the partnership agreement with respect to such item, and where the principal purpose of such provision is the avoidance or evasion of tax under this article, the partner's distributive share of such item, and any modification required with respect thereto, shall be determined as if the partnership agreement made no special provision with respect to such item.</w:t>
      </w:r>
    </w:p>
    <w:p w14:paraId="69C22112" w14:textId="77777777" w:rsidR="000000D1" w:rsidRPr="000000D1" w:rsidRDefault="000000D1" w:rsidP="000000D1">
      <w:pPr>
        <w:ind w:left="720"/>
        <w:contextualSpacing/>
        <w:rPr>
          <w:rFonts w:eastAsia="Calibri" w:cs="Times New Roman"/>
        </w:rPr>
      </w:pPr>
    </w:p>
    <w:p w14:paraId="577BAC98" w14:textId="77777777" w:rsidR="000000D1" w:rsidRPr="000000D1" w:rsidRDefault="000000D1" w:rsidP="000000D1">
      <w:pPr>
        <w:ind w:left="720"/>
        <w:contextualSpacing/>
        <w:rPr>
          <w:rFonts w:eastAsia="Calibri" w:cs="Times New Roman"/>
          <w:i/>
          <w:iCs/>
        </w:rPr>
      </w:pPr>
      <w:r w:rsidRPr="000000D1">
        <w:rPr>
          <w:rFonts w:eastAsia="Calibri" w:cs="Times New Roman"/>
        </w:rPr>
        <w:t>N.Y. Comp. Codes R. &amp; Regs. Tit. 20 § 117.5</w:t>
      </w:r>
    </w:p>
    <w:p w14:paraId="3E992321" w14:textId="77777777" w:rsidR="000000D1" w:rsidRPr="000000D1" w:rsidRDefault="000000D1" w:rsidP="000000D1">
      <w:pPr>
        <w:contextualSpacing/>
        <w:rPr>
          <w:rFonts w:eastAsia="Calibri" w:cs="Times New Roman"/>
        </w:rPr>
      </w:pPr>
    </w:p>
    <w:p w14:paraId="13E56FA6" w14:textId="77777777" w:rsidR="000000D1" w:rsidRPr="000000D1" w:rsidRDefault="000000D1" w:rsidP="000000D1">
      <w:pPr>
        <w:ind w:left="1440"/>
        <w:rPr>
          <w:rFonts w:eastAsia="Calibri" w:cs="Times New Roman"/>
        </w:rPr>
      </w:pPr>
      <w:r w:rsidRPr="000000D1">
        <w:rPr>
          <w:rFonts w:eastAsia="Calibri" w:cs="Times New Roman"/>
        </w:rPr>
        <w:t xml:space="preserve">(a) If a partnership agreement provides for an allocation of any item of partnership income, gain, loss or deduction to a partner but the allocation does not have substantial economic effect in accordance with section 704(b) of the Internal Revenue Code, the allocation shall be disregarded for Federal income tax purposes. In such a case, a </w:t>
      </w:r>
      <w:r w:rsidRPr="000000D1">
        <w:rPr>
          <w:rFonts w:eastAsia="Calibri" w:cs="Times New Roman"/>
        </w:rPr>
        <w:lastRenderedPageBreak/>
        <w:t>partner's distributive share of such item is determined in accordance with the partner's interest in the partnership (determined by taking into account all facts and circumstances). This treatment and distribution of the item is reflected in each partner's Federal adjusted gross income and therefore in each partner's New York adjusted gross income, even if no New York State personal income tax avoidance or evasion may be involved.</w:t>
      </w:r>
    </w:p>
    <w:p w14:paraId="63F8F1CB" w14:textId="77777777" w:rsidR="000000D1" w:rsidRPr="000000D1" w:rsidRDefault="000000D1" w:rsidP="000000D1">
      <w:pPr>
        <w:ind w:left="1440"/>
        <w:rPr>
          <w:rFonts w:eastAsia="Calibri" w:cs="Times New Roman"/>
        </w:rPr>
      </w:pPr>
      <w:r w:rsidRPr="000000D1">
        <w:rPr>
          <w:rFonts w:eastAsia="Calibri" w:cs="Times New Roman"/>
        </w:rPr>
        <w:t>(b) An allocation of an item, amount or activity, even if recognized for Federal income tax purposes, will not be recognized where it has as a principal purpose the avoidance or evasion of New York State personal income tax. Where an allocation is not recognized, the partner's distributive share shall be determined in accordance with the partner's interest in the partnership (determined by taking into account all facts and circumstances).</w:t>
      </w:r>
    </w:p>
    <w:p w14:paraId="6060E551" w14:textId="77777777" w:rsidR="000000D1" w:rsidRPr="000000D1" w:rsidRDefault="000000D1" w:rsidP="000000D1">
      <w:pPr>
        <w:ind w:left="1440"/>
        <w:rPr>
          <w:rFonts w:eastAsia="Calibri" w:cs="Times New Roman"/>
        </w:rPr>
      </w:pPr>
      <w:r w:rsidRPr="000000D1">
        <w:rPr>
          <w:rFonts w:eastAsia="Calibri" w:cs="Times New Roman"/>
        </w:rPr>
        <w:t>(c) The determination of whether a principal purpose of an allocation of an item, amount or activity is the avoidance or evasion of New York State personal income tax depends on all the surrounding facts and circumstances. Among the relevant circumstances to be considered are the following:</w:t>
      </w:r>
    </w:p>
    <w:p w14:paraId="004A35D6" w14:textId="77777777" w:rsidR="000000D1" w:rsidRPr="000000D1" w:rsidRDefault="000000D1" w:rsidP="000000D1">
      <w:pPr>
        <w:ind w:left="1440"/>
        <w:rPr>
          <w:rFonts w:eastAsia="Calibri" w:cs="Times New Roman"/>
        </w:rPr>
      </w:pPr>
      <w:r w:rsidRPr="000000D1">
        <w:rPr>
          <w:rFonts w:eastAsia="Calibri" w:cs="Times New Roman"/>
        </w:rPr>
        <w:t>(1) whether the partnership or a partner individually has a business purpose for the allocation;</w:t>
      </w:r>
    </w:p>
    <w:p w14:paraId="3A000B50" w14:textId="77777777" w:rsidR="000000D1" w:rsidRPr="000000D1" w:rsidRDefault="000000D1" w:rsidP="000000D1">
      <w:pPr>
        <w:ind w:left="1440"/>
        <w:rPr>
          <w:rFonts w:eastAsia="Calibri" w:cs="Times New Roman"/>
        </w:rPr>
      </w:pPr>
      <w:r w:rsidRPr="000000D1">
        <w:rPr>
          <w:rFonts w:eastAsia="Calibri" w:cs="Times New Roman"/>
        </w:rPr>
        <w:t>(2) whether the allocation has substantial economic effect, that is, whether the allocation may actually affect the dollar amount of the partners' shares of the total partnership income or loss independently of the New York State personal income tax consequences;</w:t>
      </w:r>
    </w:p>
    <w:p w14:paraId="2EBEDB39" w14:textId="77777777" w:rsidR="000000D1" w:rsidRPr="000000D1" w:rsidRDefault="000000D1" w:rsidP="000000D1">
      <w:pPr>
        <w:ind w:left="1440"/>
        <w:rPr>
          <w:rFonts w:eastAsia="Calibri" w:cs="Times New Roman"/>
        </w:rPr>
      </w:pPr>
      <w:r w:rsidRPr="000000D1">
        <w:rPr>
          <w:rFonts w:eastAsia="Calibri" w:cs="Times New Roman"/>
        </w:rPr>
        <w:t>(3) whether the related items of partnership income, gain, loss or deduction from the same source are subject to the same allocation;</w:t>
      </w:r>
    </w:p>
    <w:p w14:paraId="6AECF5CB" w14:textId="77777777" w:rsidR="000000D1" w:rsidRPr="000000D1" w:rsidRDefault="000000D1" w:rsidP="000000D1">
      <w:pPr>
        <w:ind w:left="1440"/>
        <w:rPr>
          <w:rFonts w:eastAsia="Calibri" w:cs="Times New Roman"/>
        </w:rPr>
      </w:pPr>
      <w:r w:rsidRPr="000000D1">
        <w:rPr>
          <w:rFonts w:eastAsia="Calibri" w:cs="Times New Roman"/>
        </w:rPr>
        <w:t>(4) whether the allocation was made without recognition of normal business factors and only after the amount of the allocated item could reasonably be estimated;</w:t>
      </w:r>
    </w:p>
    <w:p w14:paraId="1F9E4FA7" w14:textId="77777777" w:rsidR="000000D1" w:rsidRPr="000000D1" w:rsidRDefault="000000D1" w:rsidP="000000D1">
      <w:pPr>
        <w:ind w:left="1440"/>
        <w:rPr>
          <w:rFonts w:eastAsia="Calibri" w:cs="Times New Roman"/>
        </w:rPr>
      </w:pPr>
      <w:r w:rsidRPr="000000D1">
        <w:rPr>
          <w:rFonts w:eastAsia="Calibri" w:cs="Times New Roman"/>
        </w:rPr>
        <w:t>(5) the duration of the allocation; and</w:t>
      </w:r>
    </w:p>
    <w:p w14:paraId="17628A85" w14:textId="77777777" w:rsidR="000000D1" w:rsidRPr="000000D1" w:rsidRDefault="000000D1" w:rsidP="000000D1">
      <w:pPr>
        <w:ind w:left="1440"/>
        <w:rPr>
          <w:rFonts w:eastAsia="Calibri" w:cs="Times New Roman"/>
        </w:rPr>
      </w:pPr>
      <w:r w:rsidRPr="000000D1">
        <w:rPr>
          <w:rFonts w:eastAsia="Calibri" w:cs="Times New Roman"/>
        </w:rPr>
        <w:t>(6) the overall New York State personal income tax consequences of the allocation.</w:t>
      </w:r>
    </w:p>
    <w:p w14:paraId="3A68C36B" w14:textId="77777777" w:rsidR="000000D1" w:rsidRPr="000000D1" w:rsidRDefault="000000D1" w:rsidP="000000D1">
      <w:pPr>
        <w:ind w:left="720"/>
        <w:contextualSpacing/>
        <w:rPr>
          <w:rFonts w:eastAsia="Calibri" w:cs="Times New Roman"/>
          <w:i/>
          <w:iCs/>
        </w:rPr>
      </w:pPr>
      <w:r w:rsidRPr="000000D1">
        <w:rPr>
          <w:rFonts w:eastAsia="Calibri" w:cs="Times New Roman"/>
        </w:rPr>
        <w:t>N.Y. Comp. Codes R. &amp; Regs. Tit. 20 § 137.5</w:t>
      </w:r>
    </w:p>
    <w:p w14:paraId="601DB510" w14:textId="77777777" w:rsidR="000000D1" w:rsidRPr="000000D1" w:rsidRDefault="000000D1" w:rsidP="000000D1">
      <w:pPr>
        <w:ind w:left="1440"/>
        <w:contextualSpacing/>
        <w:rPr>
          <w:rFonts w:eastAsia="Calibri" w:cs="Times New Roman"/>
        </w:rPr>
      </w:pPr>
    </w:p>
    <w:p w14:paraId="6EB814CE" w14:textId="77777777" w:rsidR="000000D1" w:rsidRPr="000000D1" w:rsidRDefault="000000D1" w:rsidP="000000D1">
      <w:pPr>
        <w:ind w:left="1440"/>
        <w:rPr>
          <w:rFonts w:eastAsia="Calibri" w:cs="Times New Roman"/>
        </w:rPr>
      </w:pPr>
      <w:r w:rsidRPr="000000D1">
        <w:rPr>
          <w:rFonts w:eastAsia="Calibri" w:cs="Times New Roman"/>
        </w:rPr>
        <w:t>(c) Where a special provision in a partnership agreement (other than the provision referred to in section 137.2 of this Part) has as its principal purpose the avoidance or evasion of New York State personal income tax, each partner's distributive share must be determined in accordance with the provisions of section 117.5 of this Title.</w:t>
      </w:r>
    </w:p>
    <w:p w14:paraId="2703158E" w14:textId="77777777" w:rsidR="000000D1" w:rsidRPr="000000D1" w:rsidRDefault="000000D1" w:rsidP="000000D1">
      <w:pPr>
        <w:ind w:left="720"/>
        <w:contextualSpacing/>
        <w:rPr>
          <w:rFonts w:eastAsia="Calibri" w:cs="Times New Roman"/>
        </w:rPr>
      </w:pPr>
      <w:r w:rsidRPr="000000D1">
        <w:rPr>
          <w:rFonts w:eastAsia="Calibri" w:cs="Times New Roman"/>
        </w:rPr>
        <w:t>New York TSB-A-09(7)C (May 13. 2009)</w:t>
      </w:r>
    </w:p>
    <w:p w14:paraId="3C5E9FA9"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151FDD48" w14:textId="77777777" w:rsidR="000000D1" w:rsidRPr="000000D1" w:rsidRDefault="000000D1" w:rsidP="000000D1">
      <w:pPr>
        <w:ind w:left="1440"/>
        <w:contextualSpacing/>
        <w:rPr>
          <w:rFonts w:eastAsia="Calibri" w:cs="Times New Roman"/>
        </w:rPr>
      </w:pPr>
      <w:r w:rsidRPr="000000D1">
        <w:rPr>
          <w:rFonts w:eastAsia="Calibri" w:cs="Times New Roman"/>
        </w:rPr>
        <w:t>If Petitioner's special allocation of 99.99% of the depreciation deductions to Investor has substantial economic effect and is valid for federal and state tax purposes, then the same allocation of the tangible property component of the Brownfield Redevelopment Tax Credit to Investor is a valid allocation.</w:t>
      </w:r>
    </w:p>
    <w:p w14:paraId="0278C031" w14:textId="77777777" w:rsidR="000000D1" w:rsidRPr="000000D1" w:rsidRDefault="000000D1" w:rsidP="000000D1">
      <w:pPr>
        <w:pBdr>
          <w:bottom w:val="single" w:sz="4" w:space="0" w:color="auto"/>
        </w:pBdr>
        <w:rPr>
          <w:rFonts w:eastAsia="Calibri" w:cs="Times New Roman"/>
        </w:rPr>
      </w:pPr>
    </w:p>
    <w:p w14:paraId="6D71D1A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9" w:name="_Toc195435303"/>
      <w:r w:rsidRPr="000000D1">
        <w:rPr>
          <w:rFonts w:ascii="Californian FB" w:eastAsia="Times New Roman" w:hAnsi="Californian FB" w:cs="Times New Roman"/>
          <w:b/>
          <w:color w:val="851C00"/>
          <w:sz w:val="24"/>
          <w:szCs w:val="24"/>
          <w:u w:val="single"/>
        </w:rPr>
        <w:t>North Carolina</w:t>
      </w:r>
      <w:bookmarkEnd w:id="129"/>
    </w:p>
    <w:p w14:paraId="4284897A" w14:textId="77777777" w:rsidR="000000D1" w:rsidRPr="000000D1" w:rsidRDefault="000000D1" w:rsidP="000000D1">
      <w:pPr>
        <w:ind w:left="720"/>
        <w:contextualSpacing/>
        <w:rPr>
          <w:rFonts w:eastAsia="Calibri" w:cs="Times New Roman"/>
        </w:rPr>
      </w:pPr>
      <w:r w:rsidRPr="000000D1">
        <w:rPr>
          <w:rFonts w:eastAsia="Calibri" w:cs="Times New Roman"/>
        </w:rPr>
        <w:t xml:space="preserve">N.C. Gen. Stat. § 105-153.4(d) </w:t>
      </w:r>
    </w:p>
    <w:p w14:paraId="719AD254" w14:textId="77777777" w:rsidR="000000D1" w:rsidRPr="000000D1" w:rsidRDefault="000000D1" w:rsidP="000000D1">
      <w:pPr>
        <w:contextualSpacing/>
        <w:rPr>
          <w:rFonts w:eastAsia="Calibri" w:cs="Times New Roman"/>
        </w:rPr>
      </w:pPr>
    </w:p>
    <w:p w14:paraId="5B83C585" w14:textId="77777777" w:rsidR="000000D1" w:rsidRPr="000000D1" w:rsidRDefault="000000D1" w:rsidP="000000D1">
      <w:pPr>
        <w:ind w:left="1440"/>
        <w:rPr>
          <w:rFonts w:eastAsia="Calibri" w:cs="Times New Roman"/>
        </w:rPr>
      </w:pPr>
      <w:r w:rsidRPr="000000D1">
        <w:rPr>
          <w:rFonts w:eastAsia="Calibri" w:cs="Times New Roman"/>
        </w:rPr>
        <w:t xml:space="preserve">In order to calculate the numerator of the fraction provided in subsection (b) of this section for a partner in a partnership or a member of another unincorporated business </w:t>
      </w:r>
      <w:r w:rsidRPr="000000D1">
        <w:rPr>
          <w:rFonts w:eastAsia="Calibri" w:cs="Times New Roman"/>
        </w:rPr>
        <w:lastRenderedPageBreak/>
        <w:t>that has one or more nonresident partners or members and operates in one or more other states, the amount of the partner's or member's distributive share of the total net income of the business, as modified in </w:t>
      </w:r>
      <w:bookmarkStart w:id="130" w:name="SLCODN:1316.24-1"/>
      <w:r w:rsidRPr="000000D1">
        <w:rPr>
          <w:rFonts w:eastAsia="Calibri" w:cs="Times New Roman"/>
        </w:rPr>
        <w:fldChar w:fldCharType="begin"/>
      </w:r>
      <w:r w:rsidRPr="000000D1">
        <w:rPr>
          <w:rFonts w:eastAsia="Calibri" w:cs="Times New Roman"/>
        </w:rPr>
        <w:instrText>HYPERLINK "https://checkpoint.riag.com/app/main/docLinkNew?usid=4fa289r15ac72&amp;DocID=iSLCODN%3A1317.1&amp;SrcDocId=T0SLCODN%3A1316.1-1&amp;feature=ttools&amp;lastCpReqId=42454f&amp;tabPg=4000"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105-153.5</w:t>
      </w:r>
      <w:r w:rsidRPr="000000D1">
        <w:rPr>
          <w:rFonts w:eastAsia="Calibri" w:cs="Times New Roman"/>
        </w:rPr>
        <w:fldChar w:fldCharType="end"/>
      </w:r>
      <w:bookmarkEnd w:id="130"/>
      <w:r w:rsidRPr="000000D1">
        <w:rPr>
          <w:rFonts w:eastAsia="Calibri" w:cs="Times New Roman"/>
        </w:rPr>
        <w:t> and </w:t>
      </w:r>
      <w:bookmarkStart w:id="131" w:name="SLCODN:1316.25-1"/>
      <w:r w:rsidRPr="000000D1">
        <w:rPr>
          <w:rFonts w:eastAsia="Calibri" w:cs="Times New Roman"/>
        </w:rPr>
        <w:fldChar w:fldCharType="begin"/>
      </w:r>
      <w:r w:rsidRPr="000000D1">
        <w:rPr>
          <w:rFonts w:eastAsia="Calibri" w:cs="Times New Roman"/>
        </w:rPr>
        <w:instrText>HYPERLINK "https://checkpoint.riag.com/app/main/docLinkNew?usid=4fa289r15ac72&amp;DocID=iSLCODN%3A1318.1&amp;SrcDocId=T0SLCODN%3A1316.1-1&amp;feature=ttools&amp;lastCpReqId=42454f&amp;tabPg=4000"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105-153.6</w:t>
      </w:r>
      <w:r w:rsidRPr="000000D1">
        <w:rPr>
          <w:rFonts w:eastAsia="Calibri" w:cs="Times New Roman"/>
        </w:rPr>
        <w:fldChar w:fldCharType="end"/>
      </w:r>
      <w:bookmarkEnd w:id="131"/>
      <w:r w:rsidRPr="000000D1">
        <w:rPr>
          <w:rFonts w:eastAsia="Calibri" w:cs="Times New Roman"/>
        </w:rPr>
        <w:t>, plus any guaranteed payments made to a partner from the partnership that is includable in the numerator is determined in accordance with the provisions of </w:t>
      </w:r>
      <w:bookmarkStart w:id="132" w:name="SLCODN:1316.16-1"/>
      <w:r w:rsidRPr="000000D1">
        <w:rPr>
          <w:rFonts w:eastAsia="Calibri" w:cs="Times New Roman"/>
        </w:rPr>
        <w:fldChar w:fldCharType="begin"/>
      </w:r>
      <w:r w:rsidRPr="000000D1">
        <w:rPr>
          <w:rFonts w:eastAsia="Calibri" w:cs="Times New Roman"/>
        </w:rPr>
        <w:instrText>HYPERLINK "https://checkpoint.riag.com/app/main/docLinkNew?usid=4fa289r15ac72&amp;DocID=iSLCODN%3A1203.1&amp;SrcDocId=T0SLCODN%3A1316.1-1&amp;feature=ttools&amp;lastCpReqId=42454f&amp;tabPg=4000"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105-130.4</w:t>
      </w:r>
      <w:r w:rsidRPr="000000D1">
        <w:rPr>
          <w:rFonts w:eastAsia="Calibri" w:cs="Times New Roman"/>
        </w:rPr>
        <w:fldChar w:fldCharType="end"/>
      </w:r>
      <w:bookmarkEnd w:id="132"/>
      <w:r w:rsidRPr="000000D1">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693D5375" w14:textId="77777777" w:rsidR="000000D1" w:rsidRPr="000000D1" w:rsidRDefault="000000D1" w:rsidP="000000D1">
      <w:pPr>
        <w:ind w:left="720"/>
        <w:contextualSpacing/>
        <w:rPr>
          <w:rFonts w:eastAsia="Calibri" w:cs="Times New Roman"/>
        </w:rPr>
      </w:pPr>
      <w:r w:rsidRPr="000000D1">
        <w:rPr>
          <w:rFonts w:eastAsia="Calibri" w:cs="Times New Roman"/>
        </w:rPr>
        <w:t xml:space="preserve">17 N.C. Admin. Code 5C.1701 </w:t>
      </w:r>
    </w:p>
    <w:p w14:paraId="70B7AF07" w14:textId="77777777" w:rsidR="000000D1" w:rsidRPr="000000D1" w:rsidRDefault="000000D1" w:rsidP="000000D1">
      <w:pPr>
        <w:contextualSpacing/>
        <w:rPr>
          <w:rFonts w:eastAsia="Calibri" w:cs="Times New Roman"/>
        </w:rPr>
      </w:pPr>
    </w:p>
    <w:p w14:paraId="51C2A597" w14:textId="77777777" w:rsidR="000000D1" w:rsidRPr="000000D1" w:rsidRDefault="000000D1" w:rsidP="000000D1">
      <w:pPr>
        <w:ind w:left="1440"/>
        <w:rPr>
          <w:rFonts w:eastAsia="Calibri" w:cs="Times New Roman"/>
        </w:rPr>
      </w:pPr>
      <w:r w:rsidRPr="000000D1">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33576A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17 N.C. Admin. Code 05C .1702 </w:t>
      </w:r>
    </w:p>
    <w:p w14:paraId="3B8C202F" w14:textId="77777777" w:rsidR="000000D1" w:rsidRPr="000000D1" w:rsidRDefault="000000D1" w:rsidP="000000D1">
      <w:pPr>
        <w:contextualSpacing/>
        <w:rPr>
          <w:rFonts w:eastAsia="Calibri" w:cs="Times New Roman"/>
        </w:rPr>
      </w:pPr>
    </w:p>
    <w:p w14:paraId="09BB6C0A" w14:textId="77777777" w:rsidR="000000D1" w:rsidRPr="000000D1" w:rsidRDefault="000000D1" w:rsidP="000000D1">
      <w:pPr>
        <w:ind w:left="1440"/>
        <w:contextualSpacing/>
        <w:rPr>
          <w:rFonts w:eastAsia="Calibri" w:cs="Times New Roman"/>
        </w:rPr>
      </w:pPr>
      <w:r w:rsidRPr="000000D1">
        <w:rPr>
          <w:rFonts w:eastAsia="Calibri" w:cs="Times New Roman"/>
        </w:rPr>
        <w:t>Income shall be classified as nonapportionable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partnership's property, payroll, and sales. If the income is classified as nonapportionable income, it shall be included in the corporate partner's net taxable income and allocated in accordance with the allocation provisions of G.S. 105-130.4.</w:t>
      </w:r>
    </w:p>
    <w:p w14:paraId="762C819D" w14:textId="77777777" w:rsidR="000000D1" w:rsidRPr="000000D1" w:rsidRDefault="000000D1" w:rsidP="000000D1">
      <w:pPr>
        <w:ind w:left="720"/>
        <w:contextualSpacing/>
        <w:rPr>
          <w:rFonts w:eastAsia="Calibri" w:cs="Times New Roman"/>
        </w:rPr>
      </w:pPr>
    </w:p>
    <w:p w14:paraId="247556E7"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North Carolina Administrative Decision No. 97-548 (April 24, 1998) </w:t>
      </w:r>
    </w:p>
    <w:p w14:paraId="4493A0ED" w14:textId="77777777" w:rsidR="000000D1" w:rsidRPr="000000D1" w:rsidRDefault="000000D1" w:rsidP="000000D1">
      <w:pPr>
        <w:ind w:left="720"/>
        <w:contextualSpacing/>
        <w:rPr>
          <w:rFonts w:eastAsia="Calibri" w:cs="Times New Roman"/>
          <w:i/>
          <w:iCs/>
        </w:rPr>
      </w:pPr>
    </w:p>
    <w:p w14:paraId="6E918919" w14:textId="77777777" w:rsidR="000000D1" w:rsidRPr="000000D1" w:rsidRDefault="000000D1" w:rsidP="000000D1">
      <w:pPr>
        <w:ind w:left="1440"/>
        <w:contextualSpacing/>
        <w:rPr>
          <w:rFonts w:eastAsia="Calibri" w:cs="Times New Roman"/>
        </w:rPr>
      </w:pPr>
      <w:r w:rsidRPr="000000D1">
        <w:rPr>
          <w:rFonts w:eastAsia="Calibri" w:cs="Times New Roman"/>
        </w:rPr>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60457E97" w14:textId="77777777" w:rsidR="000000D1" w:rsidRPr="000000D1" w:rsidRDefault="000000D1" w:rsidP="000000D1">
      <w:pPr>
        <w:ind w:left="720"/>
        <w:contextualSpacing/>
        <w:rPr>
          <w:rFonts w:eastAsia="Calibri" w:cs="Times New Roman"/>
        </w:rPr>
      </w:pPr>
    </w:p>
    <w:p w14:paraId="65164018" w14:textId="77777777" w:rsidR="000000D1" w:rsidRPr="000000D1" w:rsidRDefault="000000D1" w:rsidP="000000D1">
      <w:pPr>
        <w:ind w:left="1440"/>
        <w:contextualSpacing/>
        <w:rPr>
          <w:rFonts w:eastAsia="Calibri" w:cs="Times New Roman"/>
        </w:rPr>
      </w:pPr>
      <w:r w:rsidRPr="000000D1">
        <w:rPr>
          <w:rFonts w:eastAsia="Calibri" w:cs="Times New Roman"/>
        </w:rPr>
        <w:t>Regarding the second issue, I find that the pass-through income derived from [Limited Partnership One] is properly classified as apportionable business income to the taxpayer. N.C. ADMIN. CODE tit. 17, r. 5C.1702 states, in pertinent part, that: “. . . Where the 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21A5BF5F" w14:textId="77777777" w:rsidR="000000D1" w:rsidRPr="000000D1" w:rsidRDefault="000000D1" w:rsidP="000000D1">
      <w:pPr>
        <w:ind w:left="720"/>
        <w:contextualSpacing/>
        <w:rPr>
          <w:rFonts w:eastAsia="Calibri" w:cs="Times New Roman"/>
        </w:rPr>
      </w:pPr>
    </w:p>
    <w:p w14:paraId="6EAB738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taxpayer asserts that, in the event a filing requirement is established, the business of [Limited Partnership One] is not directly or integrally related to its business because the taxpayer does not have a unitary relationship with the general partner of the </w:t>
      </w:r>
      <w:r w:rsidRPr="000000D1">
        <w:rPr>
          <w:rFonts w:eastAsia="Calibri" w:cs="Times New Roman"/>
        </w:rPr>
        <w:lastRenderedPageBreak/>
        <w:t>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427B0D74" w14:textId="77777777" w:rsidR="000000D1" w:rsidRPr="000000D1" w:rsidRDefault="000000D1" w:rsidP="000000D1">
      <w:pPr>
        <w:ind w:left="720"/>
        <w:contextualSpacing/>
        <w:rPr>
          <w:rFonts w:eastAsia="Calibri" w:cs="Times New Roman"/>
        </w:rPr>
      </w:pPr>
    </w:p>
    <w:p w14:paraId="05C00312" w14:textId="77777777" w:rsidR="000000D1" w:rsidRPr="000000D1" w:rsidRDefault="000000D1" w:rsidP="000000D1">
      <w:pPr>
        <w:ind w:left="1440"/>
        <w:contextualSpacing/>
        <w:rPr>
          <w:rFonts w:eastAsia="Calibri" w:cs="Times New Roman"/>
        </w:rPr>
      </w:pPr>
      <w:r w:rsidRPr="000000D1">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32427A8B" w14:textId="77777777" w:rsidR="000000D1" w:rsidRPr="000000D1" w:rsidRDefault="000000D1" w:rsidP="000000D1">
      <w:pPr>
        <w:ind w:left="720"/>
        <w:contextualSpacing/>
        <w:rPr>
          <w:rFonts w:eastAsia="Calibri" w:cs="Times New Roman"/>
        </w:rPr>
      </w:pPr>
    </w:p>
    <w:p w14:paraId="3B63F865" w14:textId="77777777" w:rsidR="000000D1" w:rsidRPr="000000D1" w:rsidRDefault="000000D1" w:rsidP="000000D1">
      <w:pPr>
        <w:ind w:left="1440"/>
        <w:contextualSpacing/>
        <w:rPr>
          <w:rFonts w:eastAsia="Calibri" w:cs="Times New Roman"/>
        </w:rPr>
      </w:pPr>
      <w:r w:rsidRPr="000000D1">
        <w:rPr>
          <w:rFonts w:eastAsia="Calibri" w:cs="Times New Roman"/>
        </w:rPr>
        <w:t>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053D02A0" w14:textId="77777777" w:rsidR="000000D1" w:rsidRPr="000000D1" w:rsidRDefault="000000D1" w:rsidP="000000D1">
      <w:pPr>
        <w:ind w:left="720"/>
        <w:contextualSpacing/>
        <w:rPr>
          <w:rFonts w:eastAsia="Calibri" w:cs="Times New Roman"/>
        </w:rPr>
      </w:pPr>
    </w:p>
    <w:p w14:paraId="109A75FD" w14:textId="77777777" w:rsidR="000000D1" w:rsidRPr="000000D1" w:rsidRDefault="000000D1" w:rsidP="000000D1">
      <w:pPr>
        <w:ind w:left="1440"/>
        <w:contextualSpacing/>
        <w:rPr>
          <w:rFonts w:eastAsia="Calibri" w:cs="Times New Roman"/>
        </w:rPr>
      </w:pPr>
      <w:r w:rsidRPr="000000D1">
        <w:rPr>
          <w:rFonts w:eastAsia="Calibri" w:cs="Times New Roman"/>
        </w:rPr>
        <w:t>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10AD37CA" w14:textId="77777777" w:rsidR="000000D1" w:rsidRPr="000000D1" w:rsidRDefault="000000D1" w:rsidP="000000D1">
      <w:pPr>
        <w:contextualSpacing/>
        <w:rPr>
          <w:rFonts w:eastAsia="Calibri" w:cs="Times New Roman"/>
        </w:rPr>
      </w:pPr>
      <w:r w:rsidRPr="000000D1">
        <w:rPr>
          <w:rFonts w:eastAsia="Calibri" w:cs="Times New Roman"/>
        </w:rPr>
        <w:tab/>
      </w:r>
    </w:p>
    <w:p w14:paraId="604201CB" w14:textId="77777777" w:rsidR="000000D1" w:rsidRPr="000000D1" w:rsidRDefault="000000D1" w:rsidP="000000D1">
      <w:pPr>
        <w:contextualSpacing/>
        <w:rPr>
          <w:rFonts w:eastAsia="Calibri" w:cs="Times New Roman"/>
          <w:i/>
          <w:iCs/>
        </w:rPr>
      </w:pPr>
      <w:r w:rsidRPr="000000D1">
        <w:rPr>
          <w:rFonts w:eastAsia="Calibri" w:cs="Times New Roman"/>
        </w:rPr>
        <w:tab/>
        <w:t xml:space="preserve">North Carolina Corporate Income Tax Directive PD-14-02 (October 10, 2014) </w:t>
      </w:r>
    </w:p>
    <w:p w14:paraId="5F4BB88A" w14:textId="77777777" w:rsidR="000000D1" w:rsidRPr="000000D1" w:rsidRDefault="000000D1" w:rsidP="000000D1">
      <w:pPr>
        <w:contextualSpacing/>
        <w:rPr>
          <w:rFonts w:eastAsia="Calibri" w:cs="Times New Roman"/>
          <w:i/>
          <w:iCs/>
        </w:rPr>
      </w:pPr>
    </w:p>
    <w:p w14:paraId="76F36045"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1C1249C" w14:textId="77777777" w:rsidR="000000D1" w:rsidRPr="000000D1" w:rsidRDefault="000000D1" w:rsidP="000000D1">
      <w:pPr>
        <w:contextualSpacing/>
        <w:rPr>
          <w:rFonts w:eastAsia="Calibri" w:cs="Times New Roman"/>
        </w:rPr>
      </w:pPr>
    </w:p>
    <w:p w14:paraId="19A66418" w14:textId="77777777" w:rsidR="000000D1" w:rsidRPr="000000D1" w:rsidRDefault="000000D1" w:rsidP="000000D1">
      <w:pPr>
        <w:ind w:left="1440"/>
        <w:contextualSpacing/>
        <w:rPr>
          <w:rFonts w:eastAsia="Calibri" w:cs="Times New Roman"/>
        </w:rPr>
      </w:pPr>
      <w:r w:rsidRPr="000000D1">
        <w:rPr>
          <w:rFonts w:eastAsia="Calibri" w:cs="Times New Roman"/>
        </w:rPr>
        <w:t>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nonapportionable income from North Carolina sources and a line for reporting apportionable income subject to North Carolina's apportionment factor.</w:t>
      </w:r>
    </w:p>
    <w:p w14:paraId="1F5AA418" w14:textId="77777777" w:rsidR="000000D1" w:rsidRPr="000000D1" w:rsidRDefault="000000D1" w:rsidP="000000D1">
      <w:pPr>
        <w:contextualSpacing/>
        <w:rPr>
          <w:rFonts w:eastAsia="Calibri" w:cs="Times New Roman"/>
        </w:rPr>
      </w:pPr>
    </w:p>
    <w:p w14:paraId="7355E91C" w14:textId="77777777" w:rsidR="000000D1" w:rsidRPr="000000D1" w:rsidRDefault="000000D1" w:rsidP="000000D1">
      <w:pPr>
        <w:ind w:left="1440"/>
        <w:contextualSpacing/>
        <w:rPr>
          <w:rFonts w:eastAsia="Calibri" w:cs="Times New Roman"/>
        </w:rPr>
      </w:pPr>
      <w:r w:rsidRPr="000000D1">
        <w:rPr>
          <w:rFonts w:eastAsia="Calibri" w:cs="Times New Roman"/>
        </w:rPr>
        <w:t>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Chapter 5D .0107 through .0115 for a corporation to request an alternative apportionment formula will also apply to a partnership seeking an alternative apportionment formula.</w:t>
      </w:r>
    </w:p>
    <w:p w14:paraId="41DCC072" w14:textId="77777777" w:rsidR="000000D1" w:rsidRPr="000000D1" w:rsidRDefault="000000D1" w:rsidP="000000D1">
      <w:pPr>
        <w:ind w:left="720"/>
        <w:contextualSpacing/>
        <w:rPr>
          <w:rFonts w:eastAsia="Calibri" w:cs="Times New Roman"/>
        </w:rPr>
      </w:pPr>
    </w:p>
    <w:p w14:paraId="4CCFB732" w14:textId="77777777" w:rsidR="000000D1" w:rsidRPr="000000D1" w:rsidRDefault="000000D1" w:rsidP="000000D1">
      <w:pPr>
        <w:ind w:left="720"/>
        <w:contextualSpacing/>
        <w:rPr>
          <w:rFonts w:eastAsia="Calibri" w:cs="Times New Roman"/>
        </w:rPr>
      </w:pPr>
      <w:r w:rsidRPr="000000D1">
        <w:rPr>
          <w:rFonts w:eastAsia="Calibri" w:cs="Times New Roman"/>
        </w:rPr>
        <w:t xml:space="preserve">North Carolina Form D-403A Instructions (2022) </w:t>
      </w:r>
    </w:p>
    <w:p w14:paraId="57B3D493" w14:textId="77777777" w:rsidR="000000D1" w:rsidRPr="000000D1" w:rsidRDefault="000000D1" w:rsidP="000000D1">
      <w:pPr>
        <w:contextualSpacing/>
        <w:rPr>
          <w:rFonts w:eastAsia="Calibri" w:cs="Times New Roman"/>
        </w:rPr>
      </w:pPr>
    </w:p>
    <w:p w14:paraId="28EEFC52" w14:textId="77777777" w:rsidR="000000D1" w:rsidRPr="000000D1" w:rsidRDefault="000000D1" w:rsidP="000000D1">
      <w:pPr>
        <w:ind w:left="1440"/>
        <w:rPr>
          <w:rFonts w:eastAsia="Calibri" w:cs="Times New Roman"/>
        </w:rPr>
      </w:pPr>
      <w:r w:rsidRPr="000000D1">
        <w:rPr>
          <w:rFonts w:eastAsia="Calibri" w:cs="Times New Roman"/>
        </w:rPr>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year.</w:t>
      </w:r>
    </w:p>
    <w:p w14:paraId="7352A55C" w14:textId="77777777" w:rsidR="000000D1" w:rsidRPr="000000D1" w:rsidRDefault="000000D1" w:rsidP="000000D1">
      <w:pPr>
        <w:pBdr>
          <w:bottom w:val="single" w:sz="4" w:space="0" w:color="auto"/>
        </w:pBdr>
        <w:rPr>
          <w:rFonts w:eastAsia="Calibri" w:cs="Times New Roman"/>
        </w:rPr>
      </w:pPr>
    </w:p>
    <w:p w14:paraId="449EB6E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3" w:name="_Toc195435304"/>
      <w:r w:rsidRPr="000000D1">
        <w:rPr>
          <w:rFonts w:ascii="Californian FB" w:eastAsia="Times New Roman" w:hAnsi="Californian FB" w:cs="Times New Roman"/>
          <w:b/>
          <w:color w:val="851C00"/>
          <w:sz w:val="24"/>
          <w:szCs w:val="24"/>
          <w:u w:val="single"/>
        </w:rPr>
        <w:t>North Dakota</w:t>
      </w:r>
      <w:bookmarkEnd w:id="133"/>
    </w:p>
    <w:p w14:paraId="17DAA457" w14:textId="77777777" w:rsidR="000000D1" w:rsidRPr="000000D1" w:rsidRDefault="000000D1" w:rsidP="000000D1">
      <w:pPr>
        <w:ind w:left="720"/>
        <w:contextualSpacing/>
        <w:rPr>
          <w:rFonts w:eastAsia="Calibri" w:cs="Times New Roman"/>
        </w:rPr>
      </w:pPr>
      <w:r w:rsidRPr="000000D1">
        <w:rPr>
          <w:rFonts w:eastAsia="Calibri" w:cs="Times New Roman"/>
        </w:rPr>
        <w:t xml:space="preserve">N.D. Cent. Code § 57-38-08.1 </w:t>
      </w:r>
    </w:p>
    <w:p w14:paraId="39DF65D6"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4A52A07A"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5EE34B13"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lastRenderedPageBreak/>
        <w:t>(a) 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 . . .</w:t>
      </w:r>
    </w:p>
    <w:p w14:paraId="50C4012D" w14:textId="77777777" w:rsidR="000000D1" w:rsidRPr="000000D1" w:rsidRDefault="000000D1" w:rsidP="000000D1">
      <w:pPr>
        <w:ind w:left="1800"/>
        <w:contextualSpacing/>
        <w:rPr>
          <w:rFonts w:eastAsia="Calibri" w:cs="Times New Roman"/>
        </w:rPr>
      </w:pPr>
      <w:r w:rsidRPr="000000D1">
        <w:rPr>
          <w:rFonts w:eastAsia="Calibri" w:cs="Times New Roman"/>
        </w:rPr>
        <w:t>(c)Any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0A6DFD0F" w14:textId="77777777" w:rsidR="000000D1" w:rsidRPr="000000D1" w:rsidRDefault="000000D1" w:rsidP="000000D1">
      <w:pPr>
        <w:ind w:left="1800"/>
        <w:contextualSpacing/>
        <w:rPr>
          <w:rFonts w:eastAsia="Calibri" w:cs="Times New Roman"/>
        </w:rPr>
      </w:pPr>
      <w:r w:rsidRPr="000000D1">
        <w:rPr>
          <w:rFonts w:eastAsia="Calibri" w:cs="Times New Roman"/>
        </w:rPr>
        <w:t>(d) 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3891D688"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N.D. Cent. Code § 57-38-04 </w:t>
      </w:r>
    </w:p>
    <w:p w14:paraId="4DDFEE15" w14:textId="77777777" w:rsidR="000000D1" w:rsidRPr="000000D1" w:rsidRDefault="000000D1" w:rsidP="000000D1">
      <w:pPr>
        <w:ind w:left="720"/>
        <w:contextualSpacing/>
        <w:rPr>
          <w:rFonts w:eastAsia="Calibri" w:cs="Times New Roman"/>
        </w:rPr>
      </w:pPr>
    </w:p>
    <w:p w14:paraId="22BD6AD5" w14:textId="77777777" w:rsidR="000000D1" w:rsidRPr="000000D1" w:rsidRDefault="000000D1" w:rsidP="000000D1">
      <w:pPr>
        <w:ind w:left="1440"/>
        <w:contextualSpacing/>
        <w:rPr>
          <w:rFonts w:eastAsia="Calibri" w:cs="Times New Roman"/>
        </w:rPr>
      </w:pPr>
      <w:r w:rsidRPr="000000D1">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57B820A1" w14:textId="77777777" w:rsidR="000000D1" w:rsidRPr="000000D1" w:rsidRDefault="000000D1" w:rsidP="000000D1">
      <w:pPr>
        <w:ind w:left="1440"/>
        <w:contextualSpacing/>
        <w:rPr>
          <w:rFonts w:eastAsia="Calibri" w:cs="Times New Roman"/>
        </w:rPr>
      </w:pPr>
      <w:r w:rsidRPr="000000D1">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34" w:anchor="jcite" w:history="1">
        <w:r w:rsidRPr="000000D1">
          <w:rPr>
            <w:rFonts w:eastAsia="Calibri" w:cs="Times New Roman"/>
            <w:color w:val="C00000"/>
            <w:u w:val="single"/>
          </w:rPr>
          <w:t>57-38.1</w:t>
        </w:r>
      </w:hyperlink>
      <w:r w:rsidRPr="000000D1">
        <w:rPr>
          <w:rFonts w:eastAsia="Calibri" w:cs="Times New Roman"/>
        </w:rPr>
        <w:t> but only according to the apportionment method provided under subsection 1 of section </w:t>
      </w:r>
      <w:hyperlink r:id="rId35" w:anchor="jcite" w:history="1">
        <w:r w:rsidRPr="000000D1">
          <w:rPr>
            <w:rFonts w:eastAsia="Calibri" w:cs="Times New Roman"/>
            <w:color w:val="C00000"/>
            <w:u w:val="single"/>
          </w:rPr>
          <w:t>57-38.1-09</w:t>
        </w:r>
      </w:hyperlink>
      <w:r w:rsidRPr="000000D1">
        <w:rPr>
          <w:rFonts w:eastAsia="Calibri" w:cs="Times New Roman"/>
        </w:rPr>
        <w:t>, providing for allocation and apportionment of income of corporations doing business within and without this state.</w:t>
      </w:r>
    </w:p>
    <w:p w14:paraId="4DC8A39E" w14:textId="77777777" w:rsidR="000000D1" w:rsidRPr="000000D1" w:rsidRDefault="000000D1" w:rsidP="000000D1">
      <w:pPr>
        <w:ind w:left="720" w:firstLine="720"/>
        <w:contextualSpacing/>
        <w:rPr>
          <w:rFonts w:eastAsia="Calibri" w:cs="Times New Roman"/>
        </w:rPr>
      </w:pPr>
      <w:r w:rsidRPr="000000D1">
        <w:rPr>
          <w:rFonts w:eastAsia="Calibri" w:cs="Times New Roman"/>
        </w:rPr>
        <w:t>(6)</w:t>
      </w:r>
    </w:p>
    <w:p w14:paraId="2539CA27" w14:textId="77777777" w:rsidR="000000D1" w:rsidRPr="000000D1" w:rsidRDefault="000000D1" w:rsidP="000000D1">
      <w:pPr>
        <w:ind w:left="1440"/>
        <w:contextualSpacing/>
        <w:rPr>
          <w:rFonts w:eastAsia="Calibri" w:cs="Times New Roman"/>
        </w:rPr>
      </w:pPr>
      <w:r w:rsidRPr="000000D1">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350D0745" w14:textId="77777777" w:rsidR="000000D1" w:rsidRPr="000000D1" w:rsidRDefault="000000D1" w:rsidP="000000D1">
      <w:pPr>
        <w:ind w:left="1440"/>
        <w:contextualSpacing/>
        <w:rPr>
          <w:rFonts w:eastAsia="Calibri" w:cs="Times New Roman"/>
        </w:rPr>
      </w:pPr>
      <w:r w:rsidRPr="000000D1">
        <w:rPr>
          <w:rFonts w:eastAsia="Calibri" w:cs="Times New Roman"/>
        </w:rPr>
        <w:t>(b)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chapter </w:t>
      </w:r>
      <w:hyperlink r:id="rId36" w:anchor="jcite" w:history="1">
        <w:r w:rsidRPr="000000D1">
          <w:rPr>
            <w:rFonts w:eastAsia="Calibri" w:cs="Times New Roman"/>
            <w:color w:val="C00000"/>
            <w:u w:val="single"/>
          </w:rPr>
          <w:t>57-38.1</w:t>
        </w:r>
      </w:hyperlink>
      <w:r w:rsidRPr="000000D1">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4FDCB862" w14:textId="77777777" w:rsidR="000000D1" w:rsidRPr="000000D1" w:rsidRDefault="000000D1" w:rsidP="000000D1">
      <w:pPr>
        <w:contextualSpacing/>
        <w:rPr>
          <w:rFonts w:eastAsia="Calibri" w:cs="Times New Roman"/>
        </w:rPr>
      </w:pPr>
    </w:p>
    <w:p w14:paraId="619A6B08" w14:textId="77777777" w:rsidR="000000D1" w:rsidRPr="000000D1" w:rsidRDefault="000000D1" w:rsidP="000000D1">
      <w:pPr>
        <w:ind w:left="720"/>
        <w:contextualSpacing/>
        <w:rPr>
          <w:rFonts w:eastAsia="Calibri" w:cs="Times New Roman"/>
        </w:rPr>
      </w:pPr>
      <w:r w:rsidRPr="000000D1">
        <w:rPr>
          <w:rFonts w:eastAsia="Calibri" w:cs="Times New Roman"/>
        </w:rPr>
        <w:t>N.D. Admin. Code 81-03-05.3-03(2)(d) (worldwide)</w:t>
      </w:r>
      <w:r w:rsidRPr="000000D1">
        <w:rPr>
          <w:rFonts w:eastAsia="Calibri" w:cs="Times New Roman"/>
          <w:i/>
          <w:iCs/>
        </w:rPr>
        <w:t xml:space="preserve"> </w:t>
      </w:r>
    </w:p>
    <w:p w14:paraId="7C08ED2A" w14:textId="77777777" w:rsidR="000000D1" w:rsidRPr="000000D1" w:rsidRDefault="000000D1" w:rsidP="000000D1">
      <w:pPr>
        <w:contextualSpacing/>
        <w:rPr>
          <w:rFonts w:eastAsia="Calibri" w:cs="Times New Roman"/>
        </w:rPr>
      </w:pPr>
    </w:p>
    <w:p w14:paraId="7D7F6D99" w14:textId="77777777" w:rsidR="000000D1" w:rsidRPr="000000D1" w:rsidRDefault="000000D1" w:rsidP="000000D1">
      <w:pPr>
        <w:ind w:left="1440"/>
        <w:rPr>
          <w:rFonts w:eastAsia="Calibri" w:cs="Times New Roman"/>
        </w:rPr>
      </w:pPr>
      <w:r w:rsidRPr="000000D1">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1C9C84D7" w14:textId="77777777" w:rsidR="000000D1" w:rsidRPr="000000D1" w:rsidRDefault="000000D1" w:rsidP="000000D1">
      <w:pPr>
        <w:ind w:left="1440"/>
        <w:rPr>
          <w:rFonts w:eastAsia="Calibri" w:cs="Times New Roman"/>
        </w:rPr>
      </w:pPr>
      <w:r w:rsidRPr="000000D1">
        <w:rPr>
          <w:rFonts w:eastAsia="Calibri" w:cs="Times New Roman"/>
          <w:i/>
          <w:iCs/>
        </w:rPr>
        <w:t>Administrative Practice</w:t>
      </w:r>
      <w:r w:rsidRPr="000000D1">
        <w:rPr>
          <w:rFonts w:eastAsia="Calibri" w:cs="Times New Roman"/>
        </w:rPr>
        <w:t xml:space="preserve">: 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w:t>
      </w:r>
      <w:r w:rsidRPr="000000D1">
        <w:rPr>
          <w:rFonts w:eastAsia="Calibri" w:cs="Times New Roman"/>
        </w:rPr>
        <w:lastRenderedPageBreak/>
        <w:t>on the “form” of arrangement (general partner versus limited partner), but rather the specific facts and circumstances. As a result, ownership interests in limited partnerships and LLCs may also require flow through apportionment.</w:t>
      </w:r>
    </w:p>
    <w:p w14:paraId="3BA0E221" w14:textId="77777777" w:rsidR="000000D1" w:rsidRPr="000000D1" w:rsidRDefault="000000D1" w:rsidP="000000D1">
      <w:pPr>
        <w:ind w:left="720"/>
        <w:contextualSpacing/>
        <w:rPr>
          <w:rFonts w:eastAsia="Calibri" w:cs="Times New Roman"/>
        </w:rPr>
      </w:pPr>
      <w:r w:rsidRPr="000000D1">
        <w:rPr>
          <w:rFonts w:eastAsia="Calibri" w:cs="Times New Roman"/>
        </w:rPr>
        <w:t xml:space="preserve">North Dakota Tax Website </w:t>
      </w:r>
    </w:p>
    <w:p w14:paraId="260FE468" w14:textId="77777777" w:rsidR="000000D1" w:rsidRPr="000000D1" w:rsidRDefault="000000D1" w:rsidP="000000D1">
      <w:pPr>
        <w:contextualSpacing/>
        <w:rPr>
          <w:rFonts w:eastAsia="Calibri" w:cs="Times New Roman"/>
        </w:rPr>
      </w:pPr>
    </w:p>
    <w:p w14:paraId="4ABA2A25" w14:textId="77777777" w:rsidR="000000D1" w:rsidRPr="000000D1" w:rsidRDefault="000000D1" w:rsidP="000000D1">
      <w:pPr>
        <w:ind w:left="1440"/>
        <w:rPr>
          <w:rFonts w:eastAsia="Calibri" w:cs="Times New Roman"/>
        </w:rPr>
      </w:pPr>
      <w:r w:rsidRPr="000000D1">
        <w:rPr>
          <w:rFonts w:eastAsia="Calibri" w:cs="Times New Roman"/>
        </w:rPr>
        <w:t xml:space="preserve">Apportionment - All income derived from the partnership’s activity is business income and is subject to apportionment. For the definitions of business and nonbusiness income, see North Dakota Administrative Code § 81-03-09. North Dakota does not allow for separate accounting. </w:t>
      </w:r>
    </w:p>
    <w:p w14:paraId="62EFA867" w14:textId="77777777" w:rsidR="000000D1" w:rsidRPr="000000D1" w:rsidRDefault="000000D1" w:rsidP="000000D1">
      <w:pPr>
        <w:pBdr>
          <w:bottom w:val="single" w:sz="4" w:space="0" w:color="auto"/>
        </w:pBdr>
        <w:rPr>
          <w:rFonts w:eastAsia="Calibri" w:cs="Times New Roman"/>
        </w:rPr>
      </w:pPr>
    </w:p>
    <w:p w14:paraId="1F1C64E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4" w:name="_Toc195435305"/>
      <w:r w:rsidRPr="000000D1">
        <w:rPr>
          <w:rFonts w:ascii="Californian FB" w:eastAsia="Times New Roman" w:hAnsi="Californian FB" w:cs="Times New Roman"/>
          <w:b/>
          <w:color w:val="851C00"/>
          <w:sz w:val="24"/>
          <w:szCs w:val="24"/>
          <w:u w:val="single"/>
        </w:rPr>
        <w:t>Ohio</w:t>
      </w:r>
      <w:bookmarkEnd w:id="134"/>
    </w:p>
    <w:p w14:paraId="1F5740C4" w14:textId="77777777" w:rsidR="000000D1" w:rsidRPr="000000D1" w:rsidRDefault="000000D1" w:rsidP="000000D1">
      <w:pPr>
        <w:ind w:left="720"/>
        <w:contextualSpacing/>
        <w:rPr>
          <w:rFonts w:eastAsia="Calibri" w:cs="Times New Roman"/>
        </w:rPr>
      </w:pPr>
      <w:r w:rsidRPr="000000D1">
        <w:rPr>
          <w:rFonts w:eastAsia="Calibri" w:cs="Times New Roman"/>
        </w:rPr>
        <w:t xml:space="preserve">Ohio Rev. Code Ann. § 5733.05(B) </w:t>
      </w:r>
    </w:p>
    <w:p w14:paraId="715C730C" w14:textId="77777777" w:rsidR="000000D1" w:rsidRPr="000000D1" w:rsidRDefault="000000D1" w:rsidP="000000D1">
      <w:pPr>
        <w:ind w:left="720"/>
        <w:contextualSpacing/>
        <w:rPr>
          <w:rFonts w:eastAsia="Calibri" w:cs="Times New Roman"/>
        </w:rPr>
      </w:pPr>
    </w:p>
    <w:p w14:paraId="02B67705" w14:textId="77777777" w:rsidR="000000D1" w:rsidRPr="000000D1" w:rsidRDefault="000000D1" w:rsidP="000000D1">
      <w:pPr>
        <w:ind w:left="1440"/>
        <w:contextualSpacing/>
        <w:rPr>
          <w:rFonts w:eastAsia="Calibri" w:cs="Times New Roman"/>
        </w:rPr>
      </w:pPr>
      <w:r w:rsidRPr="000000D1">
        <w:rPr>
          <w:rFonts w:eastAsia="Calibri" w:cs="Times New Roman"/>
        </w:rPr>
        <w:t>The sum of the corporation's net income during the corporation's taxable year, allocated or apportioned to this state as prescribed in divisions (B)(1) and (2) of this section, and subject to sections 5733.052, 5733.053, 5733.057, 5733.058, 5733.059, and 5733.0510 of the Revised Code:</w:t>
      </w:r>
    </w:p>
    <w:p w14:paraId="2D009E69" w14:textId="77777777" w:rsidR="000000D1" w:rsidRPr="000000D1" w:rsidRDefault="000000D1" w:rsidP="000000D1">
      <w:pPr>
        <w:ind w:left="720"/>
        <w:contextualSpacing/>
        <w:rPr>
          <w:rFonts w:eastAsia="Calibri" w:cs="Times New Roman"/>
        </w:rPr>
      </w:pPr>
    </w:p>
    <w:p w14:paraId="0BC9E057" w14:textId="77777777" w:rsidR="000000D1" w:rsidRPr="000000D1" w:rsidRDefault="000000D1" w:rsidP="000000D1">
      <w:pPr>
        <w:ind w:left="1440"/>
        <w:contextualSpacing/>
        <w:rPr>
          <w:rFonts w:eastAsia="Calibri" w:cs="Times New Roman"/>
        </w:rPr>
      </w:pPr>
      <w:r w:rsidRPr="000000D1">
        <w:rPr>
          <w:rFonts w:eastAsia="Calibri" w:cs="Times New Roman"/>
        </w:rPr>
        <w:t>(1) The net nonbusiness income allocated or apportioned to this state as provided by section 5733.051 of the Revised Code.</w:t>
      </w:r>
    </w:p>
    <w:p w14:paraId="5AB02AF1" w14:textId="77777777" w:rsidR="000000D1" w:rsidRPr="000000D1" w:rsidRDefault="000000D1" w:rsidP="000000D1">
      <w:pPr>
        <w:ind w:left="720"/>
        <w:contextualSpacing/>
        <w:rPr>
          <w:rFonts w:eastAsia="Calibri" w:cs="Times New Roman"/>
        </w:rPr>
      </w:pPr>
    </w:p>
    <w:p w14:paraId="336C4860" w14:textId="77777777" w:rsidR="000000D1" w:rsidRPr="000000D1" w:rsidRDefault="000000D1" w:rsidP="000000D1">
      <w:pPr>
        <w:ind w:left="1440"/>
        <w:contextualSpacing/>
        <w:rPr>
          <w:rFonts w:eastAsia="Calibri" w:cs="Times New Roman"/>
        </w:rPr>
      </w:pPr>
      <w:r w:rsidRPr="000000D1">
        <w:rPr>
          <w:rFonts w:eastAsia="Calibri" w:cs="Times New Roman"/>
        </w:rPr>
        <w:t>(2) The amount of Ohio apportioned net business income, which shall be calculated by multiplying the corporation's net business income by a fraction. The numerator of the fraction is the sum of the following products: the property factor multiplied by twenty, the payroll factor multiplied by twenty, and the sales factor multiplied by sixty. The denominator of the fraction is one hundred, provided that the denominator shall be reduced by twenty if the property factor has a denominator of zero, by twenty if the payroll factor has a denominator of zero, and by sixty if the sales factor has a denominator of zero.</w:t>
      </w:r>
    </w:p>
    <w:p w14:paraId="5C216922" w14:textId="77777777" w:rsidR="000000D1" w:rsidRPr="000000D1" w:rsidRDefault="000000D1" w:rsidP="000000D1">
      <w:pPr>
        <w:ind w:left="720"/>
        <w:contextualSpacing/>
        <w:rPr>
          <w:rFonts w:eastAsia="Calibri" w:cs="Times New Roman"/>
        </w:rPr>
      </w:pPr>
    </w:p>
    <w:p w14:paraId="08CB2A87" w14:textId="77777777" w:rsidR="000000D1" w:rsidRPr="000000D1" w:rsidRDefault="000000D1" w:rsidP="000000D1">
      <w:pPr>
        <w:ind w:left="1440"/>
        <w:contextualSpacing/>
        <w:rPr>
          <w:rFonts w:eastAsia="Calibri" w:cs="Times New Roman"/>
        </w:rPr>
      </w:pPr>
      <w:r w:rsidRPr="000000D1">
        <w:rPr>
          <w:rFonts w:eastAsia="Calibri" w:cs="Times New Roman"/>
        </w:rPr>
        <w:t>The property, payroll, and sales factors shall be determined as follows, but the numerator and the denominator of the factors shall not include the portion of any property, payroll, and sales otherwise includible in the factors to the extent that the portion relates to, or is used in connection with, the production of nonbusiness income allocated under section 5733.051 of the Revised Code . . .</w:t>
      </w:r>
    </w:p>
    <w:p w14:paraId="752B231B" w14:textId="77777777" w:rsidR="000000D1" w:rsidRPr="000000D1" w:rsidRDefault="000000D1" w:rsidP="000000D1">
      <w:pPr>
        <w:contextualSpacing/>
        <w:rPr>
          <w:rFonts w:eastAsia="Calibri" w:cs="Times New Roman"/>
        </w:rPr>
      </w:pPr>
    </w:p>
    <w:p w14:paraId="12EEA724" w14:textId="77777777" w:rsidR="000000D1" w:rsidRPr="000000D1" w:rsidRDefault="000000D1" w:rsidP="000000D1">
      <w:pPr>
        <w:contextualSpacing/>
        <w:rPr>
          <w:rFonts w:eastAsia="Calibri" w:cs="Times New Roman"/>
          <w:i/>
          <w:iCs/>
        </w:rPr>
      </w:pPr>
      <w:r w:rsidRPr="000000D1">
        <w:rPr>
          <w:rFonts w:eastAsia="Calibri" w:cs="Times New Roman"/>
        </w:rPr>
        <w:tab/>
        <w:t>Ohio Rev. Code Ann. § 5733.057</w:t>
      </w:r>
    </w:p>
    <w:p w14:paraId="688ECBF2" w14:textId="77777777" w:rsidR="000000D1" w:rsidRPr="000000D1" w:rsidRDefault="000000D1" w:rsidP="000000D1">
      <w:pPr>
        <w:contextualSpacing/>
        <w:rPr>
          <w:rFonts w:eastAsia="Calibri" w:cs="Times New Roman"/>
          <w:i/>
          <w:iCs/>
        </w:rPr>
      </w:pPr>
    </w:p>
    <w:p w14:paraId="4932E1C6" w14:textId="77777777" w:rsidR="000000D1" w:rsidRPr="000000D1" w:rsidRDefault="000000D1" w:rsidP="000000D1">
      <w:pPr>
        <w:ind w:left="1440"/>
        <w:contextualSpacing/>
        <w:rPr>
          <w:rFonts w:eastAsia="Calibri" w:cs="Times New Roman"/>
        </w:rPr>
      </w:pPr>
      <w:r w:rsidRPr="000000D1">
        <w:rPr>
          <w:rFonts w:eastAsia="Calibri" w:cs="Times New Roman"/>
        </w:rPr>
        <w:t>As used in this section, "adjusted qualifying amount" has the same meaning as in section 5733.40 of the Revised Code.</w:t>
      </w:r>
    </w:p>
    <w:p w14:paraId="400C411F" w14:textId="77777777" w:rsidR="000000D1" w:rsidRPr="000000D1" w:rsidRDefault="000000D1" w:rsidP="000000D1">
      <w:pPr>
        <w:contextualSpacing/>
        <w:rPr>
          <w:rFonts w:eastAsia="Calibri" w:cs="Times New Roman"/>
        </w:rPr>
      </w:pPr>
    </w:p>
    <w:p w14:paraId="312B1416" w14:textId="77777777" w:rsidR="000000D1" w:rsidRPr="000000D1" w:rsidRDefault="000000D1" w:rsidP="000000D1">
      <w:pPr>
        <w:ind w:left="1440"/>
        <w:contextualSpacing/>
        <w:rPr>
          <w:rFonts w:eastAsia="Calibri" w:cs="Times New Roman"/>
        </w:rPr>
      </w:pPr>
      <w:r w:rsidRPr="000000D1">
        <w:rPr>
          <w:rFonts w:eastAsia="Calibri" w:cs="Times New Roman"/>
        </w:rPr>
        <w:t>This section does not apply to divisions (E) and (F) of section 5733.051 of the Revised Code.</w:t>
      </w:r>
    </w:p>
    <w:p w14:paraId="5CAE50F4" w14:textId="77777777" w:rsidR="000000D1" w:rsidRPr="000000D1" w:rsidRDefault="000000D1" w:rsidP="000000D1">
      <w:pPr>
        <w:contextualSpacing/>
        <w:rPr>
          <w:rFonts w:eastAsia="Calibri" w:cs="Times New Roman"/>
        </w:rPr>
      </w:pPr>
    </w:p>
    <w:p w14:paraId="26648CFD" w14:textId="77777777" w:rsidR="000000D1" w:rsidRPr="000000D1" w:rsidRDefault="000000D1" w:rsidP="000000D1">
      <w:pPr>
        <w:ind w:left="1440"/>
        <w:contextualSpacing/>
        <w:rPr>
          <w:rFonts w:eastAsia="Calibri" w:cs="Times New Roman"/>
        </w:rPr>
      </w:pPr>
      <w:r w:rsidRPr="000000D1">
        <w:rPr>
          <w:rFonts w:eastAsia="Calibri" w:cs="Times New Roman"/>
        </w:rPr>
        <w:t xml:space="preserve">Except as otherwise provided in divisions (A) and (B) of section 5733.401 and in sections 5733.058 and 5747.401 of the Revised Code, in making all apportionment, allocation, income, gain, loss, deduction, tax, and credit computations under this chapter and under sections 5747.41 and 5747.43 of the Revised Code, each person shall include in that person's items of business income, nonbusiness income, adjusted qualifying amounts, allocable income or loss, if any, apportionable income or loss, property, compensation, and sales, the person's entire distributive share or proportionate share of the items of business income, nonbusiness income, adjusted qualifying amounts, </w:t>
      </w:r>
      <w:r w:rsidRPr="000000D1">
        <w:rPr>
          <w:rFonts w:eastAsia="Calibri" w:cs="Times New Roman"/>
        </w:rPr>
        <w:lastRenderedPageBreak/>
        <w:t xml:space="preserve">allocable income or loss, apportionable income or loss, property, compensation, and sales of any pass-through entity in which the person has a direct or indirect ownership interest at any time during the pass-through entity's calendar or fiscal year ending within, or with the last day of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 </w:t>
      </w:r>
    </w:p>
    <w:p w14:paraId="7A819269" w14:textId="77777777" w:rsidR="000000D1" w:rsidRPr="000000D1" w:rsidRDefault="000000D1" w:rsidP="000000D1">
      <w:pPr>
        <w:ind w:left="720"/>
        <w:contextualSpacing/>
        <w:rPr>
          <w:rFonts w:eastAsia="Calibri" w:cs="Times New Roman"/>
        </w:rPr>
      </w:pPr>
    </w:p>
    <w:p w14:paraId="57DAB171"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Ohio Rev. Code Ann. § 5747.21 </w:t>
      </w:r>
    </w:p>
    <w:p w14:paraId="7BD61A15" w14:textId="77777777" w:rsidR="000000D1" w:rsidRPr="000000D1" w:rsidRDefault="000000D1" w:rsidP="000000D1">
      <w:pPr>
        <w:ind w:left="720"/>
        <w:contextualSpacing/>
        <w:rPr>
          <w:rFonts w:eastAsia="Calibri" w:cs="Times New Roman"/>
        </w:rPr>
      </w:pPr>
    </w:p>
    <w:p w14:paraId="5FB39642" w14:textId="77777777" w:rsidR="000000D1" w:rsidRPr="000000D1" w:rsidRDefault="000000D1" w:rsidP="000000D1">
      <w:pPr>
        <w:ind w:left="1440"/>
        <w:rPr>
          <w:rFonts w:eastAsia="Calibri" w:cs="Times New Roman"/>
        </w:rPr>
      </w:pPr>
      <w:r w:rsidRPr="000000D1">
        <w:rPr>
          <w:rFonts w:eastAsia="Calibri" w:cs="Times New Roman"/>
        </w:rPr>
        <w:t>(B) 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07983AEC" w14:textId="77777777" w:rsidR="000000D1" w:rsidRPr="000000D1" w:rsidRDefault="000000D1" w:rsidP="000000D1">
      <w:pPr>
        <w:ind w:left="1440"/>
        <w:rPr>
          <w:rFonts w:eastAsia="Calibri" w:cs="Times New Roman"/>
        </w:rPr>
      </w:pPr>
      <w:r w:rsidRPr="000000D1">
        <w:rPr>
          <w:rFonts w:eastAsia="Calibri" w:cs="Times New Roman"/>
        </w:rPr>
        <w:t xml:space="preserve">(C)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 </w:t>
      </w:r>
    </w:p>
    <w:p w14:paraId="76191426" w14:textId="77777777" w:rsidR="000000D1" w:rsidRPr="000000D1" w:rsidRDefault="000000D1" w:rsidP="000000D1">
      <w:pPr>
        <w:ind w:left="1440"/>
        <w:rPr>
          <w:rFonts w:eastAsia="Calibri" w:cs="Times New Roman"/>
        </w:rPr>
      </w:pPr>
      <w:r w:rsidRPr="000000D1">
        <w:rPr>
          <w:rFonts w:eastAsia="Calibri" w:cs="Times New Roman"/>
        </w:rPr>
        <w:t>(1)</w:t>
      </w:r>
      <w:bookmarkStart w:id="135" w:name="SLCODOS:49879.13"/>
      <w:bookmarkEnd w:id="135"/>
      <w:r w:rsidRPr="000000D1">
        <w:rPr>
          <w:rFonts w:eastAsia="Calibri" w:cs="Times New Roman"/>
        </w:rPr>
        <w:t xml:space="preserve"> Separate accounting;</w:t>
      </w:r>
    </w:p>
    <w:p w14:paraId="3B26DA49" w14:textId="77777777" w:rsidR="000000D1" w:rsidRPr="000000D1" w:rsidRDefault="000000D1" w:rsidP="000000D1">
      <w:pPr>
        <w:ind w:left="1440"/>
        <w:rPr>
          <w:rFonts w:eastAsia="Calibri" w:cs="Times New Roman"/>
        </w:rPr>
      </w:pPr>
      <w:bookmarkStart w:id="136" w:name="5747.21(C)(2)"/>
      <w:bookmarkEnd w:id="136"/>
      <w:r w:rsidRPr="000000D1">
        <w:rPr>
          <w:rFonts w:eastAsia="Calibri" w:cs="Times New Roman"/>
        </w:rPr>
        <w:t>(2)</w:t>
      </w:r>
      <w:bookmarkStart w:id="137" w:name="SLCODOS:49879.14"/>
      <w:bookmarkEnd w:id="137"/>
      <w:r w:rsidRPr="000000D1">
        <w:rPr>
          <w:rFonts w:eastAsia="Calibri" w:cs="Times New Roman"/>
        </w:rPr>
        <w:t xml:space="preserve"> The exclusion of one or more factors;</w:t>
      </w:r>
    </w:p>
    <w:p w14:paraId="5C90EC53" w14:textId="77777777" w:rsidR="000000D1" w:rsidRPr="000000D1" w:rsidRDefault="000000D1" w:rsidP="000000D1">
      <w:pPr>
        <w:ind w:left="1440"/>
        <w:rPr>
          <w:rFonts w:eastAsia="Calibri" w:cs="Times New Roman"/>
        </w:rPr>
      </w:pPr>
      <w:bookmarkStart w:id="138" w:name="5747.21(C)(3)"/>
      <w:bookmarkEnd w:id="138"/>
      <w:r w:rsidRPr="000000D1">
        <w:rPr>
          <w:rFonts w:eastAsia="Calibri" w:cs="Times New Roman"/>
        </w:rPr>
        <w:t>(3)</w:t>
      </w:r>
      <w:bookmarkStart w:id="139" w:name="SLCODOS:49879.15"/>
      <w:bookmarkEnd w:id="139"/>
      <w:r w:rsidRPr="000000D1">
        <w:rPr>
          <w:rFonts w:eastAsia="Calibri" w:cs="Times New Roman"/>
        </w:rPr>
        <w:t xml:space="preserve"> The inclusion of one or more additional factors which will fairly represent the business activity in this state;</w:t>
      </w:r>
    </w:p>
    <w:p w14:paraId="3EC702C5" w14:textId="77777777" w:rsidR="000000D1" w:rsidRPr="000000D1" w:rsidRDefault="000000D1" w:rsidP="000000D1">
      <w:pPr>
        <w:ind w:left="1440"/>
        <w:rPr>
          <w:rFonts w:eastAsia="Calibri" w:cs="Times New Roman"/>
        </w:rPr>
      </w:pPr>
      <w:bookmarkStart w:id="140" w:name="5747.21(C)(4)"/>
      <w:bookmarkEnd w:id="140"/>
      <w:r w:rsidRPr="000000D1">
        <w:rPr>
          <w:rFonts w:eastAsia="Calibri" w:cs="Times New Roman"/>
        </w:rPr>
        <w:t>(4)</w:t>
      </w:r>
      <w:bookmarkStart w:id="141" w:name="SLCODOS:49879.16"/>
      <w:bookmarkEnd w:id="141"/>
      <w:r w:rsidRPr="000000D1">
        <w:rPr>
          <w:rFonts w:eastAsia="Calibri" w:cs="Times New Roman"/>
        </w:rPr>
        <w:t xml:space="preserve"> The employment of any other method to effectuate an equitable allocation and apportionment of such business in this state. An alternative method will be effective only with approval of the tax commissioner.</w:t>
      </w:r>
    </w:p>
    <w:p w14:paraId="73C21881" w14:textId="77777777" w:rsidR="000000D1" w:rsidRPr="000000D1" w:rsidRDefault="000000D1" w:rsidP="000000D1">
      <w:pPr>
        <w:ind w:left="1440"/>
        <w:rPr>
          <w:rFonts w:eastAsia="Calibri" w:cs="Times New Roman"/>
        </w:rPr>
      </w:pPr>
      <w:r w:rsidRPr="000000D1">
        <w:rPr>
          <w:rFonts w:eastAsia="Calibri" w:cs="Times New Roman"/>
        </w:rPr>
        <w:t>The tax commissioner may adopt rules in the manner provided by </w:t>
      </w:r>
      <w:bookmarkStart w:id="142" w:name="SLCODOS:49879.17-1"/>
      <w:r w:rsidRPr="000000D1">
        <w:rPr>
          <w:rFonts w:eastAsia="Calibri" w:cs="Times New Roman"/>
        </w:rPr>
        <w:fldChar w:fldCharType="begin"/>
      </w:r>
      <w:r w:rsidRPr="000000D1">
        <w:rPr>
          <w:rFonts w:eastAsia="Calibri" w:cs="Times New Roman"/>
        </w:rPr>
        <w:instrText>HYPERLINK "https://checkpoint.riag.com/app/main/docLinkNew?usid=4fa289o186a3e&amp;DocID=iSLCODOS%3A48525.1&amp;SrcDocId=T0SLCODOS%3A49879.1-1&amp;feature=ttools&amp;lastCpReqId=4c7932&amp;tabPg=4000"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color w:val="C00000"/>
          <w:u w:val="single"/>
        </w:rPr>
        <w:t>sections 5703.14</w:t>
      </w:r>
      <w:r w:rsidRPr="000000D1">
        <w:rPr>
          <w:rFonts w:eastAsia="Calibri" w:cs="Times New Roman"/>
        </w:rPr>
        <w:fldChar w:fldCharType="end"/>
      </w:r>
      <w:bookmarkEnd w:id="142"/>
      <w:r w:rsidRPr="000000D1">
        <w:rPr>
          <w:rFonts w:eastAsia="Calibri" w:cs="Times New Roman"/>
        </w:rPr>
        <w:t> and </w:t>
      </w:r>
      <w:bookmarkStart w:id="143" w:name="SLCODOS:49879.18-1"/>
      <w:r w:rsidRPr="000000D1">
        <w:rPr>
          <w:rFonts w:eastAsia="Calibri" w:cs="Times New Roman"/>
        </w:rPr>
        <w:fldChar w:fldCharType="begin"/>
      </w:r>
      <w:r w:rsidRPr="000000D1">
        <w:rPr>
          <w:rFonts w:eastAsia="Calibri" w:cs="Times New Roman"/>
        </w:rPr>
        <w:instrText>HYPERLINK "https://checkpoint.riag.com/app/main/docLinkNew?usid=4fa289o186a3e&amp;DocID=iSLCODOS%3A49875.1&amp;SrcDocId=T0SLCODOS%3A49879.1-1&amp;feature=ttools&amp;lastCpReqId=4c7932&amp;tabPg=4000"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color w:val="C00000"/>
          <w:u w:val="single"/>
        </w:rPr>
        <w:t>5747.18</w:t>
      </w:r>
      <w:r w:rsidRPr="000000D1">
        <w:rPr>
          <w:rFonts w:eastAsia="Calibri" w:cs="Times New Roman"/>
        </w:rPr>
        <w:fldChar w:fldCharType="end"/>
      </w:r>
      <w:bookmarkEnd w:id="143"/>
      <w:r w:rsidRPr="000000D1">
        <w:rPr>
          <w:rFonts w:eastAsia="Calibri" w:cs="Times New Roman"/>
        </w:rPr>
        <w:t> of the Revised Code providing for alternative methods of calculating business income and nonbusiness income applicable to all taxpayers and pass-through entities, to classes of taxpayers and pass-through entities, or only to taxpayers and pass-through entities within a certain industry</w:t>
      </w:r>
    </w:p>
    <w:p w14:paraId="7832FE00" w14:textId="77777777" w:rsidR="000000D1" w:rsidRPr="000000D1" w:rsidRDefault="000000D1" w:rsidP="000000D1">
      <w:pPr>
        <w:ind w:left="720"/>
        <w:contextualSpacing/>
        <w:rPr>
          <w:rFonts w:eastAsia="Calibri" w:cs="Times New Roman"/>
        </w:rPr>
      </w:pPr>
      <w:r w:rsidRPr="000000D1">
        <w:rPr>
          <w:rFonts w:eastAsia="Calibri" w:cs="Times New Roman"/>
        </w:rPr>
        <w:t xml:space="preserve">Ohio Rev. Code Ann. § 5747.231 </w:t>
      </w:r>
    </w:p>
    <w:p w14:paraId="574750FE" w14:textId="77777777" w:rsidR="000000D1" w:rsidRPr="000000D1" w:rsidRDefault="000000D1" w:rsidP="000000D1">
      <w:pPr>
        <w:contextualSpacing/>
        <w:rPr>
          <w:rFonts w:eastAsia="Calibri" w:cs="Times New Roman"/>
        </w:rPr>
      </w:pPr>
    </w:p>
    <w:p w14:paraId="65FAF803" w14:textId="77777777" w:rsidR="000000D1" w:rsidRPr="000000D1" w:rsidRDefault="000000D1" w:rsidP="000000D1">
      <w:pPr>
        <w:ind w:left="1440"/>
        <w:rPr>
          <w:rFonts w:eastAsia="Calibri" w:cs="Times New Roman"/>
        </w:rPr>
      </w:pPr>
      <w:r w:rsidRPr="000000D1">
        <w:rPr>
          <w:rFonts w:eastAsia="Calibri" w:cs="Times New Roman"/>
        </w:rPr>
        <w:t>For As used in this section, “adjusted qualifying amount” has the same meaning as in section 5733.40 of the Revised Code.</w:t>
      </w:r>
    </w:p>
    <w:p w14:paraId="68097FD3" w14:textId="77777777" w:rsidR="000000D1" w:rsidRPr="000000D1" w:rsidRDefault="000000D1" w:rsidP="000000D1">
      <w:pPr>
        <w:ind w:left="1440"/>
        <w:rPr>
          <w:rFonts w:eastAsia="Calibri" w:cs="Times New Roman"/>
        </w:rPr>
      </w:pPr>
      <w:r w:rsidRPr="000000D1">
        <w:rPr>
          <w:rFonts w:eastAsia="Calibri" w:cs="Times New Roman"/>
        </w:rPr>
        <w:t>This section does not apply to division (AA)(5)(a)(ii) of section 5747.01 of the Revised Code.</w:t>
      </w:r>
    </w:p>
    <w:p w14:paraId="4F79C1B4" w14:textId="77777777" w:rsidR="000000D1" w:rsidRPr="000000D1" w:rsidRDefault="000000D1" w:rsidP="000000D1">
      <w:pPr>
        <w:ind w:left="1440"/>
        <w:rPr>
          <w:rFonts w:eastAsia="Calibri" w:cs="Times New Roman"/>
        </w:rPr>
      </w:pPr>
      <w:r w:rsidRPr="000000D1">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w:t>
      </w:r>
      <w:r w:rsidRPr="000000D1">
        <w:rPr>
          <w:rFonts w:eastAsia="Calibri" w:cs="Times New Roman"/>
        </w:rPr>
        <w:lastRenderedPageBreak/>
        <w:t>person shall include in that person's items of business income, nonbusiness income, adjusted qualifying amounts, allocable income or loss, apportionable income or loss, property, compensation, and sales, the person's entire distributive share or proportionate share of the items of business income, nonbusiness income, adjusted qualifying amounts, allocable income or loss, *apportionable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0D09007E" w14:textId="77777777" w:rsidR="000000D1" w:rsidRPr="000000D1" w:rsidRDefault="000000D1" w:rsidP="000000D1">
      <w:pPr>
        <w:pBdr>
          <w:bottom w:val="single" w:sz="4" w:space="0" w:color="auto"/>
        </w:pBdr>
        <w:rPr>
          <w:rFonts w:eastAsia="Calibri" w:cs="Times New Roman"/>
        </w:rPr>
      </w:pPr>
    </w:p>
    <w:p w14:paraId="2D649D0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4" w:name="_Toc195435306"/>
      <w:r w:rsidRPr="000000D1">
        <w:rPr>
          <w:rFonts w:ascii="Californian FB" w:eastAsia="Times New Roman" w:hAnsi="Californian FB" w:cs="Times New Roman"/>
          <w:b/>
          <w:color w:val="851C00"/>
          <w:sz w:val="24"/>
          <w:szCs w:val="24"/>
          <w:u w:val="single"/>
        </w:rPr>
        <w:t>Oklahoma</w:t>
      </w:r>
      <w:bookmarkEnd w:id="144"/>
    </w:p>
    <w:p w14:paraId="07E97C7A"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Stat. tit. 68, § 2358(A) </w:t>
      </w:r>
    </w:p>
    <w:p w14:paraId="235900C1" w14:textId="77777777" w:rsidR="000000D1" w:rsidRPr="000000D1" w:rsidRDefault="000000D1" w:rsidP="000000D1">
      <w:pPr>
        <w:contextualSpacing/>
        <w:rPr>
          <w:rFonts w:eastAsia="Calibri" w:cs="Times New Roman"/>
        </w:rPr>
      </w:pPr>
    </w:p>
    <w:p w14:paraId="287EBAF1" w14:textId="77777777" w:rsidR="000000D1" w:rsidRPr="000000D1" w:rsidRDefault="000000D1" w:rsidP="000000D1">
      <w:pPr>
        <w:ind w:left="1440"/>
        <w:rPr>
          <w:rFonts w:eastAsia="Calibri" w:cs="Times New Roman"/>
        </w:rPr>
      </w:pPr>
      <w:r w:rsidRPr="000000D1">
        <w:rPr>
          <w:rFonts w:eastAsia="Calibri" w:cs="Times New Roman"/>
        </w:rPr>
        <w:t>(4)(c) income or loss from a business activity which is not a part of business carried on within or without the state of a unitary character shall be separately allocated to the state in which such activity is conducted . . .</w:t>
      </w:r>
    </w:p>
    <w:p w14:paraId="20D66653" w14:textId="77777777" w:rsidR="000000D1" w:rsidRPr="000000D1" w:rsidRDefault="000000D1" w:rsidP="000000D1">
      <w:pPr>
        <w:ind w:left="1440"/>
        <w:rPr>
          <w:rFonts w:eastAsia="Calibri" w:cs="Times New Roman"/>
        </w:rPr>
      </w:pPr>
      <w:r w:rsidRPr="000000D1">
        <w:rPr>
          <w:rFonts w:eastAsia="Calibri" w:cs="Times New Roman"/>
        </w:rPr>
        <w:t>(5) 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5C204F86"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Admin. Code § 710:50-19-1(a) </w:t>
      </w:r>
    </w:p>
    <w:p w14:paraId="5E97AB8F" w14:textId="77777777" w:rsidR="000000D1" w:rsidRPr="000000D1" w:rsidRDefault="000000D1" w:rsidP="000000D1">
      <w:pPr>
        <w:contextualSpacing/>
        <w:rPr>
          <w:rFonts w:eastAsia="Calibri" w:cs="Times New Roman"/>
        </w:rPr>
      </w:pPr>
    </w:p>
    <w:p w14:paraId="7B9D6BA8" w14:textId="77777777" w:rsidR="000000D1" w:rsidRPr="000000D1" w:rsidRDefault="000000D1" w:rsidP="000000D1">
      <w:pPr>
        <w:ind w:left="1440"/>
        <w:rPr>
          <w:rFonts w:eastAsia="Calibri" w:cs="Times New Roman"/>
        </w:rPr>
      </w:pPr>
      <w:r w:rsidRPr="000000D1">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6137FCA6" w14:textId="77777777" w:rsidR="000000D1" w:rsidRPr="000000D1" w:rsidRDefault="000000D1" w:rsidP="000000D1">
      <w:pPr>
        <w:ind w:left="1440"/>
        <w:rPr>
          <w:rFonts w:eastAsia="Calibri" w:cs="Times New Roman"/>
        </w:rPr>
      </w:pPr>
      <w:r w:rsidRPr="000000D1">
        <w:rPr>
          <w:rFonts w:eastAsia="Calibri" w:cs="Times New Roman"/>
        </w:rPr>
        <w:t>(2) Duty to file and report; determination of shares. All resident partners must file individual income tax returns with Oklahoma if they are required to file individual Federal Income Tax Returns. All nonresident partners that have gross income of $1,000.00 must file an Oklahoma Return even though their net may actually be a loss. The partnership income for Oklahoma may be apportioned using the three factor formula unless its operations are from real and tangible personal property, such as rents, oil and 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3BE44672"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Admin. Code § 710:50-19-1(a)(15) </w:t>
      </w:r>
    </w:p>
    <w:p w14:paraId="3F6F4A99" w14:textId="77777777" w:rsidR="000000D1" w:rsidRPr="000000D1" w:rsidRDefault="000000D1" w:rsidP="000000D1">
      <w:pPr>
        <w:contextualSpacing/>
        <w:rPr>
          <w:rFonts w:eastAsia="Calibri" w:cs="Times New Roman"/>
        </w:rPr>
      </w:pPr>
    </w:p>
    <w:p w14:paraId="2B8D987D" w14:textId="77777777" w:rsidR="000000D1" w:rsidRPr="000000D1" w:rsidRDefault="000000D1" w:rsidP="000000D1">
      <w:pPr>
        <w:ind w:left="1440"/>
        <w:rPr>
          <w:rFonts w:eastAsia="Calibri" w:cs="Times New Roman"/>
        </w:rPr>
      </w:pPr>
      <w:r w:rsidRPr="000000D1">
        <w:rPr>
          <w:rFonts w:eastAsia="Calibri" w:cs="Times New Roman"/>
        </w:rPr>
        <w:t>(A) Partnership income or loss shall be separately allocated. [See: 68 O.S. § 2358(A)(4)]</w:t>
      </w:r>
    </w:p>
    <w:p w14:paraId="721FC322" w14:textId="77777777" w:rsidR="000000D1" w:rsidRPr="000000D1" w:rsidRDefault="000000D1" w:rsidP="000000D1">
      <w:pPr>
        <w:ind w:left="1440"/>
        <w:rPr>
          <w:rFonts w:eastAsia="Calibri" w:cs="Times New Roman"/>
        </w:rPr>
      </w:pPr>
      <w:r w:rsidRPr="000000D1">
        <w:rPr>
          <w:rFonts w:eastAsia="Calibri" w:cs="Times New Roman"/>
        </w:rPr>
        <w:t>(B) The Oklahoma distributive share of partnership income as determined under 68 O.S. § 2358 and 68 O.S. § 2362 shall be allocated to Oklahoma.</w:t>
      </w:r>
    </w:p>
    <w:p w14:paraId="478DD361" w14:textId="77777777" w:rsidR="000000D1" w:rsidRPr="000000D1" w:rsidRDefault="000000D1" w:rsidP="000000D1">
      <w:pPr>
        <w:pBdr>
          <w:bottom w:val="single" w:sz="4" w:space="0" w:color="auto"/>
        </w:pBdr>
        <w:rPr>
          <w:rFonts w:eastAsia="Calibri" w:cs="Times New Roman"/>
        </w:rPr>
      </w:pPr>
    </w:p>
    <w:p w14:paraId="26F31CF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5" w:name="_Toc195435307"/>
      <w:r w:rsidRPr="000000D1">
        <w:rPr>
          <w:rFonts w:ascii="Californian FB" w:eastAsia="Times New Roman" w:hAnsi="Californian FB" w:cs="Times New Roman"/>
          <w:b/>
          <w:color w:val="851C00"/>
          <w:sz w:val="24"/>
          <w:szCs w:val="24"/>
          <w:u w:val="single"/>
        </w:rPr>
        <w:t>Oregon</w:t>
      </w:r>
      <w:bookmarkEnd w:id="145"/>
    </w:p>
    <w:p w14:paraId="57AAD259" w14:textId="77777777" w:rsidR="000000D1" w:rsidRPr="000000D1" w:rsidRDefault="000000D1" w:rsidP="000000D1">
      <w:pPr>
        <w:ind w:firstLine="720"/>
        <w:rPr>
          <w:rFonts w:eastAsia="Calibri" w:cs="Times New Roman"/>
          <w:i/>
          <w:iCs/>
        </w:rPr>
      </w:pPr>
      <w:r w:rsidRPr="000000D1">
        <w:rPr>
          <w:rFonts w:eastAsia="Calibri" w:cs="Times New Roman"/>
        </w:rPr>
        <w:t xml:space="preserve">Or. Rev. Stat. § 316.124 </w:t>
      </w:r>
    </w:p>
    <w:p w14:paraId="4F547706" w14:textId="77777777" w:rsidR="000000D1" w:rsidRPr="000000D1" w:rsidRDefault="000000D1" w:rsidP="00E10036">
      <w:pPr>
        <w:numPr>
          <w:ilvl w:val="0"/>
          <w:numId w:val="29"/>
        </w:numPr>
        <w:contextualSpacing/>
        <w:rPr>
          <w:rFonts w:eastAsia="Calibri" w:cs="Times New Roman"/>
        </w:rPr>
      </w:pPr>
      <w:r w:rsidRPr="000000D1">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 . . .</w:t>
      </w:r>
    </w:p>
    <w:p w14:paraId="76670116"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t>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68A19603" w14:textId="77777777" w:rsidR="000000D1" w:rsidRPr="000000D1" w:rsidRDefault="000000D1" w:rsidP="000000D1">
      <w:pPr>
        <w:ind w:firstLine="720"/>
        <w:rPr>
          <w:rFonts w:eastAsia="Calibri" w:cs="Times New Roman"/>
          <w:i/>
          <w:iCs/>
        </w:rPr>
      </w:pPr>
      <w:r w:rsidRPr="000000D1">
        <w:rPr>
          <w:rFonts w:eastAsia="Calibri" w:cs="Times New Roman"/>
        </w:rPr>
        <w:t xml:space="preserve">Or. Rev. Stat. § 314.714(1) </w:t>
      </w:r>
    </w:p>
    <w:p w14:paraId="1A04D605" w14:textId="77777777" w:rsidR="000000D1" w:rsidRPr="000000D1" w:rsidRDefault="000000D1" w:rsidP="000000D1">
      <w:pPr>
        <w:ind w:left="1440"/>
        <w:rPr>
          <w:rFonts w:eastAsia="Calibri" w:cs="Times New Roman"/>
        </w:rPr>
      </w:pPr>
      <w:r w:rsidRPr="000000D1">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46934AFE" w14:textId="77777777" w:rsidR="000000D1" w:rsidRPr="000000D1" w:rsidRDefault="000000D1" w:rsidP="000000D1">
      <w:pPr>
        <w:ind w:firstLine="720"/>
        <w:rPr>
          <w:rFonts w:eastAsia="Calibri" w:cs="Times New Roman"/>
          <w:i/>
          <w:iCs/>
        </w:rPr>
      </w:pPr>
      <w:r w:rsidRPr="000000D1">
        <w:rPr>
          <w:rFonts w:eastAsia="Calibri" w:cs="Times New Roman"/>
        </w:rPr>
        <w:t xml:space="preserve">Or. Admin. R. 150-314-0385 </w:t>
      </w:r>
    </w:p>
    <w:p w14:paraId="1BB0CF90" w14:textId="77777777" w:rsidR="000000D1" w:rsidRPr="000000D1" w:rsidRDefault="000000D1" w:rsidP="00E10036">
      <w:pPr>
        <w:numPr>
          <w:ilvl w:val="0"/>
          <w:numId w:val="28"/>
        </w:numPr>
        <w:contextualSpacing/>
        <w:rPr>
          <w:rFonts w:eastAsia="Calibri" w:cs="Times New Roman"/>
        </w:rPr>
      </w:pPr>
      <w:r w:rsidRPr="000000D1">
        <w:rPr>
          <w:rFonts w:eastAsia="Calibri" w:cs="Times New Roman"/>
        </w:rPr>
        <w:t>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entity's debt is determined under IRC 752(a) and 752(b) and the regulations thereunder, irrespective of whether or not the related entity is a true partnership.</w:t>
      </w:r>
    </w:p>
    <w:p w14:paraId="69178041" w14:textId="77777777" w:rsidR="000000D1" w:rsidRPr="000000D1" w:rsidRDefault="000000D1" w:rsidP="00E10036">
      <w:pPr>
        <w:numPr>
          <w:ilvl w:val="0"/>
          <w:numId w:val="28"/>
        </w:numPr>
        <w:contextualSpacing/>
        <w:rPr>
          <w:rFonts w:eastAsia="Calibri" w:cs="Times New Roman"/>
        </w:rPr>
      </w:pPr>
      <w:r w:rsidRPr="000000D1">
        <w:rPr>
          <w:rFonts w:eastAsia="Calibri" w:cs="Times New Roman"/>
        </w:rPr>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45A03F9D" w14:textId="77777777" w:rsidR="000000D1" w:rsidRPr="000000D1" w:rsidRDefault="000000D1" w:rsidP="000000D1">
      <w:pPr>
        <w:ind w:left="1800"/>
        <w:rPr>
          <w:rFonts w:eastAsia="Calibri" w:cs="Times New Roman"/>
        </w:rPr>
      </w:pPr>
      <w:r w:rsidRPr="000000D1">
        <w:rPr>
          <w:rFonts w:eastAsia="Calibri" w:cs="Times New Roman"/>
          <w:b/>
          <w:bCs/>
        </w:rPr>
        <w:t>Example:</w:t>
      </w:r>
      <w:r w:rsidRPr="000000D1">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w:t>
      </w:r>
      <w:r w:rsidRPr="000000D1">
        <w:rPr>
          <w:rFonts w:eastAsia="Calibri" w:cs="Times New Roman"/>
        </w:rPr>
        <w:lastRenderedPageBreak/>
        <w:t>for the consolidated Oregon return of the corporations. Transactions between C and P are considered to be directly between the three corporations.</w:t>
      </w:r>
    </w:p>
    <w:p w14:paraId="2FB5497F" w14:textId="77777777" w:rsidR="000000D1" w:rsidRPr="000000D1" w:rsidRDefault="000000D1" w:rsidP="000000D1">
      <w:pPr>
        <w:ind w:left="720"/>
        <w:contextualSpacing/>
        <w:rPr>
          <w:rFonts w:eastAsia="Calibri" w:cs="Times New Roman"/>
        </w:rPr>
      </w:pPr>
      <w:r w:rsidRPr="000000D1">
        <w:rPr>
          <w:rFonts w:eastAsia="Calibri" w:cs="Times New Roman"/>
        </w:rPr>
        <w:t xml:space="preserve">Or. Admin. R. 150-314-0510(7) </w:t>
      </w:r>
    </w:p>
    <w:p w14:paraId="58D15059" w14:textId="77777777" w:rsidR="000000D1" w:rsidRPr="000000D1" w:rsidRDefault="000000D1" w:rsidP="000000D1">
      <w:pPr>
        <w:contextualSpacing/>
        <w:rPr>
          <w:rFonts w:eastAsia="Calibri" w:cs="Times New Roman"/>
        </w:rPr>
      </w:pPr>
    </w:p>
    <w:p w14:paraId="71043D8C" w14:textId="77777777" w:rsidR="000000D1" w:rsidRPr="000000D1" w:rsidRDefault="000000D1" w:rsidP="000000D1">
      <w:pPr>
        <w:ind w:left="1440"/>
        <w:rPr>
          <w:rFonts w:eastAsia="Calibri" w:cs="Times New Roman"/>
        </w:rPr>
      </w:pPr>
      <w:r w:rsidRPr="000000D1">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4ABA0E2F" w14:textId="77777777" w:rsidR="000000D1" w:rsidRPr="000000D1" w:rsidRDefault="000000D1" w:rsidP="000000D1">
      <w:pPr>
        <w:rPr>
          <w:rFonts w:eastAsia="Calibri" w:cs="Times New Roman"/>
          <w:i/>
          <w:iCs/>
        </w:rPr>
      </w:pPr>
      <w:r w:rsidRPr="000000D1">
        <w:rPr>
          <w:rFonts w:eastAsia="Calibri" w:cs="Times New Roman"/>
        </w:rPr>
        <w:tab/>
        <w:t xml:space="preserve">Oregon Revenue Bulletin 2010-02 (March 29, 2010) </w:t>
      </w:r>
    </w:p>
    <w:p w14:paraId="5EBEF152" w14:textId="77777777" w:rsidR="000000D1" w:rsidRPr="000000D1" w:rsidRDefault="000000D1" w:rsidP="000000D1">
      <w:pPr>
        <w:ind w:left="1440"/>
        <w:rPr>
          <w:rFonts w:eastAsia="Calibri"/>
        </w:rPr>
      </w:pPr>
      <w:r w:rsidRPr="000000D1">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5E3CC53B" w14:textId="77777777" w:rsidR="000000D1" w:rsidRPr="000000D1" w:rsidRDefault="000000D1" w:rsidP="000000D1">
      <w:pPr>
        <w:ind w:left="1440"/>
        <w:rPr>
          <w:rFonts w:eastAsia="Calibri" w:cs="Times New Roman"/>
        </w:rPr>
      </w:pPr>
      <w:r w:rsidRPr="000000D1">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C675E98" w14:textId="77777777" w:rsidR="000000D1" w:rsidRPr="000000D1" w:rsidRDefault="000000D1" w:rsidP="000000D1">
      <w:pPr>
        <w:ind w:left="1440"/>
        <w:rPr>
          <w:rFonts w:eastAsia="Calibri" w:cs="Times New Roman"/>
        </w:rPr>
      </w:pPr>
      <w:r w:rsidRPr="000000D1">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04A4D838" w14:textId="77777777" w:rsidR="000000D1" w:rsidRPr="000000D1" w:rsidRDefault="000000D1" w:rsidP="000000D1">
      <w:pPr>
        <w:ind w:left="1440"/>
        <w:rPr>
          <w:rFonts w:eastAsia="Calibri" w:cs="Times New Roman"/>
        </w:rPr>
      </w:pPr>
      <w:r w:rsidRPr="000000D1">
        <w:rPr>
          <w:rFonts w:eastAsia="Calibri" w:cs="Times New Roman"/>
        </w:rPr>
        <w:t>Example 6: Pittsburgh LLC owns 40 percent of Waldport LLC, an Oregon LLC classified as a partnership and doing business in Oregon. Pittsburgh LLC has no involvement in Waldport LLC, which is operated by the other owners. Pittsburgh LLC is not otherwise doing business in Oregon. Pittsburgh LLC doesn't owe the partnership minimum tax. However, Pittsburgh LLC must file a partnership return for Oregon because it has Oregon-source income that flows through to its owners.</w:t>
      </w:r>
    </w:p>
    <w:p w14:paraId="43079E81" w14:textId="77777777" w:rsidR="000000D1" w:rsidRPr="000000D1" w:rsidRDefault="000000D1" w:rsidP="000000D1">
      <w:pPr>
        <w:rPr>
          <w:rFonts w:eastAsia="Calibri" w:cs="Times New Roman"/>
        </w:rPr>
      </w:pPr>
      <w:r w:rsidRPr="000000D1">
        <w:rPr>
          <w:rFonts w:eastAsia="Calibri" w:cs="Times New Roman"/>
        </w:rPr>
        <w:tab/>
      </w:r>
      <w:r w:rsidRPr="000000D1">
        <w:rPr>
          <w:rFonts w:eastAsia="Calibri" w:cs="Times New Roman"/>
          <w:i/>
          <w:iCs/>
        </w:rPr>
        <w:t>Cook v. Oregon Dept. of Rev</w:t>
      </w:r>
      <w:r w:rsidRPr="000000D1">
        <w:rPr>
          <w:rFonts w:eastAsia="Calibri" w:cs="Times New Roman"/>
        </w:rPr>
        <w:t xml:space="preserve">., No. TC 5298 (Or. Tax Ct. Aug. 17, 2018). </w:t>
      </w:r>
    </w:p>
    <w:p w14:paraId="1658A39E" w14:textId="77777777" w:rsidR="000000D1" w:rsidRPr="000000D1" w:rsidRDefault="000000D1" w:rsidP="000000D1">
      <w:pPr>
        <w:ind w:left="1440"/>
        <w:rPr>
          <w:rFonts w:eastAsia="Calibri" w:cs="Times New Roman"/>
        </w:rPr>
      </w:pPr>
      <w:r w:rsidRPr="000000D1">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 . . .</w:t>
      </w:r>
      <w:r w:rsidRPr="000000D1">
        <w:rPr>
          <w:rFonts w:ascii="Open Sans" w:hAnsi="Open Sans" w:cs="Open Sans"/>
          <w:color w:val="333333"/>
          <w:sz w:val="22"/>
          <w:shd w:val="clear" w:color="auto" w:fill="FFFFFF"/>
        </w:rPr>
        <w:t xml:space="preserve"> </w:t>
      </w:r>
      <w:r w:rsidRPr="000000D1">
        <w:rPr>
          <w:rFonts w:eastAsia="Calibri" w:cs="Times New Roman"/>
        </w:rPr>
        <w:t xml:space="preserve"> Nothing in the rule addresses the critical step in the department's method that combines incomes and apportionment factors. In the case of </w:t>
      </w:r>
      <w:r w:rsidRPr="000000D1">
        <w:rPr>
          <w:rFonts w:eastAsia="Calibri" w:cs="Times New Roman"/>
        </w:rPr>
        <w:lastRenderedPageBreak/>
        <w:t>corporate partners, the combination of income and factors from partnerships with other income and factors </w:t>
      </w:r>
      <w:r w:rsidRPr="000000D1">
        <w:rPr>
          <w:rFonts w:eastAsia="Calibri" w:cs="Times New Roman"/>
          <w:b/>
          <w:bCs/>
        </w:rPr>
        <w:t>[*28]</w:t>
      </w:r>
      <w:r w:rsidRPr="000000D1">
        <w:rPr>
          <w:rFonts w:eastAsia="Calibri" w:cs="Times New Roman"/>
        </w:rPr>
        <w:t> occurs, if at all, based on the combination requirements effectively included in </w:t>
      </w:r>
      <w:hyperlink r:id="rId37" w:anchor="jcite" w:history="1">
        <w:r w:rsidRPr="000000D1">
          <w:rPr>
            <w:rFonts w:eastAsia="Calibri" w:cs="Times New Roman"/>
            <w:color w:val="C00000"/>
            <w:u w:val="single"/>
          </w:rPr>
          <w:t>ORS 317.705 to 317.715</w:t>
        </w:r>
      </w:hyperlink>
      <w:r w:rsidRPr="000000D1">
        <w:rPr>
          <w:rFonts w:eastAsia="Calibri" w:cs="Times New Roman"/>
        </w:rPr>
        <w:t>. However, as discussed, such combination requires statutory authority beyond UDITPA and no such statutory authority exists in respect of nonresident individuals . . .</w:t>
      </w:r>
      <w:r w:rsidRPr="000000D1">
        <w:rPr>
          <w:rFonts w:ascii="Open Sans" w:hAnsi="Open Sans" w:cs="Open Sans"/>
          <w:color w:val="333333"/>
          <w:sz w:val="22"/>
          <w:shd w:val="clear" w:color="auto" w:fill="FFFFFF"/>
        </w:rPr>
        <w:t xml:space="preserve"> </w:t>
      </w:r>
      <w:r w:rsidRPr="000000D1">
        <w:rPr>
          <w:rFonts w:eastAsia="Calibri" w:cs="Times New Roman"/>
        </w:rPr>
        <w:t>The 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r w:rsidRPr="000000D1">
        <w:rPr>
          <w:rFonts w:eastAsia="Calibri" w:cs="Times New Roman"/>
        </w:rPr>
        <w:tab/>
      </w:r>
    </w:p>
    <w:p w14:paraId="61899553" w14:textId="77777777" w:rsidR="000000D1" w:rsidRPr="000000D1" w:rsidRDefault="000000D1" w:rsidP="000000D1">
      <w:pPr>
        <w:pBdr>
          <w:bottom w:val="single" w:sz="4" w:space="0" w:color="auto"/>
        </w:pBdr>
        <w:rPr>
          <w:rFonts w:eastAsia="Calibri" w:cs="Times New Roman"/>
        </w:rPr>
      </w:pPr>
    </w:p>
    <w:p w14:paraId="7632827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6" w:name="_Toc195435308"/>
      <w:r w:rsidRPr="000000D1">
        <w:rPr>
          <w:rFonts w:ascii="Californian FB" w:eastAsia="Times New Roman" w:hAnsi="Californian FB" w:cs="Times New Roman"/>
          <w:b/>
          <w:color w:val="851C00"/>
          <w:sz w:val="24"/>
          <w:szCs w:val="24"/>
          <w:u w:val="single"/>
        </w:rPr>
        <w:t>Pennsylvania</w:t>
      </w:r>
      <w:bookmarkEnd w:id="146"/>
    </w:p>
    <w:p w14:paraId="0AC31B78" w14:textId="77777777" w:rsidR="000000D1" w:rsidRPr="000000D1" w:rsidRDefault="000000D1" w:rsidP="000000D1">
      <w:pPr>
        <w:ind w:left="720"/>
        <w:contextualSpacing/>
        <w:rPr>
          <w:rFonts w:eastAsia="Calibri" w:cs="Times New Roman"/>
        </w:rPr>
      </w:pPr>
      <w:r w:rsidRPr="000000D1">
        <w:rPr>
          <w:rFonts w:eastAsia="Calibri" w:cs="Times New Roman"/>
        </w:rPr>
        <w:t xml:space="preserve">72 P.S. § 7402.2(a) </w:t>
      </w:r>
    </w:p>
    <w:p w14:paraId="7A018C27" w14:textId="77777777" w:rsidR="000000D1" w:rsidRPr="000000D1" w:rsidRDefault="000000D1" w:rsidP="000000D1">
      <w:pPr>
        <w:ind w:left="720"/>
        <w:contextualSpacing/>
        <w:rPr>
          <w:rFonts w:eastAsia="Calibri" w:cs="Times New Roman"/>
        </w:rPr>
      </w:pPr>
    </w:p>
    <w:p w14:paraId="286AB1E6" w14:textId="77777777" w:rsidR="000000D1" w:rsidRPr="000000D1" w:rsidRDefault="000000D1" w:rsidP="000000D1">
      <w:pPr>
        <w:ind w:left="1440"/>
        <w:contextualSpacing/>
        <w:rPr>
          <w:rFonts w:eastAsia="Calibri" w:cs="Times New Roman"/>
        </w:rPr>
      </w:pPr>
      <w:r w:rsidRPr="000000D1">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Pr="000000D1">
        <w:rPr>
          <w:rFonts w:eastAsia="Calibri" w:cs="Times New Roman"/>
        </w:rPr>
        <w:tab/>
      </w:r>
    </w:p>
    <w:p w14:paraId="2037969A" w14:textId="77777777" w:rsidR="000000D1" w:rsidRPr="000000D1" w:rsidRDefault="000000D1" w:rsidP="000000D1">
      <w:pPr>
        <w:ind w:left="720"/>
        <w:contextualSpacing/>
        <w:rPr>
          <w:rFonts w:eastAsia="Calibri" w:cs="Times New Roman"/>
        </w:rPr>
      </w:pPr>
    </w:p>
    <w:p w14:paraId="0F9967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61 Pa. Code § 153.29 </w:t>
      </w:r>
    </w:p>
    <w:p w14:paraId="0B30768D" w14:textId="77777777" w:rsidR="000000D1" w:rsidRPr="000000D1" w:rsidRDefault="000000D1" w:rsidP="000000D1">
      <w:pPr>
        <w:contextualSpacing/>
        <w:rPr>
          <w:rFonts w:eastAsia="Calibri" w:cs="Times New Roman"/>
        </w:rPr>
      </w:pPr>
    </w:p>
    <w:p w14:paraId="5D40A67C" w14:textId="77777777" w:rsidR="000000D1" w:rsidRPr="000000D1" w:rsidRDefault="000000D1" w:rsidP="000000D1">
      <w:pPr>
        <w:ind w:left="1440"/>
        <w:rPr>
          <w:rFonts w:eastAsia="Calibri" w:cs="Times New Roman"/>
        </w:rPr>
      </w:pPr>
      <w:r w:rsidRPr="000000D1">
        <w:rPr>
          <w:rFonts w:eastAsia="Calibri" w:cs="Times New Roman"/>
        </w:rPr>
        <w:t>(a)(1) 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143FC3C8" w14:textId="77777777" w:rsidR="000000D1" w:rsidRPr="000000D1" w:rsidRDefault="000000D1" w:rsidP="000000D1">
      <w:pPr>
        <w:ind w:left="1440"/>
        <w:rPr>
          <w:rFonts w:eastAsia="Calibri" w:cs="Times New Roman"/>
        </w:rPr>
      </w:pPr>
      <w:r w:rsidRPr="000000D1">
        <w:rPr>
          <w:rFonts w:eastAsia="Calibri" w:cs="Times New Roman"/>
        </w:rPr>
        <w:t>(a)(2) A taxpayer's partnership interest for the purpose of computing the portion of the partnership's property, payroll and sales to be included in the taxpayer's property, payroll and sales factors shall be determined under the partnership agreement and in accordance with the IRC.</w:t>
      </w:r>
    </w:p>
    <w:p w14:paraId="6D46963C" w14:textId="77777777" w:rsidR="000000D1" w:rsidRPr="000000D1" w:rsidRDefault="000000D1" w:rsidP="000000D1">
      <w:pPr>
        <w:ind w:left="1440"/>
        <w:rPr>
          <w:rFonts w:eastAsia="Calibri" w:cs="Times New Roman"/>
        </w:rPr>
      </w:pPr>
      <w:r w:rsidRPr="000000D1">
        <w:rPr>
          <w:rFonts w:eastAsia="Calibri" w:cs="Times New Roman"/>
        </w:rPr>
        <w:t>(b)(1) 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7FE800C" w14:textId="77777777" w:rsidR="000000D1" w:rsidRPr="000000D1" w:rsidRDefault="000000D1" w:rsidP="000000D1">
      <w:pPr>
        <w:ind w:left="1440"/>
        <w:rPr>
          <w:rFonts w:eastAsia="Calibri" w:cs="Times New Roman"/>
        </w:rPr>
      </w:pPr>
      <w:r w:rsidRPr="000000D1">
        <w:rPr>
          <w:rFonts w:eastAsia="Calibri" w:cs="Times New Roman"/>
        </w:rPr>
        <w:t>(b)(2) If the separate activities of the taxpayer or the activities of the partnership are sufficient to constitute transacting business outside this Commonwealth and render the taxpayer taxable to another state under section 401(3)2.(a)(2) and (3) of the TRC (72 P.S. § 7401(3)2.(a)(2) and (3)), then the taxpayer will be allowed to apportion and allocate its income.</w:t>
      </w:r>
    </w:p>
    <w:p w14:paraId="098316C4" w14:textId="77777777" w:rsidR="000000D1" w:rsidRPr="000000D1" w:rsidRDefault="000000D1" w:rsidP="000000D1">
      <w:pPr>
        <w:ind w:left="1440"/>
        <w:rPr>
          <w:rFonts w:eastAsia="Calibri" w:cs="Times New Roman"/>
        </w:rPr>
      </w:pPr>
      <w:r w:rsidRPr="000000D1">
        <w:rPr>
          <w:rFonts w:eastAsia="Calibri" w:cs="Times New Roman"/>
        </w:rPr>
        <w:t>(c)(1) 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50D1ED8" w14:textId="77777777" w:rsidR="000000D1" w:rsidRPr="000000D1" w:rsidRDefault="000000D1" w:rsidP="000000D1">
      <w:pPr>
        <w:ind w:left="1440"/>
        <w:rPr>
          <w:rFonts w:eastAsia="Calibri" w:cs="Times New Roman"/>
        </w:rPr>
      </w:pPr>
      <w:r w:rsidRPr="000000D1">
        <w:rPr>
          <w:rFonts w:eastAsia="Calibri" w:cs="Times New Roman"/>
        </w:rPr>
        <w:lastRenderedPageBreak/>
        <w:t>(c)(2) The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business of the corporate partner, not of the partnership, as determined by paragraph (1).</w:t>
      </w:r>
    </w:p>
    <w:p w14:paraId="6364FC70" w14:textId="77777777" w:rsidR="000000D1" w:rsidRPr="000000D1" w:rsidRDefault="000000D1" w:rsidP="000000D1">
      <w:pPr>
        <w:ind w:left="1440"/>
        <w:rPr>
          <w:rFonts w:eastAsia="Calibri" w:cs="Times New Roman"/>
        </w:rPr>
      </w:pPr>
      <w:r w:rsidRPr="000000D1">
        <w:rPr>
          <w:rFonts w:eastAsia="Calibri" w:cs="Times New Roman"/>
        </w:rPr>
        <w:t>(d) 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 . .</w:t>
      </w:r>
    </w:p>
    <w:p w14:paraId="343548D4" w14:textId="77777777" w:rsidR="000000D1" w:rsidRPr="000000D1" w:rsidRDefault="000000D1" w:rsidP="000000D1">
      <w:pPr>
        <w:ind w:left="720"/>
        <w:contextualSpacing/>
        <w:rPr>
          <w:rFonts w:eastAsia="Calibri" w:cs="Times New Roman"/>
        </w:rPr>
      </w:pPr>
      <w:r w:rsidRPr="000000D1">
        <w:rPr>
          <w:rFonts w:eastAsia="Calibri" w:cs="Times New Roman"/>
        </w:rPr>
        <w:t>61 Pa. Code § 109.5(a)</w:t>
      </w:r>
    </w:p>
    <w:p w14:paraId="7B37B551" w14:textId="77777777" w:rsidR="000000D1" w:rsidRPr="000000D1" w:rsidRDefault="000000D1" w:rsidP="000000D1">
      <w:pPr>
        <w:contextualSpacing/>
        <w:rPr>
          <w:rFonts w:eastAsia="Calibri" w:cs="Times New Roman"/>
        </w:rPr>
      </w:pPr>
    </w:p>
    <w:p w14:paraId="2333EF7F" w14:textId="77777777" w:rsidR="000000D1" w:rsidRPr="000000D1" w:rsidRDefault="000000D1" w:rsidP="000000D1">
      <w:pPr>
        <w:ind w:left="1440"/>
        <w:rPr>
          <w:rFonts w:eastAsia="Calibri" w:cs="Times New Roman"/>
        </w:rPr>
      </w:pPr>
      <w:r w:rsidRPr="000000D1">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p>
    <w:p w14:paraId="1A779369" w14:textId="77777777" w:rsidR="000000D1" w:rsidRPr="000000D1" w:rsidRDefault="000000D1" w:rsidP="000000D1">
      <w:pPr>
        <w:ind w:left="720"/>
        <w:contextualSpacing/>
        <w:rPr>
          <w:rFonts w:eastAsia="Calibri" w:cs="Times New Roman"/>
          <w:i/>
          <w:iCs/>
        </w:rPr>
      </w:pPr>
      <w:r w:rsidRPr="000000D1">
        <w:rPr>
          <w:rFonts w:eastAsia="Calibri" w:cs="Times New Roman"/>
          <w:i/>
          <w:iCs/>
        </w:rPr>
        <w:t>IN RE: Global Equity Shareholder</w:t>
      </w:r>
      <w:r w:rsidRPr="000000D1">
        <w:rPr>
          <w:rFonts w:eastAsia="Calibri" w:cs="Times New Roman"/>
        </w:rPr>
        <w:t xml:space="preserve">, Pennsylvania Board of Finance and Revenue Decision No. 1617207 (April 9, 2021) </w:t>
      </w:r>
    </w:p>
    <w:p w14:paraId="785EE66D" w14:textId="77777777" w:rsidR="000000D1" w:rsidRPr="000000D1" w:rsidRDefault="000000D1" w:rsidP="000000D1">
      <w:pPr>
        <w:ind w:left="720"/>
        <w:contextualSpacing/>
        <w:rPr>
          <w:rFonts w:eastAsia="Calibri" w:cs="Times New Roman"/>
          <w:i/>
          <w:iCs/>
        </w:rPr>
      </w:pPr>
    </w:p>
    <w:p w14:paraId="6BBAE825" w14:textId="77777777" w:rsidR="000000D1" w:rsidRPr="000000D1" w:rsidRDefault="000000D1" w:rsidP="000000D1">
      <w:pPr>
        <w:ind w:left="1440"/>
        <w:rPr>
          <w:rFonts w:eastAsia="Calibri"/>
        </w:rPr>
      </w:pPr>
      <w:r w:rsidRPr="000000D1">
        <w:rPr>
          <w:rFonts w:eastAsia="Calibri" w:cs="Times New Roman"/>
        </w:rPr>
        <w:t>“</w:t>
      </w:r>
      <w:r w:rsidRPr="000000D1">
        <w:rPr>
          <w:rFonts w:eastAsia="Calibri"/>
        </w:rPr>
        <w:t>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publicly traded pass-through partnerships that do business in Pennsylvania is minimal but it is unable to obtain Pennsylvania-related property and payroll factors.</w:t>
      </w:r>
    </w:p>
    <w:p w14:paraId="7C68B9B7" w14:textId="77777777" w:rsidR="000000D1" w:rsidRPr="000000D1" w:rsidRDefault="000000D1" w:rsidP="000000D1">
      <w:pPr>
        <w:ind w:left="1440"/>
        <w:rPr>
          <w:rFonts w:eastAsia="Calibri" w:cs="Times New Roman"/>
          <w:b/>
          <w:bCs/>
        </w:rPr>
      </w:pPr>
      <w:r w:rsidRPr="000000D1">
        <w:rPr>
          <w:rFonts w:eastAsia="Calibri" w:cs="Times New Roman"/>
          <w:b/>
          <w:bCs/>
        </w:rPr>
        <w:t>Conclusion</w:t>
      </w:r>
    </w:p>
    <w:p w14:paraId="58A99F6F" w14:textId="77777777" w:rsidR="000000D1" w:rsidRPr="000000D1" w:rsidRDefault="000000D1" w:rsidP="000000D1">
      <w:pPr>
        <w:ind w:left="1440"/>
        <w:rPr>
          <w:rFonts w:eastAsia="Calibri" w:cs="Times New Roman"/>
        </w:rPr>
      </w:pPr>
      <w:r w:rsidRPr="000000D1">
        <w:rPr>
          <w:rFonts w:eastAsia="Calibri" w:cs="Times New Roman"/>
        </w:rPr>
        <w:t>Petitioner's request for relied is denied because Petitioner failed to meet its burden of proof pursuant to 72 P.S. § 9705.</w:t>
      </w:r>
    </w:p>
    <w:p w14:paraId="7E564C33" w14:textId="77777777" w:rsidR="000000D1" w:rsidRPr="000000D1" w:rsidRDefault="000000D1" w:rsidP="000000D1">
      <w:pPr>
        <w:ind w:left="1440"/>
        <w:rPr>
          <w:rFonts w:eastAsia="Calibri" w:cs="Times New Roman"/>
        </w:rPr>
      </w:pPr>
      <w:r w:rsidRPr="000000D1">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0000D1">
        <w:rPr>
          <w:rFonts w:eastAsia="Calibri" w:cs="Times New Roman"/>
          <w:i/>
          <w:iCs/>
        </w:rPr>
        <w:t>See</w:t>
      </w:r>
      <w:r w:rsidRPr="000000D1">
        <w:rPr>
          <w:rFonts w:eastAsia="Calibri" w:cs="Times New Roman"/>
        </w:rPr>
        <w:t> </w:t>
      </w:r>
      <w:hyperlink r:id="rId38" w:anchor="jcite" w:history="1">
        <w:r w:rsidRPr="000000D1">
          <w:rPr>
            <w:rFonts w:eastAsia="Calibri" w:cs="Times New Roman"/>
          </w:rPr>
          <w:t>72 P.S. § 7401 (3)</w:t>
        </w:r>
      </w:hyperlink>
      <w:r w:rsidRPr="000000D1">
        <w:rPr>
          <w:rFonts w:eastAsia="Calibri" w:cs="Times New Roman"/>
        </w:rPr>
        <w:t>(2.(a)(2)-(3); </w:t>
      </w:r>
      <w:hyperlink r:id="rId39" w:anchor="jcite" w:history="1">
        <w:r w:rsidRPr="000000D1">
          <w:rPr>
            <w:rFonts w:eastAsia="Calibri" w:cs="Times New Roman"/>
          </w:rPr>
          <w:t>61 Pa. Code § 109.5</w:t>
        </w:r>
      </w:hyperlink>
      <w:r w:rsidRPr="000000D1">
        <w:rPr>
          <w:rFonts w:eastAsia="Calibri" w:cs="Times New Roman"/>
        </w:rPr>
        <w:t>. Corporations having income from business activity within and without the state are entitled to use three-factor apportionment. </w:t>
      </w:r>
      <w:r w:rsidRPr="000000D1">
        <w:rPr>
          <w:rFonts w:eastAsia="Calibri" w:cs="Times New Roman"/>
          <w:i/>
          <w:iCs/>
        </w:rPr>
        <w:t>Id.</w:t>
      </w:r>
    </w:p>
    <w:p w14:paraId="4FB6296D" w14:textId="77777777" w:rsidR="000000D1" w:rsidRPr="000000D1" w:rsidRDefault="000000D1" w:rsidP="000000D1">
      <w:pPr>
        <w:ind w:left="1440"/>
        <w:rPr>
          <w:rFonts w:eastAsia="Calibri" w:cs="Times New Roman"/>
        </w:rPr>
      </w:pPr>
      <w:r w:rsidRPr="000000D1">
        <w:rPr>
          <w:rFonts w:eastAsia="Calibri" w:cs="Times New Roman"/>
        </w:rPr>
        <w:t>When a taxpayer has an interest in a partnership, joint venture, association or other unincorporated enterprise the interest in the partnership shall be considered a direct interest in the assets of the partnership rather than an intangible interest. </w:t>
      </w:r>
      <w:r w:rsidRPr="000000D1">
        <w:rPr>
          <w:rFonts w:eastAsia="Calibri" w:cs="Times New Roman"/>
          <w:i/>
          <w:iCs/>
        </w:rPr>
        <w:t>See</w:t>
      </w:r>
      <w:r w:rsidRPr="000000D1">
        <w:rPr>
          <w:rFonts w:eastAsia="Calibri" w:cs="Times New Roman"/>
        </w:rPr>
        <w:t> </w:t>
      </w:r>
      <w:hyperlink r:id="rId40" w:anchor="jcite" w:history="1">
        <w:r w:rsidRPr="000000D1">
          <w:rPr>
            <w:rFonts w:eastAsia="Calibri" w:cs="Times New Roman"/>
          </w:rPr>
          <w:t>72 P.S. § 7602.6</w:t>
        </w:r>
      </w:hyperlink>
      <w:r w:rsidRPr="000000D1">
        <w:rPr>
          <w:rFonts w:eastAsia="Calibri" w:cs="Times New Roman"/>
        </w:rPr>
        <w:t>; </w:t>
      </w:r>
      <w:hyperlink r:id="rId41" w:anchor="jcite" w:history="1">
        <w:r w:rsidRPr="000000D1">
          <w:rPr>
            <w:rFonts w:eastAsia="Calibri" w:cs="Times New Roman"/>
          </w:rPr>
          <w:t>61 Pa. Code § 153.29</w:t>
        </w:r>
      </w:hyperlink>
      <w:r w:rsidRPr="000000D1">
        <w:rPr>
          <w:rFonts w:eastAsia="Calibri" w:cs="Times New Roman"/>
        </w:rPr>
        <w:t>. Accordingly, the taxpayer's share of the partnership's payroll, property, and sales shall be included in the apportionment factors of the taxpayers. </w:t>
      </w:r>
      <w:r w:rsidRPr="000000D1">
        <w:rPr>
          <w:rFonts w:eastAsia="Calibri" w:cs="Times New Roman"/>
          <w:i/>
          <w:iCs/>
        </w:rPr>
        <w:t>Id.</w:t>
      </w:r>
    </w:p>
    <w:p w14:paraId="1A601FD4" w14:textId="77777777" w:rsidR="000000D1" w:rsidRPr="000000D1" w:rsidRDefault="000000D1" w:rsidP="000000D1">
      <w:pPr>
        <w:ind w:left="1440"/>
        <w:rPr>
          <w:rFonts w:eastAsia="Calibri" w:cs="Times New Roman"/>
        </w:rPr>
      </w:pPr>
      <w:r w:rsidRPr="000000D1">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42" w:anchor="jcite" w:history="1">
        <w:r w:rsidRPr="000000D1">
          <w:rPr>
            <w:rFonts w:eastAsia="Calibri" w:cs="Times New Roman"/>
          </w:rPr>
          <w:t>72 P.S. § 9705</w:t>
        </w:r>
      </w:hyperlink>
      <w:r w:rsidRPr="000000D1">
        <w:rPr>
          <w:rFonts w:eastAsia="Calibri" w:cs="Times New Roman"/>
        </w:rPr>
        <w:t xml:space="preserve">. Petitioner has not submitted the proportionate share of the property, payroll, and sales factors of all of its investee </w:t>
      </w:r>
      <w:r w:rsidRPr="000000D1">
        <w:rPr>
          <w:rFonts w:eastAsia="Calibri" w:cs="Times New Roman"/>
        </w:rPr>
        <w:lastRenderedPageBreak/>
        <w:t>partnerships in which it has an ownership interest. Therefore, there is not sufficient evidence to grant this claim.”</w:t>
      </w:r>
    </w:p>
    <w:p w14:paraId="74B1CAB3" w14:textId="77777777" w:rsidR="000000D1" w:rsidRPr="000000D1" w:rsidRDefault="000000D1" w:rsidP="000000D1">
      <w:pPr>
        <w:ind w:left="720"/>
        <w:contextualSpacing/>
        <w:rPr>
          <w:rFonts w:eastAsia="Calibri" w:cs="Times New Roman"/>
          <w:i/>
          <w:iCs/>
        </w:rPr>
      </w:pPr>
      <w:r w:rsidRPr="000000D1">
        <w:rPr>
          <w:rFonts w:eastAsia="Calibri" w:cs="Times New Roman"/>
          <w:i/>
          <w:iCs/>
        </w:rPr>
        <w:t>IN RE: Starfire Holding Corporation</w:t>
      </w:r>
      <w:r w:rsidRPr="000000D1">
        <w:rPr>
          <w:rFonts w:eastAsia="Calibri" w:cs="Times New Roman"/>
        </w:rPr>
        <w:t xml:space="preserve">, Pennsylvania Board of Finance and Revenue Decision No. 2004864 (April 9, 2021) </w:t>
      </w:r>
    </w:p>
    <w:p w14:paraId="63BA2831" w14:textId="77777777" w:rsidR="000000D1" w:rsidRPr="000000D1" w:rsidRDefault="000000D1" w:rsidP="000000D1">
      <w:pPr>
        <w:ind w:left="720"/>
        <w:contextualSpacing/>
        <w:rPr>
          <w:rFonts w:eastAsia="Calibri" w:cs="Times New Roman"/>
          <w:i/>
          <w:iCs/>
        </w:rPr>
      </w:pPr>
    </w:p>
    <w:p w14:paraId="77A4C0AE" w14:textId="7B25FC0D" w:rsidR="000000D1" w:rsidRPr="000000D1" w:rsidRDefault="000000D1" w:rsidP="000000D1">
      <w:pPr>
        <w:ind w:left="1440"/>
        <w:contextualSpacing/>
        <w:rPr>
          <w:rFonts w:eastAsia="Calibri" w:cs="Times New Roman"/>
        </w:rPr>
      </w:pPr>
      <w:r w:rsidRPr="000000D1">
        <w:rPr>
          <w:rFonts w:eastAsia="Calibri" w:cs="Times New Roman"/>
        </w:rPr>
        <w:t>“Petitioner's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Commw.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Ross-Araco Corp. v. Com., 165 Pa. Commw.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0000D1">
        <w:rPr>
          <w:rFonts w:eastAsia="Calibri" w:cs="Times New Roman"/>
          <w:i/>
          <w:iCs/>
        </w:rPr>
        <w:t>.</w:t>
      </w:r>
    </w:p>
    <w:p w14:paraId="0680CE19" w14:textId="77777777" w:rsidR="000000D1" w:rsidRPr="000000D1" w:rsidRDefault="000000D1" w:rsidP="000000D1">
      <w:pPr>
        <w:ind w:left="1440"/>
        <w:contextualSpacing/>
        <w:rPr>
          <w:rFonts w:eastAsia="Calibri" w:cs="Times New Roman"/>
        </w:rPr>
      </w:pPr>
    </w:p>
    <w:p w14:paraId="166F445D" w14:textId="77777777" w:rsidR="000000D1" w:rsidRPr="000000D1" w:rsidRDefault="000000D1" w:rsidP="000000D1">
      <w:pPr>
        <w:ind w:left="1440"/>
        <w:contextualSpacing/>
        <w:rPr>
          <w:rFonts w:eastAsia="Calibri" w:cs="Times New Roman"/>
        </w:rPr>
      </w:pPr>
      <w:r w:rsidRPr="000000D1">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459E6EDD" w14:textId="77777777" w:rsidR="000000D1" w:rsidRPr="000000D1" w:rsidRDefault="000000D1" w:rsidP="000000D1">
      <w:pPr>
        <w:ind w:left="1440"/>
        <w:contextualSpacing/>
        <w:rPr>
          <w:rFonts w:eastAsia="Calibri" w:cs="Times New Roman"/>
        </w:rPr>
      </w:pPr>
    </w:p>
    <w:p w14:paraId="6A0FEE46" w14:textId="77777777" w:rsidR="000000D1" w:rsidRPr="000000D1" w:rsidRDefault="000000D1" w:rsidP="000000D1">
      <w:pPr>
        <w:ind w:left="1440"/>
        <w:contextualSpacing/>
        <w:rPr>
          <w:rFonts w:eastAsia="Calibri" w:cs="Times New Roman"/>
        </w:rPr>
      </w:pPr>
      <w:r w:rsidRPr="000000D1">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p>
    <w:p w14:paraId="0034D30B" w14:textId="77777777" w:rsidR="000000D1" w:rsidRPr="000000D1" w:rsidRDefault="000000D1" w:rsidP="000000D1">
      <w:pPr>
        <w:ind w:left="1440"/>
        <w:contextualSpacing/>
        <w:rPr>
          <w:rFonts w:eastAsia="Calibri" w:cs="Times New Roman"/>
        </w:rPr>
      </w:pPr>
    </w:p>
    <w:p w14:paraId="0590F7C9" w14:textId="77777777" w:rsidR="000000D1" w:rsidRPr="000000D1" w:rsidRDefault="000000D1" w:rsidP="000000D1">
      <w:pPr>
        <w:ind w:left="720"/>
        <w:contextualSpacing/>
        <w:rPr>
          <w:rFonts w:eastAsia="Calibri" w:cs="Times New Roman"/>
        </w:rPr>
      </w:pPr>
      <w:r w:rsidRPr="000000D1">
        <w:rPr>
          <w:rFonts w:eastAsia="Calibri" w:cs="Times New Roman"/>
          <w:i/>
          <w:iCs/>
        </w:rPr>
        <w:t>IN RE: New SR Capital Associates LLC</w:t>
      </w:r>
      <w:r w:rsidRPr="000000D1">
        <w:rPr>
          <w:rFonts w:eastAsia="Calibri" w:cs="Times New Roman"/>
        </w:rPr>
        <w:t xml:space="preserve">, Pennsylvania Board of Finance and Revenue Decision No. 1513962 (July 13, 2016) </w:t>
      </w:r>
    </w:p>
    <w:p w14:paraId="257E82A2" w14:textId="77777777" w:rsidR="000000D1" w:rsidRPr="000000D1" w:rsidRDefault="000000D1" w:rsidP="000000D1">
      <w:pPr>
        <w:contextualSpacing/>
        <w:rPr>
          <w:rFonts w:eastAsia="Calibri" w:cs="Times New Roman"/>
        </w:rPr>
      </w:pPr>
    </w:p>
    <w:p w14:paraId="016653F0" w14:textId="77777777" w:rsidR="000000D1" w:rsidRPr="000000D1" w:rsidRDefault="000000D1" w:rsidP="000000D1">
      <w:pPr>
        <w:ind w:left="1440"/>
        <w:rPr>
          <w:rFonts w:eastAsia="Calibri" w:cs="Times New Roman"/>
        </w:rPr>
      </w:pPr>
      <w:r w:rsidRPr="000000D1">
        <w:rPr>
          <w:rFonts w:eastAsia="Calibri" w:cs="Times New Roman"/>
        </w:rPr>
        <w:t xml:space="preserve">The Petitioner held an interest in more than 150 tiered partnerships or limited liability companies. Five of those entities had Pennsylvania-sourced income. Petitioner appealed the assessment to the Board of Appeals 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argued, it properly reported its apportionment. </w:t>
      </w:r>
    </w:p>
    <w:p w14:paraId="4DAECBA2" w14:textId="77777777" w:rsidR="000000D1" w:rsidRPr="000000D1" w:rsidRDefault="000000D1" w:rsidP="000000D1">
      <w:pPr>
        <w:ind w:left="1440"/>
        <w:rPr>
          <w:rFonts w:eastAsia="Calibri" w:cs="Times New Roman"/>
        </w:rPr>
      </w:pPr>
      <w:r w:rsidRPr="000000D1">
        <w:rPr>
          <w:rFonts w:eastAsia="Calibri" w:cs="Times New Roman"/>
        </w:rPr>
        <w:lastRenderedPageBreak/>
        <w:t>The Board ruled “[i]n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p>
    <w:p w14:paraId="45C6D2D7" w14:textId="77777777" w:rsidR="000000D1" w:rsidRPr="000000D1" w:rsidRDefault="000000D1" w:rsidP="000000D1">
      <w:pPr>
        <w:ind w:left="720"/>
        <w:contextualSpacing/>
        <w:rPr>
          <w:rFonts w:eastAsia="Calibri" w:cs="Times New Roman"/>
          <w:i/>
          <w:iCs/>
        </w:rPr>
      </w:pPr>
      <w:hyperlink r:id="rId43" w:history="1">
        <w:r w:rsidRPr="000000D1">
          <w:rPr>
            <w:rFonts w:eastAsia="Calibri" w:cs="Times New Roman"/>
            <w:u w:val="single"/>
          </w:rPr>
          <w:t>Pennsylvania Personal Income Tax Guide – Pass Through Entities</w:t>
        </w:r>
      </w:hyperlink>
      <w:r w:rsidRPr="000000D1">
        <w:rPr>
          <w:rFonts w:eastAsia="Calibri" w:cs="Times New Roman"/>
        </w:rPr>
        <w:t xml:space="preserve"> </w:t>
      </w:r>
    </w:p>
    <w:p w14:paraId="77936CA7" w14:textId="77777777" w:rsidR="000000D1" w:rsidRPr="000000D1" w:rsidRDefault="000000D1" w:rsidP="000000D1">
      <w:pPr>
        <w:contextualSpacing/>
        <w:rPr>
          <w:rFonts w:eastAsia="Calibri" w:cs="Times New Roman"/>
        </w:rPr>
      </w:pPr>
    </w:p>
    <w:p w14:paraId="6DBC27BE" w14:textId="77777777" w:rsidR="000000D1" w:rsidRPr="000000D1" w:rsidRDefault="000000D1" w:rsidP="000000D1">
      <w:pPr>
        <w:ind w:left="1440"/>
        <w:rPr>
          <w:rFonts w:eastAsia="Calibri" w:cs="Times New Roman"/>
        </w:rPr>
      </w:pPr>
      <w:r w:rsidRPr="000000D1">
        <w:rPr>
          <w:rFonts w:eastAsia="Calibri" w:cs="Times New Roman"/>
        </w:rPr>
        <w:t>§ 704(b) Special allocations with substantial economic effect. Pennsylvania follows federal treatment.</w:t>
      </w:r>
    </w:p>
    <w:p w14:paraId="664DA593" w14:textId="77777777" w:rsidR="000000D1" w:rsidRPr="000000D1" w:rsidRDefault="000000D1" w:rsidP="000000D1">
      <w:pPr>
        <w:ind w:left="1440"/>
        <w:rPr>
          <w:rFonts w:eastAsia="Calibri" w:cs="Times New Roman"/>
        </w:rPr>
      </w:pPr>
      <w:r w:rsidRPr="000000D1">
        <w:rPr>
          <w:rFonts w:eastAsia="Calibri" w:cs="Times New Roman"/>
        </w:rPr>
        <w:t>§ 704(c) Allocations with respect to pre-contribution gain inherent in contributed assets. Pennsylvania follows federal treatment.</w:t>
      </w:r>
    </w:p>
    <w:p w14:paraId="4BD5D47D" w14:textId="77777777" w:rsidR="000000D1" w:rsidRPr="000000D1" w:rsidRDefault="000000D1" w:rsidP="000000D1">
      <w:pPr>
        <w:pBdr>
          <w:bottom w:val="single" w:sz="4" w:space="0" w:color="auto"/>
        </w:pBdr>
        <w:rPr>
          <w:rFonts w:eastAsia="Calibri" w:cs="Times New Roman"/>
        </w:rPr>
      </w:pPr>
    </w:p>
    <w:p w14:paraId="6545A25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7" w:name="_Toc195435309"/>
      <w:r w:rsidRPr="000000D1">
        <w:rPr>
          <w:rFonts w:ascii="Californian FB" w:eastAsia="Times New Roman" w:hAnsi="Californian FB" w:cs="Times New Roman"/>
          <w:b/>
          <w:color w:val="851C00"/>
          <w:sz w:val="24"/>
          <w:szCs w:val="24"/>
          <w:u w:val="single"/>
        </w:rPr>
        <w:t>Rhode Island</w:t>
      </w:r>
      <w:bookmarkEnd w:id="147"/>
      <w:r w:rsidRPr="000000D1">
        <w:rPr>
          <w:rFonts w:ascii="Californian FB" w:eastAsia="Times New Roman" w:hAnsi="Californian FB" w:cs="Times New Roman"/>
          <w:b/>
          <w:color w:val="851C00"/>
          <w:sz w:val="24"/>
          <w:szCs w:val="24"/>
          <w:u w:val="single"/>
        </w:rPr>
        <w:t xml:space="preserve"> </w:t>
      </w:r>
    </w:p>
    <w:p w14:paraId="3B70CE46"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R.I. Gen. Laws § 44-30-15(a) </w:t>
      </w:r>
    </w:p>
    <w:p w14:paraId="71A62CE4" w14:textId="77777777" w:rsidR="000000D1" w:rsidRPr="000000D1" w:rsidRDefault="000000D1" w:rsidP="000000D1">
      <w:pPr>
        <w:contextualSpacing/>
        <w:rPr>
          <w:rFonts w:eastAsia="Calibri" w:cs="Times New Roman"/>
        </w:rPr>
      </w:pPr>
    </w:p>
    <w:p w14:paraId="0F152263" w14:textId="77777777" w:rsidR="000000D1" w:rsidRPr="000000D1" w:rsidRDefault="000000D1" w:rsidP="000000D1">
      <w:pPr>
        <w:ind w:left="1440"/>
        <w:contextualSpacing/>
        <w:rPr>
          <w:rFonts w:eastAsia="Calibri" w:cs="Times New Roman"/>
        </w:rPr>
      </w:pPr>
      <w:r w:rsidRPr="000000D1">
        <w:rPr>
          <w:rFonts w:eastAsia="Calibri" w:cs="Times New Roman"/>
        </w:rPr>
        <w:t>Partners’ modifications. In determining Rhode Island income of a resident partner, any modification described in subsection (b), (c), or (d) of § 44-30-12, which related to an item of partnership income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the item shall be determined in accordance with his distributive share for federal income tax purposes of partnership taxable income or loss generally.</w:t>
      </w:r>
    </w:p>
    <w:p w14:paraId="38D4F7AC" w14:textId="77777777" w:rsidR="000000D1" w:rsidRPr="000000D1" w:rsidRDefault="000000D1" w:rsidP="000000D1">
      <w:pPr>
        <w:ind w:left="720"/>
        <w:contextualSpacing/>
        <w:rPr>
          <w:rFonts w:eastAsia="Calibri" w:cs="Times New Roman"/>
        </w:rPr>
      </w:pPr>
    </w:p>
    <w:p w14:paraId="5D2E54CE" w14:textId="77777777" w:rsidR="000000D1" w:rsidRPr="000000D1" w:rsidRDefault="000000D1" w:rsidP="000000D1">
      <w:pPr>
        <w:ind w:left="720"/>
        <w:contextualSpacing/>
        <w:rPr>
          <w:rFonts w:eastAsia="Calibri" w:cs="Times New Roman"/>
          <w:i/>
          <w:iCs/>
        </w:rPr>
      </w:pPr>
      <w:r w:rsidRPr="000000D1">
        <w:rPr>
          <w:rFonts w:eastAsia="Calibri" w:cs="Times New Roman"/>
        </w:rPr>
        <w:t>R.I. Gen. Laws § 44-30-15(b)</w:t>
      </w:r>
    </w:p>
    <w:p w14:paraId="55783C13" w14:textId="77777777" w:rsidR="000000D1" w:rsidRPr="000000D1" w:rsidRDefault="000000D1" w:rsidP="000000D1">
      <w:pPr>
        <w:contextualSpacing/>
        <w:rPr>
          <w:rFonts w:eastAsia="Calibri" w:cs="Times New Roman"/>
        </w:rPr>
      </w:pPr>
    </w:p>
    <w:p w14:paraId="00A58B8F" w14:textId="77777777" w:rsidR="000000D1" w:rsidRPr="000000D1" w:rsidRDefault="000000D1" w:rsidP="000000D1">
      <w:pPr>
        <w:ind w:left="1440"/>
        <w:rPr>
          <w:rFonts w:eastAsia="Calibri" w:cs="Times New Roman"/>
        </w:rPr>
      </w:pPr>
      <w:r w:rsidRPr="000000D1">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69E79A94" w14:textId="77777777" w:rsidR="000000D1" w:rsidRPr="000000D1" w:rsidRDefault="000000D1" w:rsidP="000000D1">
      <w:pPr>
        <w:ind w:left="720"/>
        <w:contextualSpacing/>
        <w:rPr>
          <w:rFonts w:eastAsia="Calibri" w:cs="Times New Roman"/>
          <w:i/>
          <w:iCs/>
        </w:rPr>
      </w:pPr>
      <w:r w:rsidRPr="000000D1">
        <w:rPr>
          <w:rFonts w:eastAsia="Calibri" w:cs="Times New Roman"/>
        </w:rPr>
        <w:t>R.I. Gen. Laws § 44-30-15(c)</w:t>
      </w:r>
    </w:p>
    <w:p w14:paraId="7522115B" w14:textId="77777777" w:rsidR="000000D1" w:rsidRPr="000000D1" w:rsidRDefault="000000D1" w:rsidP="000000D1">
      <w:pPr>
        <w:contextualSpacing/>
        <w:rPr>
          <w:rFonts w:eastAsia="Calibri" w:cs="Times New Roman"/>
        </w:rPr>
      </w:pPr>
    </w:p>
    <w:p w14:paraId="3700C373" w14:textId="77777777" w:rsidR="000000D1" w:rsidRPr="000000D1" w:rsidRDefault="000000D1" w:rsidP="000000D1">
      <w:pPr>
        <w:ind w:left="1440"/>
        <w:rPr>
          <w:rFonts w:eastAsia="Calibri" w:cs="Times New Roman"/>
        </w:rPr>
      </w:pPr>
      <w:r w:rsidRPr="000000D1">
        <w:rPr>
          <w:rFonts w:eastAsia="Calibri" w:cs="Times New Roman"/>
        </w:rPr>
        <w:t>Where an owner's distributive shares of an item of pass-through entity income, gain, loss or deduction is determined for federal income tax purposes by special provision in the pass-through entity agreement with respect to such item, and where the principal purpose of such provision is the avoidance or evasion of tax under this chapter, the owner's distributive share of such item, and any modification required with respect thereto, shall be determined as if the pass-through entity agreement made no special provision with respect to such item.</w:t>
      </w:r>
    </w:p>
    <w:p w14:paraId="3356E221"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44-30-34(a) </w:t>
      </w:r>
    </w:p>
    <w:p w14:paraId="272DCD2E" w14:textId="77777777" w:rsidR="000000D1" w:rsidRPr="000000D1" w:rsidRDefault="000000D1" w:rsidP="000000D1">
      <w:pPr>
        <w:contextualSpacing/>
        <w:rPr>
          <w:rFonts w:eastAsia="Calibri" w:cs="Times New Roman"/>
        </w:rPr>
      </w:pPr>
    </w:p>
    <w:p w14:paraId="2325123D" w14:textId="77777777" w:rsidR="000000D1" w:rsidRPr="000000D1" w:rsidRDefault="000000D1" w:rsidP="000000D1">
      <w:pPr>
        <w:ind w:left="1440"/>
        <w:rPr>
          <w:rFonts w:eastAsia="Calibri" w:cs="Times New Roman"/>
        </w:rPr>
      </w:pPr>
      <w:r w:rsidRPr="000000D1">
        <w:rPr>
          <w:rFonts w:eastAsia="Calibri" w:cs="Times New Roman"/>
        </w:rPr>
        <w:lastRenderedPageBreak/>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60396E4C"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44-30-34(c) </w:t>
      </w:r>
    </w:p>
    <w:p w14:paraId="16494609" w14:textId="77777777" w:rsidR="000000D1" w:rsidRPr="000000D1" w:rsidRDefault="000000D1" w:rsidP="000000D1">
      <w:pPr>
        <w:contextualSpacing/>
        <w:rPr>
          <w:rFonts w:eastAsia="Calibri" w:cs="Times New Roman"/>
        </w:rPr>
      </w:pPr>
    </w:p>
    <w:p w14:paraId="14107461" w14:textId="77777777" w:rsidR="000000D1" w:rsidRPr="000000D1" w:rsidRDefault="000000D1" w:rsidP="000000D1">
      <w:pPr>
        <w:ind w:left="1440"/>
        <w:rPr>
          <w:rFonts w:eastAsia="Calibri" w:cs="Times New Roman"/>
        </w:rPr>
      </w:pPr>
      <w:r w:rsidRPr="000000D1">
        <w:rPr>
          <w:rFonts w:eastAsia="Calibri" w:cs="Times New Roman"/>
        </w:rPr>
        <w:t>Partner’s modifications. Any modification described in subsection (b) or (c) of § 44-30-12 which relates to an item of partnership income or deduction, shall be made in accordance with the partner’s distributive share for federal income tax purposes of the item to which the modification relates, but limited to the portion of the item derived from or connected with Rhode Island sources.</w:t>
      </w:r>
    </w:p>
    <w:p w14:paraId="564D6E0D" w14:textId="77777777" w:rsidR="000000D1" w:rsidRPr="000000D1" w:rsidRDefault="000000D1" w:rsidP="000000D1">
      <w:pPr>
        <w:ind w:left="720"/>
        <w:contextualSpacing/>
        <w:rPr>
          <w:rFonts w:eastAsia="Calibri" w:cs="Times New Roman"/>
        </w:rPr>
      </w:pPr>
      <w:bookmarkStart w:id="148" w:name="_Hlk176793131"/>
      <w:r w:rsidRPr="000000D1">
        <w:rPr>
          <w:rFonts w:eastAsia="Calibri" w:cs="Times New Roman"/>
        </w:rPr>
        <w:t>R.I. Gen. Laws § 44-30-34(d)</w:t>
      </w:r>
    </w:p>
    <w:bookmarkEnd w:id="148"/>
    <w:p w14:paraId="7383C721" w14:textId="77777777" w:rsidR="000000D1" w:rsidRPr="000000D1" w:rsidRDefault="000000D1" w:rsidP="000000D1">
      <w:pPr>
        <w:ind w:left="720"/>
        <w:contextualSpacing/>
        <w:rPr>
          <w:rFonts w:eastAsia="Calibri" w:cs="Times New Roman"/>
        </w:rPr>
      </w:pPr>
    </w:p>
    <w:p w14:paraId="217B3819" w14:textId="77777777" w:rsidR="000000D1" w:rsidRPr="000000D1" w:rsidRDefault="000000D1" w:rsidP="000000D1">
      <w:pPr>
        <w:ind w:left="1440"/>
        <w:contextualSpacing/>
        <w:rPr>
          <w:rFonts w:eastAsia="Calibri" w:cs="Times New Roman"/>
        </w:rPr>
      </w:pPr>
      <w:r w:rsidRPr="000000D1">
        <w:rPr>
          <w:rFonts w:eastAsia="Calibri" w:cs="Times New Roman"/>
        </w:rPr>
        <w:t>Alternate methods. The tax administrator may, on application, authorize the use of any other methods of determining a nonresident’s portion of partnership items derived from or connected with Rhode Island sources, and the modifications related thereto, that may be appropriate and equitable, on any terms and conditions that the tax administrator may require.</w:t>
      </w:r>
    </w:p>
    <w:p w14:paraId="0F23DB58" w14:textId="77777777" w:rsidR="000000D1" w:rsidRPr="000000D1" w:rsidRDefault="000000D1" w:rsidP="000000D1">
      <w:pPr>
        <w:ind w:left="720"/>
        <w:contextualSpacing/>
        <w:rPr>
          <w:rFonts w:eastAsia="Calibri" w:cs="Times New Roman"/>
        </w:rPr>
      </w:pPr>
    </w:p>
    <w:p w14:paraId="6DA284A6" w14:textId="77777777" w:rsidR="000000D1" w:rsidRPr="000000D1" w:rsidRDefault="000000D1" w:rsidP="000000D1">
      <w:pPr>
        <w:ind w:left="720"/>
        <w:contextualSpacing/>
        <w:rPr>
          <w:rFonts w:eastAsia="Calibri" w:cs="Times New Roman"/>
        </w:rPr>
      </w:pPr>
      <w:r w:rsidRPr="000000D1">
        <w:rPr>
          <w:rFonts w:eastAsia="Calibri" w:cs="Times New Roman"/>
        </w:rPr>
        <w:t>R.I. Gen. Laws § 44-30-34(e)</w:t>
      </w:r>
    </w:p>
    <w:p w14:paraId="0EC7D1AA" w14:textId="77777777" w:rsidR="000000D1" w:rsidRPr="000000D1" w:rsidRDefault="000000D1" w:rsidP="000000D1">
      <w:pPr>
        <w:ind w:left="720" w:firstLine="720"/>
        <w:contextualSpacing/>
        <w:rPr>
          <w:rFonts w:eastAsia="Calibri" w:cs="Times New Roman"/>
        </w:rPr>
      </w:pPr>
      <w:r w:rsidRPr="000000D1">
        <w:rPr>
          <w:rFonts w:eastAsia="Calibri" w:cs="Times New Roman"/>
        </w:rPr>
        <w:t>Application of rules for resident partners to nonresident partners.</w:t>
      </w:r>
    </w:p>
    <w:p w14:paraId="22C315E4" w14:textId="77777777" w:rsidR="000000D1" w:rsidRPr="000000D1" w:rsidRDefault="000000D1" w:rsidP="000000D1">
      <w:pPr>
        <w:ind w:left="720"/>
        <w:contextualSpacing/>
        <w:rPr>
          <w:rFonts w:eastAsia="Calibri" w:cs="Times New Roman"/>
        </w:rPr>
      </w:pPr>
    </w:p>
    <w:p w14:paraId="312B88F9" w14:textId="77777777" w:rsidR="000000D1" w:rsidRPr="000000D1" w:rsidRDefault="000000D1" w:rsidP="000000D1">
      <w:pPr>
        <w:ind w:left="720" w:firstLine="720"/>
        <w:contextualSpacing/>
        <w:rPr>
          <w:rFonts w:eastAsia="Calibri" w:cs="Times New Roman"/>
        </w:rPr>
      </w:pPr>
      <w:r w:rsidRPr="000000D1">
        <w:rPr>
          <w:rFonts w:eastAsia="Calibri" w:cs="Times New Roman"/>
        </w:rPr>
        <w:t>(1) A partner’s distributive share of items shall be determined under § 44-30-15(a).</w:t>
      </w:r>
    </w:p>
    <w:p w14:paraId="6E327452" w14:textId="77777777" w:rsidR="000000D1" w:rsidRPr="000000D1" w:rsidRDefault="000000D1" w:rsidP="000000D1">
      <w:pPr>
        <w:ind w:left="720"/>
        <w:contextualSpacing/>
        <w:rPr>
          <w:rFonts w:eastAsia="Calibri" w:cs="Times New Roman"/>
        </w:rPr>
      </w:pPr>
    </w:p>
    <w:p w14:paraId="20A57304" w14:textId="77777777" w:rsidR="000000D1" w:rsidRPr="000000D1" w:rsidRDefault="000000D1" w:rsidP="000000D1">
      <w:pPr>
        <w:ind w:left="1440"/>
        <w:contextualSpacing/>
        <w:rPr>
          <w:rFonts w:eastAsia="Calibri" w:cs="Times New Roman"/>
        </w:rPr>
      </w:pPr>
      <w:r w:rsidRPr="000000D1">
        <w:rPr>
          <w:rFonts w:eastAsia="Calibri" w:cs="Times New Roman"/>
        </w:rPr>
        <w:t>(2) The character of partnership items for a nonresident partner shall be determined under § 44-30-15(b).</w:t>
      </w:r>
    </w:p>
    <w:p w14:paraId="063A126F" w14:textId="77777777" w:rsidR="000000D1" w:rsidRPr="000000D1" w:rsidRDefault="000000D1" w:rsidP="000000D1">
      <w:pPr>
        <w:ind w:left="720"/>
        <w:contextualSpacing/>
        <w:rPr>
          <w:rFonts w:eastAsia="Calibri" w:cs="Times New Roman"/>
        </w:rPr>
      </w:pPr>
    </w:p>
    <w:p w14:paraId="7CE1E5B7" w14:textId="77777777" w:rsidR="000000D1" w:rsidRPr="000000D1" w:rsidRDefault="000000D1" w:rsidP="000000D1">
      <w:pPr>
        <w:ind w:left="1440"/>
        <w:contextualSpacing/>
        <w:rPr>
          <w:rFonts w:eastAsia="Calibri" w:cs="Times New Roman"/>
        </w:rPr>
      </w:pPr>
      <w:r w:rsidRPr="000000D1">
        <w:rPr>
          <w:rFonts w:eastAsia="Calibri" w:cs="Times New Roman"/>
        </w:rPr>
        <w:t>(3) The effect of a special provision in a partnership agreement having the principal purpose of avoidance or evasion of Rhode Island personal income tax shall be determined under § 44-30-15(c).</w:t>
      </w:r>
    </w:p>
    <w:p w14:paraId="0136A2EF" w14:textId="77777777" w:rsidR="000000D1" w:rsidRPr="000000D1" w:rsidRDefault="000000D1" w:rsidP="000000D1">
      <w:pPr>
        <w:ind w:left="1440"/>
        <w:contextualSpacing/>
        <w:rPr>
          <w:rFonts w:eastAsia="Calibri" w:cs="Times New Roman"/>
        </w:rPr>
      </w:pPr>
    </w:p>
    <w:p w14:paraId="28154B45"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7-16-73(c)(1) </w:t>
      </w:r>
    </w:p>
    <w:p w14:paraId="53F5627E" w14:textId="77777777" w:rsidR="000000D1" w:rsidRPr="000000D1" w:rsidRDefault="000000D1" w:rsidP="000000D1">
      <w:pPr>
        <w:contextualSpacing/>
        <w:rPr>
          <w:rFonts w:eastAsia="Calibri" w:cs="Times New Roman"/>
        </w:rPr>
      </w:pPr>
    </w:p>
    <w:p w14:paraId="07D06B9C" w14:textId="77777777" w:rsidR="000000D1" w:rsidRPr="000000D1" w:rsidRDefault="000000D1" w:rsidP="000000D1">
      <w:pPr>
        <w:ind w:left="1440"/>
        <w:rPr>
          <w:rFonts w:eastAsia="Calibri" w:cs="Times New Roman"/>
        </w:rPr>
      </w:pPr>
      <w:r w:rsidRPr="000000D1">
        <w:rPr>
          <w:rFonts w:eastAsia="Calibri" w:cs="Times New Roman"/>
        </w:rPr>
        <w:t>Any member of the limited liability company during any part of the limited liability company’s taxable year shall file a Rhode Island income tax return and shall include in Rhode Island gross income that portion of the limited liability company’s Rhode Island income allocable to the member’s interest in the limited liability company.</w:t>
      </w:r>
    </w:p>
    <w:p w14:paraId="61BCE3C9"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7-16-73(c)(4) </w:t>
      </w:r>
    </w:p>
    <w:p w14:paraId="267B84FD" w14:textId="77777777" w:rsidR="000000D1" w:rsidRPr="000000D1" w:rsidRDefault="000000D1" w:rsidP="000000D1">
      <w:pPr>
        <w:contextualSpacing/>
        <w:rPr>
          <w:rFonts w:eastAsia="Calibri" w:cs="Times New Roman"/>
        </w:rPr>
      </w:pPr>
    </w:p>
    <w:p w14:paraId="6BA9B81F" w14:textId="77777777" w:rsidR="000000D1" w:rsidRPr="000000D1" w:rsidRDefault="000000D1" w:rsidP="000000D1">
      <w:pPr>
        <w:ind w:left="1440"/>
        <w:rPr>
          <w:rFonts w:eastAsia="Calibri" w:cs="Times New Roman"/>
        </w:rPr>
      </w:pPr>
      <w:r w:rsidRPr="000000D1">
        <w:rPr>
          <w:rFonts w:eastAsia="Calibri" w:cs="Times New Roman"/>
        </w:rPr>
        <w:t>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behalf of the non-resident member shall be allowed as a credit against that member’s Rhode Island income tax liability.</w:t>
      </w:r>
    </w:p>
    <w:p w14:paraId="690971C6" w14:textId="77777777" w:rsidR="000000D1" w:rsidRPr="000000D1" w:rsidRDefault="000000D1" w:rsidP="000000D1">
      <w:pPr>
        <w:ind w:left="720"/>
        <w:contextualSpacing/>
        <w:rPr>
          <w:rFonts w:eastAsia="Calibri" w:cs="Times New Roman"/>
        </w:rPr>
      </w:pPr>
      <w:r w:rsidRPr="000000D1">
        <w:rPr>
          <w:rFonts w:eastAsia="Calibri" w:cs="Times New Roman"/>
          <w:i/>
          <w:iCs/>
        </w:rPr>
        <w:t>Homart Development Co. v. Norberg</w:t>
      </w:r>
      <w:r w:rsidRPr="000000D1">
        <w:rPr>
          <w:rFonts w:eastAsia="Calibri" w:cs="Times New Roman"/>
        </w:rPr>
        <w:t>, 529 A2d 115 (R.I. 1987)</w:t>
      </w:r>
      <w:r w:rsidRPr="000000D1">
        <w:rPr>
          <w:rFonts w:eastAsia="Calibri" w:cs="Times New Roman"/>
          <w:i/>
          <w:iCs/>
        </w:rPr>
        <w:t xml:space="preserve"> </w:t>
      </w:r>
    </w:p>
    <w:p w14:paraId="2A5EA427" w14:textId="77777777" w:rsidR="000000D1" w:rsidRPr="000000D1" w:rsidRDefault="000000D1" w:rsidP="000000D1">
      <w:pPr>
        <w:contextualSpacing/>
        <w:rPr>
          <w:rFonts w:eastAsia="Calibri" w:cs="Times New Roman"/>
        </w:rPr>
      </w:pPr>
    </w:p>
    <w:p w14:paraId="0BCC433D" w14:textId="77777777" w:rsidR="000000D1" w:rsidRPr="000000D1" w:rsidRDefault="000000D1" w:rsidP="000000D1">
      <w:pPr>
        <w:ind w:left="1440"/>
        <w:rPr>
          <w:rFonts w:eastAsia="Calibri" w:cs="Times New Roman"/>
        </w:rPr>
      </w:pPr>
      <w:r w:rsidRPr="000000D1">
        <w:rPr>
          <w:rFonts w:eastAsia="Calibri" w:cs="Times New Roman"/>
        </w:rPr>
        <w:t xml:space="preserve">“The inclusion of this income in Homart's net-income calculation for apportionment purposes necessarily requires that the payroll, property, and receipt factors that gave rise to it be included in the apportionment equation also. Otherwise, the net income is </w:t>
      </w:r>
      <w:r w:rsidRPr="000000D1">
        <w:rPr>
          <w:rFonts w:eastAsia="Calibri" w:cs="Times New Roman"/>
        </w:rPr>
        <w:lastRenderedPageBreak/>
        <w:t>subject to an apportionment ratio that reflects only Homart's in-state and everywhere business activity when, in fact, this income did not arise from Homart's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p>
    <w:p w14:paraId="363C312F" w14:textId="77777777" w:rsidR="000000D1" w:rsidRPr="000000D1" w:rsidRDefault="000000D1" w:rsidP="000000D1">
      <w:pPr>
        <w:rPr>
          <w:rFonts w:eastAsia="Calibri" w:cs="Times New Roman"/>
          <w:i/>
          <w:iCs/>
        </w:rPr>
      </w:pPr>
      <w:r w:rsidRPr="000000D1">
        <w:rPr>
          <w:rFonts w:eastAsia="Calibri" w:cs="Times New Roman"/>
        </w:rPr>
        <w:tab/>
        <w:t xml:space="preserve">280 R.I. Code R. § 20-25-9.7(B) </w:t>
      </w:r>
    </w:p>
    <w:p w14:paraId="3E37B07D" w14:textId="77777777" w:rsidR="000000D1" w:rsidRPr="000000D1" w:rsidRDefault="000000D1" w:rsidP="000000D1">
      <w:pPr>
        <w:ind w:left="1440"/>
        <w:rPr>
          <w:rFonts w:eastAsia="Calibri" w:cs="Times New Roman"/>
        </w:rPr>
      </w:pPr>
      <w:r w:rsidRPr="000000D1">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r w:rsidRPr="000000D1">
        <w:rPr>
          <w:rFonts w:eastAsia="Calibri" w:cs="Times New Roman"/>
          <w:i/>
          <w:iCs/>
        </w:rPr>
        <w:t>Homart Dev. Co. v. Norberg</w:t>
      </w:r>
      <w:r w:rsidRPr="000000D1">
        <w:rPr>
          <w:rFonts w:eastAsia="Calibri" w:cs="Times New Roman"/>
        </w:rPr>
        <w:t>, 529 A.2d 115 (R.I. 1987).</w:t>
      </w:r>
    </w:p>
    <w:p w14:paraId="797A9222" w14:textId="77777777" w:rsidR="000000D1" w:rsidRPr="000000D1" w:rsidRDefault="000000D1" w:rsidP="000000D1">
      <w:pPr>
        <w:pBdr>
          <w:bottom w:val="single" w:sz="4" w:space="0" w:color="auto"/>
        </w:pBdr>
        <w:rPr>
          <w:rFonts w:eastAsia="Calibri" w:cs="Times New Roman"/>
        </w:rPr>
      </w:pPr>
    </w:p>
    <w:p w14:paraId="6E4523A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9" w:name="_Toc195435310"/>
      <w:r w:rsidRPr="000000D1">
        <w:rPr>
          <w:rFonts w:ascii="Californian FB" w:eastAsia="Times New Roman" w:hAnsi="Californian FB" w:cs="Times New Roman"/>
          <w:b/>
          <w:color w:val="851C00"/>
          <w:sz w:val="24"/>
          <w:szCs w:val="24"/>
          <w:u w:val="single"/>
        </w:rPr>
        <w:t>South Carolina</w:t>
      </w:r>
      <w:bookmarkEnd w:id="149"/>
    </w:p>
    <w:p w14:paraId="6D769177" w14:textId="77777777" w:rsidR="000000D1" w:rsidRPr="000000D1" w:rsidRDefault="000000D1" w:rsidP="000000D1">
      <w:pPr>
        <w:ind w:left="720"/>
        <w:contextualSpacing/>
        <w:rPr>
          <w:rFonts w:eastAsia="Calibri" w:cs="Times New Roman"/>
        </w:rPr>
      </w:pPr>
      <w:r w:rsidRPr="000000D1">
        <w:rPr>
          <w:rFonts w:eastAsia="Calibri" w:cs="Times New Roman"/>
        </w:rPr>
        <w:t xml:space="preserve">S.C. Code Ann. § 12-6-600 </w:t>
      </w:r>
    </w:p>
    <w:p w14:paraId="78B7788A" w14:textId="77777777" w:rsidR="000000D1" w:rsidRPr="000000D1" w:rsidRDefault="000000D1" w:rsidP="000000D1">
      <w:pPr>
        <w:contextualSpacing/>
        <w:rPr>
          <w:rFonts w:eastAsia="Calibri" w:cs="Times New Roman"/>
        </w:rPr>
      </w:pPr>
    </w:p>
    <w:p w14:paraId="31983F25" w14:textId="77777777" w:rsidR="000000D1" w:rsidRPr="000000D1" w:rsidRDefault="000000D1" w:rsidP="000000D1">
      <w:pPr>
        <w:ind w:left="1440"/>
        <w:rPr>
          <w:rFonts w:eastAsia="Calibri" w:cs="Times New Roman"/>
        </w:rPr>
      </w:pPr>
      <w:r w:rsidRPr="000000D1">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38BB2F68" w14:textId="77777777" w:rsidR="000000D1" w:rsidRPr="000000D1" w:rsidRDefault="000000D1" w:rsidP="000000D1">
      <w:pPr>
        <w:ind w:left="720"/>
        <w:contextualSpacing/>
        <w:rPr>
          <w:rFonts w:eastAsia="Calibri" w:cs="Times New Roman"/>
        </w:rPr>
      </w:pPr>
      <w:r w:rsidRPr="000000D1">
        <w:rPr>
          <w:rFonts w:eastAsia="Calibri" w:cs="Times New Roman"/>
        </w:rPr>
        <w:t xml:space="preserve">S.C. Code Ann. Regs. 117-705.1 </w:t>
      </w:r>
    </w:p>
    <w:p w14:paraId="00166EC5" w14:textId="77777777" w:rsidR="000000D1" w:rsidRPr="000000D1" w:rsidRDefault="000000D1" w:rsidP="000000D1">
      <w:pPr>
        <w:contextualSpacing/>
        <w:rPr>
          <w:rFonts w:eastAsia="Calibri" w:cs="Times New Roman"/>
        </w:rPr>
      </w:pPr>
    </w:p>
    <w:p w14:paraId="77A421B4" w14:textId="77777777" w:rsidR="000000D1" w:rsidRPr="000000D1" w:rsidRDefault="000000D1" w:rsidP="000000D1">
      <w:pPr>
        <w:ind w:left="1440"/>
        <w:rPr>
          <w:rFonts w:eastAsia="Calibri" w:cs="Times New Roman"/>
        </w:rPr>
      </w:pPr>
      <w:r w:rsidRPr="000000D1">
        <w:rPr>
          <w:rFonts w:eastAsia="Calibri" w:cs="Times New Roman"/>
        </w:rPr>
        <w:t>Income or loss realized by resident individuals or partnerships from an established business, or from the lease or rental of tangible personal property or real property, the situs of which is in another state, shall be allocated to the state in which the business or property is located. Except, income of a resident individual or partnership, derived from personal services, is allocated to this State as provided in Section 12-6-2220(6).</w:t>
      </w:r>
    </w:p>
    <w:p w14:paraId="6EADE1B0" w14:textId="77777777" w:rsidR="000000D1" w:rsidRPr="000000D1" w:rsidRDefault="000000D1" w:rsidP="000000D1">
      <w:pPr>
        <w:ind w:left="1440"/>
        <w:rPr>
          <w:rFonts w:eastAsia="Calibri" w:cs="Times New Roman"/>
        </w:rPr>
      </w:pPr>
      <w:r w:rsidRPr="000000D1">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1FB808C3" w14:textId="77777777" w:rsidR="000000D1" w:rsidRPr="000000D1" w:rsidRDefault="000000D1" w:rsidP="000000D1">
      <w:pPr>
        <w:ind w:left="720"/>
        <w:contextualSpacing/>
        <w:rPr>
          <w:rFonts w:eastAsia="Calibri" w:cs="Times New Roman"/>
        </w:rPr>
      </w:pPr>
      <w:r w:rsidRPr="000000D1">
        <w:rPr>
          <w:rFonts w:eastAsia="Calibri" w:cs="Times New Roman"/>
          <w:i/>
          <w:iCs/>
        </w:rPr>
        <w:t>Ellis v. S. C. Tax Comm'n</w:t>
      </w:r>
      <w:r w:rsidRPr="000000D1">
        <w:rPr>
          <w:rFonts w:eastAsia="Calibri" w:cs="Times New Roman"/>
        </w:rPr>
        <w:t xml:space="preserve">, 309 S.E.2d 761 (S.C. 1983) </w:t>
      </w:r>
    </w:p>
    <w:p w14:paraId="7234E300" w14:textId="77777777" w:rsidR="000000D1" w:rsidRPr="000000D1" w:rsidRDefault="000000D1" w:rsidP="000000D1">
      <w:pPr>
        <w:contextualSpacing/>
        <w:rPr>
          <w:rFonts w:eastAsia="Calibri" w:cs="Times New Roman"/>
        </w:rPr>
      </w:pPr>
    </w:p>
    <w:p w14:paraId="71F55FBF" w14:textId="77777777" w:rsidR="000000D1" w:rsidRPr="000000D1" w:rsidRDefault="000000D1" w:rsidP="000000D1">
      <w:pPr>
        <w:ind w:left="1440"/>
        <w:rPr>
          <w:rFonts w:eastAsia="Calibri" w:cs="Times New Roman"/>
        </w:rPr>
      </w:pPr>
      <w:r w:rsidRPr="000000D1">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6D672030" w14:textId="77777777" w:rsidR="000000D1" w:rsidRPr="000000D1" w:rsidRDefault="000000D1" w:rsidP="000000D1">
      <w:pPr>
        <w:rPr>
          <w:rFonts w:eastAsia="Calibri" w:cs="Times New Roman"/>
          <w:i/>
          <w:iCs/>
        </w:rPr>
      </w:pPr>
      <w:r w:rsidRPr="000000D1">
        <w:rPr>
          <w:rFonts w:eastAsia="Calibri" w:cs="Times New Roman"/>
        </w:rPr>
        <w:lastRenderedPageBreak/>
        <w:tab/>
        <w:t xml:space="preserve">South Carolina Private Letter Ruling #24-1 (February 21, 2024) </w:t>
      </w:r>
    </w:p>
    <w:p w14:paraId="284AD0BE" w14:textId="77777777" w:rsidR="000000D1" w:rsidRPr="000000D1" w:rsidRDefault="000000D1" w:rsidP="000000D1">
      <w:pPr>
        <w:ind w:left="1440"/>
        <w:rPr>
          <w:rFonts w:eastAsia="Calibri" w:cs="Times New Roman"/>
        </w:rPr>
      </w:pPr>
      <w:r w:rsidRPr="000000D1">
        <w:rPr>
          <w:rFonts w:eastAsia="Calibri" w:cs="Times New Roman"/>
        </w:rPr>
        <w:t>How should the Taxpayer’s sale of an interest in a multistate partnership that does business in South Carolina be reported to South Carolina for income tax purposes . . .</w:t>
      </w:r>
    </w:p>
    <w:p w14:paraId="5936D3E0" w14:textId="77777777" w:rsidR="000000D1" w:rsidRPr="000000D1" w:rsidRDefault="000000D1" w:rsidP="000000D1">
      <w:pPr>
        <w:ind w:left="1440"/>
        <w:rPr>
          <w:rFonts w:eastAsia="Calibri" w:cs="Times New Roman"/>
        </w:rPr>
      </w:pPr>
      <w:r w:rsidRPr="000000D1">
        <w:rPr>
          <w:rFonts w:eastAsia="Calibri" w:cs="Times New Roman"/>
        </w:rPr>
        <w:t xml:space="preserve">The Taxpayer, a South Carolina resident individual, was an active owner of a tiered pass through entity structure comprised of two limited liability companies that are treated as partnerships for tax purposes. The Taxpayer was a partner in “Management Partnership,” which owned 49% of “Operating Partnership” (“Management Partnership” and “Operating Partnership” are together referred to as the “Partnerships”) . . .                                                        </w:t>
      </w:r>
    </w:p>
    <w:p w14:paraId="276B23D3" w14:textId="77777777" w:rsidR="000000D1" w:rsidRPr="000000D1" w:rsidRDefault="000000D1" w:rsidP="000000D1">
      <w:pPr>
        <w:ind w:left="1440"/>
        <w:rPr>
          <w:rFonts w:eastAsia="Calibri" w:cs="Times New Roman"/>
        </w:rPr>
      </w:pPr>
      <w:r w:rsidRPr="000000D1">
        <w:rPr>
          <w:rFonts w:eastAsia="Calibri" w:cs="Times New Roman"/>
        </w:rPr>
        <w:t xml:space="preserve">The Partnerships conducted business in multiple states, including South Carolina. Operating Partnership was in the business of buying and selling metal alloys. Management Partnership was responsible for carrying out managerial functions for Operating Partnership’s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544A1B43" w14:textId="77777777" w:rsidR="000000D1" w:rsidRPr="000000D1" w:rsidRDefault="000000D1" w:rsidP="000000D1">
      <w:pPr>
        <w:ind w:left="1440"/>
        <w:rPr>
          <w:rFonts w:eastAsia="Calibri" w:cs="Times New Roman"/>
        </w:rPr>
      </w:pPr>
      <w:r w:rsidRPr="000000D1">
        <w:rPr>
          <w:rFonts w:eastAsia="Calibri" w:cs="Times New Roman"/>
        </w:rPr>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3A04A95D" w14:textId="77777777" w:rsidR="000000D1" w:rsidRPr="000000D1" w:rsidRDefault="000000D1" w:rsidP="000000D1">
      <w:pPr>
        <w:ind w:left="1440"/>
        <w:rPr>
          <w:rFonts w:eastAsia="Calibri" w:cs="Times New Roman"/>
        </w:rPr>
      </w:pPr>
      <w:r w:rsidRPr="000000D1">
        <w:rPr>
          <w:rFonts w:eastAsia="Calibri" w:cs="Times New Roman"/>
        </w:rPr>
        <w:t xml:space="preserve">In the year of the sale, the Partnerships’ South Carolina apportionment ratio was 2.4%. No information was provided about the assets the Partnerships owned at the time of the sale.     </w:t>
      </w:r>
    </w:p>
    <w:p w14:paraId="5FE22E53" w14:textId="77777777" w:rsidR="000000D1" w:rsidRPr="000000D1" w:rsidRDefault="000000D1" w:rsidP="000000D1">
      <w:pPr>
        <w:ind w:left="1440"/>
        <w:rPr>
          <w:rFonts w:eastAsia="Calibri" w:cs="Times New Roman"/>
        </w:rPr>
      </w:pPr>
      <w:r w:rsidRPr="000000D1">
        <w:rPr>
          <w:rFonts w:eastAsia="Calibri" w:cs="Times New Roman"/>
        </w:rPr>
        <w:t>The Taxpayer asks if the entire $2.6 million gain on the sale of his partnership interest is a South Carolina gain, or whether a portion of the gain is “out-of-state income/gain.” . . .</w:t>
      </w:r>
    </w:p>
    <w:p w14:paraId="03180251" w14:textId="77777777" w:rsidR="000000D1" w:rsidRPr="000000D1" w:rsidRDefault="000000D1" w:rsidP="000000D1">
      <w:pPr>
        <w:ind w:left="1440"/>
        <w:rPr>
          <w:rFonts w:eastAsia="Calibri" w:cs="Times New Roman"/>
        </w:rPr>
      </w:pPr>
      <w:r w:rsidRPr="000000D1">
        <w:rPr>
          <w:rFonts w:eastAsia="Calibri" w:cs="Times New Roman"/>
        </w:rPr>
        <w:t xml:space="preserve"> As a partner, the Taxpayer is in the business of the partnership by reason of the pass through principle. Under this principle, partnership income or loss is not taxed at the entity level, but is passed through to the partners to be included on the partners’ returns. The court in </w:t>
      </w:r>
      <w:r w:rsidRPr="000000D1">
        <w:rPr>
          <w:rFonts w:eastAsia="Calibri" w:cs="Times New Roman"/>
          <w:i/>
          <w:iCs/>
        </w:rPr>
        <w:t>Ellis v. South Carolina Tax Commission</w:t>
      </w:r>
      <w:r w:rsidRPr="000000D1">
        <w:rPr>
          <w:rFonts w:eastAsia="Calibri" w:cs="Times New Roman"/>
        </w:rPr>
        <w:t xml:space="preserve"> relied on the pass through principle and held “…the character of any item of income, gain, loss deduction or credit included in a partner’s distributive share of gains and losses shall be the same as if such 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4B1DA0F0" w14:textId="77777777" w:rsidR="000000D1" w:rsidRPr="000000D1" w:rsidRDefault="000000D1" w:rsidP="000000D1">
      <w:pPr>
        <w:ind w:left="1440"/>
        <w:rPr>
          <w:rFonts w:eastAsia="Calibri" w:cs="Times New Roman"/>
        </w:rPr>
      </w:pPr>
      <w:r w:rsidRPr="000000D1">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4AB3E3EB" w14:textId="77777777" w:rsidR="000000D1" w:rsidRPr="000000D1" w:rsidRDefault="000000D1" w:rsidP="000000D1">
      <w:pPr>
        <w:ind w:left="1440"/>
        <w:rPr>
          <w:rFonts w:eastAsia="Calibri" w:cs="Times New Roman"/>
        </w:rPr>
      </w:pPr>
      <w:r w:rsidRPr="000000D1">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723B78D9" w14:textId="77777777" w:rsidR="000000D1" w:rsidRPr="000000D1" w:rsidRDefault="000000D1" w:rsidP="000000D1">
      <w:pPr>
        <w:pBdr>
          <w:bottom w:val="single" w:sz="4" w:space="0" w:color="auto"/>
        </w:pBdr>
        <w:rPr>
          <w:rFonts w:eastAsia="Calibri" w:cs="Times New Roman"/>
        </w:rPr>
      </w:pPr>
    </w:p>
    <w:p w14:paraId="6E980BCC"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0" w:name="_Toc195435311"/>
      <w:r w:rsidRPr="000000D1">
        <w:rPr>
          <w:rFonts w:ascii="Californian FB" w:eastAsia="Times New Roman" w:hAnsi="Californian FB" w:cs="Times New Roman"/>
          <w:b/>
          <w:color w:val="851C00"/>
          <w:sz w:val="24"/>
          <w:szCs w:val="24"/>
          <w:u w:val="single"/>
        </w:rPr>
        <w:lastRenderedPageBreak/>
        <w:t>Tennessee</w:t>
      </w:r>
      <w:bookmarkEnd w:id="150"/>
    </w:p>
    <w:p w14:paraId="5A0991C3"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Tenn. Code Ann. § 67-4-2012 </w:t>
      </w:r>
    </w:p>
    <w:p w14:paraId="3C29BB09" w14:textId="77777777" w:rsidR="000000D1" w:rsidRPr="000000D1" w:rsidRDefault="000000D1" w:rsidP="000000D1">
      <w:pPr>
        <w:contextualSpacing/>
        <w:rPr>
          <w:rFonts w:eastAsia="Calibri" w:cs="Times New Roman"/>
        </w:rPr>
      </w:pPr>
    </w:p>
    <w:p w14:paraId="27F90FE7" w14:textId="77777777" w:rsidR="000000D1" w:rsidRPr="000000D1" w:rsidRDefault="000000D1" w:rsidP="000000D1">
      <w:pPr>
        <w:ind w:left="1440"/>
        <w:rPr>
          <w:rFonts w:eastAsia="Calibri" w:cs="Times New Roman"/>
        </w:rPr>
      </w:pPr>
      <w:r w:rsidRPr="000000D1">
        <w:rPr>
          <w:rFonts w:eastAsia="Calibri" w:cs="Times New Roman"/>
        </w:rPr>
        <w:t>(a)(3) Except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18E3DD46" w14:textId="77777777" w:rsidR="000000D1" w:rsidRPr="000000D1" w:rsidRDefault="000000D1" w:rsidP="000000D1">
      <w:pPr>
        <w:ind w:left="1440"/>
        <w:rPr>
          <w:rFonts w:eastAsia="Calibri" w:cs="Times New Roman"/>
        </w:rPr>
      </w:pPr>
      <w:r w:rsidRPr="000000D1">
        <w:rPr>
          <w:rFonts w:eastAsia="Calibri" w:cs="Times New Roman"/>
        </w:rPr>
        <w:t>(a)(4)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78AC7D6D" w14:textId="77777777" w:rsidR="000000D1" w:rsidRPr="000000D1" w:rsidRDefault="000000D1" w:rsidP="000000D1">
      <w:pPr>
        <w:ind w:left="1440"/>
        <w:rPr>
          <w:rFonts w:eastAsia="Calibri" w:cs="Times New Roman"/>
        </w:rPr>
      </w:pPr>
      <w:r w:rsidRPr="000000D1">
        <w:rPr>
          <w:rFonts w:eastAsia="Calibri" w:cs="Times New Roman"/>
        </w:rPr>
        <w:t>(a)(5) Except as otherwise provided in this part, for tax years ending on or after December 31, 2025, net earnings must be apportioned to this state by multiplying the earnings by the receipts factor only.</w:t>
      </w:r>
    </w:p>
    <w:p w14:paraId="0C54A4E1" w14:textId="77777777" w:rsidR="000000D1" w:rsidRPr="000000D1" w:rsidRDefault="000000D1" w:rsidP="000000D1">
      <w:pPr>
        <w:ind w:left="1440"/>
        <w:rPr>
          <w:rFonts w:eastAsia="Calibri" w:cs="Times New Roman"/>
        </w:rPr>
      </w:pPr>
      <w:r w:rsidRPr="000000D1">
        <w:rPr>
          <w:rFonts w:eastAsia="Calibri" w:cs="Times New Roman"/>
        </w:rPr>
        <w:t>(a)(6)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as it applied to tax years ending before December 31, 2023; provided, however, the election must result in a higher apportionment ratio for the tax year, and the taxpayer must have net earnings, rather than a net loss, for that tax year as computed under § 67-4-2006 . . .</w:t>
      </w:r>
    </w:p>
    <w:p w14:paraId="2645FCF8" w14:textId="77777777" w:rsidR="000000D1" w:rsidRPr="000000D1" w:rsidRDefault="000000D1" w:rsidP="000000D1">
      <w:pPr>
        <w:ind w:left="1440"/>
        <w:rPr>
          <w:rFonts w:eastAsia="Calibri" w:cs="Times New Roman"/>
        </w:rPr>
      </w:pPr>
      <w:r w:rsidRPr="000000D1">
        <w:rPr>
          <w:rFonts w:eastAsia="Calibri" w:cs="Times New Roman"/>
        </w:rPr>
        <w:t>(b) 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 . . .</w:t>
      </w:r>
    </w:p>
    <w:p w14:paraId="66067688" w14:textId="77777777" w:rsidR="000000D1" w:rsidRPr="000000D1" w:rsidRDefault="000000D1" w:rsidP="000000D1">
      <w:pPr>
        <w:ind w:left="1440"/>
        <w:rPr>
          <w:rFonts w:eastAsia="Calibri" w:cs="Times New Roman"/>
        </w:rPr>
      </w:pPr>
      <w:r w:rsidRPr="000000D1">
        <w:rPr>
          <w:rFonts w:eastAsia="Calibri" w:cs="Times New Roman"/>
        </w:rPr>
        <w:t xml:space="preserve">(e) 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w:t>
      </w:r>
      <w:r w:rsidRPr="000000D1">
        <w:rPr>
          <w:rFonts w:eastAsia="Calibri" w:cs="Times New Roman"/>
        </w:rPr>
        <w:lastRenderedPageBreak/>
        <w:t>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 . . .</w:t>
      </w:r>
    </w:p>
    <w:p w14:paraId="20FE2157" w14:textId="77777777" w:rsidR="000000D1" w:rsidRPr="000000D1" w:rsidRDefault="000000D1" w:rsidP="000000D1">
      <w:pPr>
        <w:ind w:left="1440"/>
        <w:rPr>
          <w:rFonts w:eastAsia="Calibri" w:cs="Times New Roman"/>
        </w:rPr>
      </w:pPr>
      <w:r w:rsidRPr="000000D1">
        <w:rPr>
          <w:rFonts w:eastAsia="Calibri" w:cs="Times New Roman"/>
        </w:rPr>
        <w:t>(g) 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5051C997"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Tennessee Revenue Ruling No. 06-06 (March 14, 2006) </w:t>
      </w:r>
    </w:p>
    <w:p w14:paraId="6CAF8E87" w14:textId="77777777" w:rsidR="000000D1" w:rsidRPr="000000D1" w:rsidRDefault="000000D1" w:rsidP="000000D1">
      <w:pPr>
        <w:contextualSpacing/>
        <w:rPr>
          <w:rFonts w:eastAsia="Calibri" w:cs="Times New Roman"/>
        </w:rPr>
      </w:pPr>
    </w:p>
    <w:p w14:paraId="25FBC7BB" w14:textId="77777777" w:rsidR="000000D1" w:rsidRPr="000000D1" w:rsidRDefault="000000D1" w:rsidP="000000D1">
      <w:pPr>
        <w:ind w:left="1440"/>
        <w:rPr>
          <w:rFonts w:eastAsia="Calibri" w:cs="Times New Roman"/>
          <w:b/>
          <w:bCs/>
        </w:rPr>
      </w:pPr>
      <w:r w:rsidRPr="000000D1">
        <w:rPr>
          <w:rFonts w:eastAsia="Calibri" w:cs="Times New Roman"/>
          <w:b/>
          <w:bCs/>
        </w:rPr>
        <w:t>For Application of Franchise, Excise Tax Apportionment Formula Statutes to [LP2]</w:t>
      </w:r>
    </w:p>
    <w:p w14:paraId="472A1FFC" w14:textId="77777777" w:rsidR="000000D1" w:rsidRPr="000000D1" w:rsidRDefault="000000D1" w:rsidP="000000D1">
      <w:pPr>
        <w:ind w:left="1440"/>
        <w:rPr>
          <w:rFonts w:eastAsia="Calibri" w:cs="Times New Roman"/>
        </w:rPr>
      </w:pPr>
      <w:r w:rsidRPr="000000D1">
        <w:rPr>
          <w:rFonts w:eastAsia="Calibri" w:cs="Times New Roman"/>
        </w:rPr>
        <w:t>If [LP2] also has tax nexus in another state(s), it will apportion its net earnings and net worth to Tennessee for franchise, excise tax purposes using the property, payroll compensation and receipts apportionment formula previously described.</w:t>
      </w:r>
    </w:p>
    <w:p w14:paraId="3619D23A" w14:textId="77777777" w:rsidR="000000D1" w:rsidRPr="000000D1" w:rsidRDefault="000000D1" w:rsidP="000000D1">
      <w:pPr>
        <w:ind w:left="1440"/>
        <w:rPr>
          <w:rFonts w:eastAsia="Calibri" w:cs="Times New Roman"/>
        </w:rPr>
      </w:pPr>
      <w:r w:rsidRPr="000000D1">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17A2C015" w14:textId="77777777" w:rsidR="000000D1" w:rsidRPr="000000D1" w:rsidRDefault="000000D1" w:rsidP="000000D1">
      <w:pPr>
        <w:ind w:left="1440"/>
        <w:rPr>
          <w:rFonts w:eastAsia="Calibri" w:cs="Times New Roman"/>
          <w:b/>
          <w:bCs/>
        </w:rPr>
      </w:pPr>
      <w:r w:rsidRPr="000000D1">
        <w:rPr>
          <w:rFonts w:eastAsia="Calibri" w:cs="Times New Roman"/>
          <w:b/>
          <w:bCs/>
        </w:rPr>
        <w:t>Application of Franchise, Excise Tax Apportionment Formula Statutes to [LP1]</w:t>
      </w:r>
    </w:p>
    <w:p w14:paraId="59AFA445" w14:textId="77777777" w:rsidR="000000D1" w:rsidRPr="000000D1" w:rsidRDefault="000000D1" w:rsidP="000000D1">
      <w:pPr>
        <w:ind w:left="1440"/>
        <w:rPr>
          <w:rFonts w:eastAsia="Calibri" w:cs="Times New Roman"/>
        </w:rPr>
      </w:pPr>
      <w:r w:rsidRPr="000000D1">
        <w:rPr>
          <w:rFonts w:eastAsia="Calibri" w:cs="Times New Roman"/>
        </w:rPr>
        <w:t>The facts presented state that [LP1] has no Tennessee tax nexus. Therefore, it is not subject to franchise, excise tax and will not compute an apportionment formula.</w:t>
      </w:r>
    </w:p>
    <w:p w14:paraId="423DBF36" w14:textId="77777777" w:rsidR="000000D1" w:rsidRPr="000000D1" w:rsidRDefault="000000D1" w:rsidP="000000D1">
      <w:pPr>
        <w:ind w:left="1440"/>
        <w:rPr>
          <w:rFonts w:eastAsia="Calibri" w:cs="Times New Roman"/>
          <w:b/>
          <w:bCs/>
        </w:rPr>
      </w:pPr>
      <w:r w:rsidRPr="000000D1">
        <w:rPr>
          <w:rFonts w:eastAsia="Calibri" w:cs="Times New Roman"/>
          <w:b/>
          <w:bCs/>
        </w:rPr>
        <w:t>Application of Franchise, Excise Tax Apportionment Formula Statutes to the Taxpayer</w:t>
      </w:r>
    </w:p>
    <w:p w14:paraId="55DD53C8" w14:textId="77777777" w:rsidR="000000D1" w:rsidRPr="000000D1" w:rsidRDefault="000000D1" w:rsidP="000000D1">
      <w:pPr>
        <w:ind w:left="1440"/>
        <w:rPr>
          <w:rFonts w:eastAsia="Calibri" w:cs="Times New Roman"/>
        </w:rPr>
      </w:pPr>
      <w:r w:rsidRPr="000000D1">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26E3FF57" w14:textId="77777777" w:rsidR="000000D1" w:rsidRPr="000000D1" w:rsidRDefault="000000D1" w:rsidP="000000D1">
      <w:pPr>
        <w:ind w:left="1440"/>
        <w:rPr>
          <w:rFonts w:eastAsia="Calibri" w:cs="Times New Roman"/>
        </w:rPr>
      </w:pPr>
      <w:r w:rsidRPr="000000D1">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13C784B9" w14:textId="77777777" w:rsidR="000000D1" w:rsidRPr="000000D1" w:rsidRDefault="000000D1" w:rsidP="000000D1">
      <w:pPr>
        <w:ind w:left="1440"/>
        <w:rPr>
          <w:rFonts w:eastAsia="Calibri" w:cs="Times New Roman"/>
        </w:rPr>
      </w:pPr>
      <w:r w:rsidRPr="000000D1">
        <w:rPr>
          <w:rFonts w:eastAsia="Calibri" w:cs="Times New Roman"/>
        </w:rPr>
        <w:t>This will include the following:</w:t>
      </w:r>
    </w:p>
    <w:p w14:paraId="683B780F" w14:textId="77777777" w:rsidR="000000D1" w:rsidRPr="000000D1" w:rsidRDefault="000000D1" w:rsidP="000000D1">
      <w:pPr>
        <w:ind w:left="1440"/>
        <w:rPr>
          <w:rFonts w:eastAsia="Calibri" w:cs="Times New Roman"/>
        </w:rPr>
      </w:pPr>
      <w:r w:rsidRPr="000000D1">
        <w:rPr>
          <w:rFonts w:eastAsia="Calibri" w:cs="Times New Roman"/>
        </w:rPr>
        <w:lastRenderedPageBreak/>
        <w:t>1. 100% of its own property, payroll compensation and receipts.</w:t>
      </w:r>
    </w:p>
    <w:p w14:paraId="4C79C2E5" w14:textId="77777777" w:rsidR="000000D1" w:rsidRPr="000000D1" w:rsidRDefault="000000D1" w:rsidP="000000D1">
      <w:pPr>
        <w:ind w:left="1440"/>
        <w:rPr>
          <w:rFonts w:eastAsia="Calibri" w:cs="Times New Roman"/>
        </w:rPr>
      </w:pPr>
      <w:r w:rsidRPr="000000D1">
        <w:rPr>
          <w:rFonts w:eastAsia="Calibri" w:cs="Times New Roman"/>
        </w:rPr>
        <w:t>2. 49.49% of [LP1's] property, payroll compensation and receipts.</w:t>
      </w:r>
    </w:p>
    <w:p w14:paraId="7636B729" w14:textId="77777777" w:rsidR="000000D1" w:rsidRPr="000000D1" w:rsidRDefault="000000D1" w:rsidP="000000D1">
      <w:pPr>
        <w:ind w:left="1440"/>
        <w:rPr>
          <w:rFonts w:eastAsia="Calibri" w:cs="Times New Roman"/>
        </w:rPr>
      </w:pPr>
      <w:r w:rsidRPr="000000D1">
        <w:rPr>
          <w:rFonts w:eastAsia="Calibri" w:cs="Times New Roman"/>
        </w:rPr>
        <w:t>3. 49.49% of property, payroll compensation and gross receipts passed-through to [LP1] by any limited partnership, subchapter S corporation, limited liability company, or other entity treated as a partnership for federal income tax purposes, in which the Taxpayer has an ownership interest, directly or indirectly through [LP1] and that is not doing business in Tennessee and thus is not subject to Tennessee franchise excise tax.</w:t>
      </w:r>
    </w:p>
    <w:p w14:paraId="2C1D9648" w14:textId="77777777" w:rsidR="000000D1" w:rsidRPr="000000D1" w:rsidRDefault="000000D1" w:rsidP="000000D1">
      <w:pPr>
        <w:ind w:left="1440"/>
        <w:rPr>
          <w:rFonts w:eastAsia="Calibri" w:cs="Times New Roman"/>
        </w:rPr>
      </w:pPr>
      <w:r w:rsidRPr="000000D1">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061B21B3" w14:textId="77777777" w:rsidR="000000D1" w:rsidRPr="000000D1" w:rsidRDefault="000000D1" w:rsidP="000000D1">
      <w:pPr>
        <w:ind w:left="720"/>
        <w:contextualSpacing/>
        <w:rPr>
          <w:rFonts w:eastAsia="Calibri" w:cs="Times New Roman"/>
        </w:rPr>
      </w:pPr>
      <w:r w:rsidRPr="000000D1">
        <w:rPr>
          <w:rFonts w:eastAsia="Calibri" w:cs="Times New Roman"/>
          <w:i/>
          <w:iCs/>
        </w:rPr>
        <w:t>Vodafone Americas Holdings, Inc. v. Roberts</w:t>
      </w:r>
      <w:r w:rsidRPr="000000D1">
        <w:rPr>
          <w:rFonts w:eastAsia="Calibri" w:cs="Times New Roman"/>
        </w:rPr>
        <w:t xml:space="preserve">, 486 SW3d 496 (Tenn. 2016) (applying alternative apportionment to a corporate partner). </w:t>
      </w:r>
    </w:p>
    <w:p w14:paraId="59E885D3" w14:textId="77777777" w:rsidR="000000D1" w:rsidRPr="000000D1" w:rsidRDefault="000000D1" w:rsidP="000000D1">
      <w:pPr>
        <w:pBdr>
          <w:bottom w:val="single" w:sz="4" w:space="0" w:color="auto"/>
        </w:pBdr>
        <w:rPr>
          <w:rFonts w:eastAsia="Calibri" w:cs="Times New Roman"/>
        </w:rPr>
      </w:pPr>
    </w:p>
    <w:p w14:paraId="4862D987"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1" w:name="_Toc195435312"/>
      <w:r w:rsidRPr="000000D1">
        <w:rPr>
          <w:rFonts w:ascii="Californian FB" w:eastAsia="Times New Roman" w:hAnsi="Californian FB" w:cs="Times New Roman"/>
          <w:b/>
          <w:color w:val="851C00"/>
          <w:sz w:val="24"/>
          <w:szCs w:val="24"/>
          <w:u w:val="single"/>
        </w:rPr>
        <w:t>Texas</w:t>
      </w:r>
      <w:bookmarkEnd w:id="151"/>
    </w:p>
    <w:p w14:paraId="133FDCC6"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Tex. Tax Code Ann. § 171.106(a) </w:t>
      </w:r>
    </w:p>
    <w:p w14:paraId="14054B69" w14:textId="77777777" w:rsidR="000000D1" w:rsidRPr="000000D1" w:rsidRDefault="000000D1" w:rsidP="000000D1">
      <w:pPr>
        <w:contextualSpacing/>
        <w:rPr>
          <w:rFonts w:eastAsia="Calibri" w:cs="Times New Roman"/>
        </w:rPr>
      </w:pPr>
    </w:p>
    <w:p w14:paraId="2A2AA674" w14:textId="77777777" w:rsidR="000000D1" w:rsidRPr="000000D1" w:rsidRDefault="000000D1" w:rsidP="000000D1">
      <w:pPr>
        <w:ind w:left="1440"/>
        <w:rPr>
          <w:rFonts w:eastAsia="Calibri" w:cs="Times New Roman"/>
        </w:rPr>
      </w:pPr>
      <w:r w:rsidRPr="000000D1">
        <w:rPr>
          <w:rFonts w:eastAsia="Calibri" w:cs="Times New Roman"/>
        </w:rPr>
        <w:t>Except as provided by this section, a taxable entity's margin is apportioned to this state to determine the amount of tax imposed under Section 171.002 by multiplying the 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41408988"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Tex. Tax Code § 171.1015 </w:t>
      </w:r>
    </w:p>
    <w:p w14:paraId="63E8F4A1"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7AFDB69A" w14:textId="77777777" w:rsidR="000000D1" w:rsidRPr="000000D1" w:rsidRDefault="000000D1" w:rsidP="000000D1">
      <w:pPr>
        <w:ind w:left="1800"/>
        <w:contextualSpacing/>
        <w:rPr>
          <w:rFonts w:eastAsia="Calibri" w:cs="Times New Roman"/>
        </w:rPr>
      </w:pPr>
    </w:p>
    <w:p w14:paraId="72532448" w14:textId="77777777" w:rsidR="000000D1" w:rsidRPr="000000D1" w:rsidRDefault="000000D1" w:rsidP="00E10036">
      <w:pPr>
        <w:numPr>
          <w:ilvl w:val="0"/>
          <w:numId w:val="30"/>
        </w:numPr>
        <w:rPr>
          <w:rFonts w:eastAsia="Calibri" w:cs="Times New Roman"/>
        </w:rPr>
      </w:pPr>
      <w:r w:rsidRPr="000000D1">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7AA3E58C"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7CAA34C0" w14:textId="77777777" w:rsidR="000000D1" w:rsidRPr="000000D1" w:rsidRDefault="000000D1" w:rsidP="000000D1">
      <w:pPr>
        <w:ind w:left="1800"/>
        <w:contextualSpacing/>
        <w:rPr>
          <w:rFonts w:eastAsia="Calibri" w:cs="Times New Roman"/>
        </w:rPr>
      </w:pPr>
    </w:p>
    <w:p w14:paraId="28B6A48F"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01D3D0B4"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The comptroller shall adopt rules to administer this section.</w:t>
      </w:r>
    </w:p>
    <w:p w14:paraId="35FA3932" w14:textId="77777777" w:rsidR="000000D1" w:rsidRPr="000000D1" w:rsidRDefault="000000D1" w:rsidP="000000D1">
      <w:pPr>
        <w:ind w:left="720"/>
        <w:contextualSpacing/>
        <w:rPr>
          <w:rFonts w:eastAsia="Calibri" w:cs="Times New Roman"/>
        </w:rPr>
      </w:pPr>
      <w:r w:rsidRPr="000000D1">
        <w:rPr>
          <w:rFonts w:eastAsia="Calibri" w:cs="Times New Roman"/>
        </w:rPr>
        <w:t xml:space="preserve">34 Tex. Admin. Code § 3.591(e)(20) </w:t>
      </w:r>
    </w:p>
    <w:p w14:paraId="5B7108A9" w14:textId="77777777" w:rsidR="000000D1" w:rsidRPr="000000D1" w:rsidRDefault="000000D1" w:rsidP="000000D1">
      <w:pPr>
        <w:ind w:left="720"/>
        <w:contextualSpacing/>
        <w:rPr>
          <w:rFonts w:eastAsia="Calibri" w:cs="Times New Roman"/>
        </w:rPr>
      </w:pPr>
    </w:p>
    <w:p w14:paraId="1A660F8B" w14:textId="77777777" w:rsidR="000000D1" w:rsidRPr="000000D1" w:rsidRDefault="000000D1" w:rsidP="000000D1">
      <w:pPr>
        <w:ind w:left="1440"/>
        <w:contextualSpacing/>
        <w:rPr>
          <w:rFonts w:eastAsia="Calibri" w:cs="Times New Roman"/>
        </w:rPr>
      </w:pPr>
      <w:r w:rsidRPr="000000D1">
        <w:rPr>
          <w:rFonts w:eastAsia="Calibri" w:cs="Times New Roman"/>
        </w:rPr>
        <w:t>The net distributive income or loss from a passive entity that is included in total revenue is sourced to the principal place of business of the passive entity.</w:t>
      </w:r>
    </w:p>
    <w:p w14:paraId="586EFA4C" w14:textId="77777777" w:rsidR="000000D1" w:rsidRPr="000000D1" w:rsidRDefault="000000D1" w:rsidP="000000D1">
      <w:pPr>
        <w:ind w:left="1440"/>
        <w:contextualSpacing/>
        <w:rPr>
          <w:rFonts w:eastAsia="Calibri" w:cs="Times New Roman"/>
        </w:rPr>
      </w:pPr>
    </w:p>
    <w:p w14:paraId="3485154B" w14:textId="77777777" w:rsidR="000000D1" w:rsidRPr="000000D1" w:rsidRDefault="000000D1" w:rsidP="000000D1">
      <w:pPr>
        <w:ind w:firstLine="720"/>
        <w:rPr>
          <w:rFonts w:eastAsia="Calibri" w:cs="Times New Roman"/>
          <w:i/>
          <w:iCs/>
        </w:rPr>
      </w:pPr>
      <w:r w:rsidRPr="000000D1">
        <w:rPr>
          <w:rFonts w:eastAsia="Calibri" w:cs="Times New Roman"/>
        </w:rPr>
        <w:t xml:space="preserve">Texas Comptroller's Letter No. 202104018L (April 14, 2021) </w:t>
      </w:r>
    </w:p>
    <w:p w14:paraId="708EB65C" w14:textId="77777777" w:rsidR="000000D1" w:rsidRPr="000000D1" w:rsidRDefault="000000D1" w:rsidP="000000D1">
      <w:pPr>
        <w:rPr>
          <w:rFonts w:eastAsia="Calibri" w:cs="Times New Roman"/>
          <w:bCs/>
          <w:i/>
          <w:iCs/>
        </w:rPr>
      </w:pPr>
      <w:r w:rsidRPr="000000D1">
        <w:rPr>
          <w:rFonts w:eastAsia="Calibri" w:cs="Times New Roman"/>
          <w:i/>
          <w:iCs/>
        </w:rPr>
        <w:tab/>
      </w:r>
      <w:r w:rsidRPr="000000D1">
        <w:rPr>
          <w:rFonts w:eastAsia="Calibri" w:cs="Times New Roman"/>
          <w:i/>
          <w:iCs/>
        </w:rPr>
        <w:tab/>
      </w:r>
      <w:r w:rsidRPr="000000D1">
        <w:rPr>
          <w:rFonts w:eastAsia="Calibri" w:cs="Times New Roman"/>
          <w:bCs/>
          <w:i/>
          <w:iCs/>
        </w:rPr>
        <w:t>Tiered Partnership Provisions</w:t>
      </w:r>
    </w:p>
    <w:p w14:paraId="2DF6D8A4" w14:textId="77777777" w:rsidR="000000D1" w:rsidRPr="000000D1" w:rsidRDefault="000000D1" w:rsidP="000000D1">
      <w:pPr>
        <w:ind w:left="1440"/>
        <w:rPr>
          <w:rFonts w:eastAsia="Calibri" w:cs="Times New Roman"/>
          <w:b/>
          <w:bCs/>
        </w:rPr>
      </w:pPr>
      <w:r w:rsidRPr="000000D1">
        <w:rPr>
          <w:rFonts w:eastAsia="Calibri" w:cs="Times New Roman"/>
          <w:b/>
          <w:bCs/>
        </w:rPr>
        <w:t>Can a lower tier entity exclude from total revenue the amount of total revenue that it reports to an upper tier entity under the tiered partnership provisions?</w:t>
      </w:r>
    </w:p>
    <w:p w14:paraId="71E1D0BC" w14:textId="77777777" w:rsidR="000000D1" w:rsidRPr="000000D1" w:rsidRDefault="000000D1" w:rsidP="000000D1">
      <w:pPr>
        <w:ind w:left="1440"/>
        <w:rPr>
          <w:rFonts w:eastAsia="Calibri" w:cs="Times New Roman"/>
        </w:rPr>
      </w:pPr>
      <w:r w:rsidRPr="000000D1">
        <w:rPr>
          <w:rFonts w:eastAsia="Calibri" w:cs="Times New Roman"/>
        </w:rPr>
        <w:t>Yes. However, a lower tier entity may not report total revenue to an upper tier entity if the upper tier entity is not subject to the franchise tax. (Texas Tax Code (TTC) 171.1015.)</w:t>
      </w:r>
    </w:p>
    <w:p w14:paraId="7F11AF3C" w14:textId="77777777" w:rsidR="000000D1" w:rsidRPr="000000D1" w:rsidRDefault="000000D1" w:rsidP="000000D1">
      <w:pPr>
        <w:ind w:left="1440"/>
        <w:rPr>
          <w:rFonts w:eastAsia="Calibri" w:cs="Times New Roman"/>
          <w:b/>
          <w:bCs/>
        </w:rPr>
      </w:pPr>
      <w:r w:rsidRPr="000000D1">
        <w:rPr>
          <w:rFonts w:eastAsia="Calibri" w:cs="Times New Roman"/>
          <w:b/>
          <w:bCs/>
        </w:rPr>
        <w:t>Are there any special reports that must be filed if the tiered partnership provision is used?</w:t>
      </w:r>
    </w:p>
    <w:p w14:paraId="647C8336" w14:textId="77777777" w:rsidR="000000D1" w:rsidRPr="000000D1" w:rsidRDefault="000000D1" w:rsidP="000000D1">
      <w:pPr>
        <w:ind w:left="1440"/>
        <w:rPr>
          <w:rFonts w:eastAsia="Calibri" w:cs="Times New Roman"/>
        </w:rPr>
      </w:pPr>
      <w:r w:rsidRPr="000000D1">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17C2968C" w14:textId="77777777" w:rsidR="000000D1" w:rsidRPr="000000D1" w:rsidRDefault="000000D1" w:rsidP="000000D1">
      <w:pPr>
        <w:ind w:left="1440"/>
        <w:rPr>
          <w:rFonts w:eastAsia="Calibri" w:cs="Times New Roman"/>
          <w:b/>
          <w:bCs/>
        </w:rPr>
      </w:pPr>
      <w:r w:rsidRPr="000000D1">
        <w:rPr>
          <w:rFonts w:eastAsia="Calibri" w:cs="Times New Roman"/>
          <w:b/>
          <w:bCs/>
        </w:rPr>
        <w:t>Is an upper tier entity eligible for the E-Z computation or no tax due report?</w:t>
      </w:r>
    </w:p>
    <w:p w14:paraId="1F1629DD" w14:textId="77777777" w:rsidR="000000D1" w:rsidRPr="000000D1" w:rsidRDefault="000000D1" w:rsidP="000000D1">
      <w:pPr>
        <w:ind w:left="1440"/>
        <w:rPr>
          <w:rFonts w:eastAsia="Calibri" w:cs="Times New Roman"/>
        </w:rPr>
      </w:pPr>
      <w:r w:rsidRPr="000000D1">
        <w:rPr>
          <w:rFonts w:eastAsia="Calibri" w:cs="Times New Roman"/>
        </w:rPr>
        <w:t>The no tax due thresholds and the E-Z computation do not apply to an upper or lower tier entity if, before the attribution of any total revenue by a lower tier entity to an upper tier entity, the lower tier entity does not meet the criteria.</w:t>
      </w:r>
    </w:p>
    <w:p w14:paraId="3050D52F" w14:textId="77777777" w:rsidR="000000D1" w:rsidRPr="000000D1" w:rsidRDefault="000000D1" w:rsidP="000000D1">
      <w:pPr>
        <w:ind w:left="1440"/>
        <w:rPr>
          <w:rFonts w:eastAsia="Calibri" w:cs="Times New Roman"/>
          <w:b/>
          <w:bCs/>
        </w:rPr>
      </w:pPr>
      <w:r w:rsidRPr="000000D1">
        <w:rPr>
          <w:rFonts w:eastAsia="Calibri" w:cs="Times New Roman"/>
          <w:b/>
          <w:bCs/>
        </w:rPr>
        <w:t>Do the tiered partnership provisions apply if some of the entities in the tiered partnership arrangement are part of a combined group?</w:t>
      </w:r>
    </w:p>
    <w:p w14:paraId="280F3402" w14:textId="77777777" w:rsidR="000000D1" w:rsidRPr="000000D1" w:rsidRDefault="000000D1" w:rsidP="000000D1">
      <w:pPr>
        <w:ind w:left="1440"/>
        <w:rPr>
          <w:rFonts w:eastAsia="Calibri" w:cs="Times New Roman"/>
        </w:rPr>
      </w:pPr>
      <w:r w:rsidRPr="000000D1">
        <w:rPr>
          <w:rFonts w:eastAsia="Calibri" w:cs="Times New Roman"/>
        </w:rPr>
        <w:t>The tiered partnership provision is not available if the lower tier entity is included in a combined group.</w:t>
      </w:r>
    </w:p>
    <w:p w14:paraId="6A4AF296" w14:textId="77777777" w:rsidR="000000D1" w:rsidRPr="000000D1" w:rsidRDefault="000000D1" w:rsidP="000000D1">
      <w:pPr>
        <w:ind w:left="1440"/>
        <w:rPr>
          <w:rFonts w:eastAsia="Calibri" w:cs="Times New Roman"/>
          <w:b/>
          <w:bCs/>
        </w:rPr>
      </w:pPr>
      <w:r w:rsidRPr="000000D1">
        <w:rPr>
          <w:rFonts w:eastAsia="Calibri" w:cs="Times New Roman"/>
          <w:b/>
          <w:bCs/>
        </w:rPr>
        <w:t>Do upper tiers and lower tiers have to have the same accounting period to make the tiered partnership election?</w:t>
      </w:r>
    </w:p>
    <w:p w14:paraId="584957BB" w14:textId="77777777" w:rsidR="000000D1" w:rsidRPr="000000D1" w:rsidRDefault="000000D1" w:rsidP="000000D1">
      <w:pPr>
        <w:ind w:left="1440"/>
        <w:rPr>
          <w:rFonts w:eastAsia="Calibri" w:cs="Times New Roman"/>
        </w:rPr>
      </w:pPr>
      <w:r w:rsidRPr="000000D1">
        <w:rPr>
          <w:rFonts w:eastAsia="Calibri" w:cs="Times New Roman"/>
        </w:rPr>
        <w:t>No, but the revenue must be allocated to the accounting period on which the report is based.</w:t>
      </w:r>
    </w:p>
    <w:p w14:paraId="10B788B6" w14:textId="77777777" w:rsidR="000000D1" w:rsidRPr="000000D1" w:rsidRDefault="000000D1" w:rsidP="000000D1">
      <w:pPr>
        <w:ind w:left="1440"/>
        <w:rPr>
          <w:rFonts w:eastAsia="Calibri" w:cs="Times New Roman"/>
          <w:b/>
          <w:bCs/>
        </w:rPr>
      </w:pPr>
      <w:r w:rsidRPr="000000D1">
        <w:rPr>
          <w:rFonts w:eastAsia="Calibri" w:cs="Times New Roman"/>
          <w:b/>
          <w:bCs/>
        </w:rPr>
        <w:t>Is the tiered partnership election in TTC 171.1015 mandatory?</w:t>
      </w:r>
    </w:p>
    <w:p w14:paraId="6C04778B" w14:textId="77777777" w:rsidR="000000D1" w:rsidRPr="000000D1" w:rsidRDefault="000000D1" w:rsidP="000000D1">
      <w:pPr>
        <w:ind w:left="1440"/>
        <w:rPr>
          <w:rFonts w:eastAsia="Calibri" w:cs="Times New Roman"/>
        </w:rPr>
      </w:pPr>
      <w:r w:rsidRPr="000000D1">
        <w:rPr>
          <w:rFonts w:eastAsia="Calibri" w:cs="Times New Roman"/>
        </w:rPr>
        <w:t>No.</w:t>
      </w:r>
    </w:p>
    <w:p w14:paraId="026B1001" w14:textId="77777777" w:rsidR="000000D1" w:rsidRPr="000000D1" w:rsidRDefault="000000D1" w:rsidP="000000D1">
      <w:pPr>
        <w:ind w:left="1440"/>
        <w:rPr>
          <w:rFonts w:eastAsia="Calibri" w:cs="Times New Roman"/>
          <w:b/>
          <w:bCs/>
        </w:rPr>
      </w:pPr>
      <w:r w:rsidRPr="000000D1">
        <w:rPr>
          <w:rFonts w:eastAsia="Calibri" w:cs="Times New Roman"/>
          <w:b/>
          <w:bCs/>
        </w:rPr>
        <w:t>Is the tiered partnership election in TTC 171.1015 an alternative to combined reporting?</w:t>
      </w:r>
    </w:p>
    <w:p w14:paraId="60519741" w14:textId="77777777" w:rsidR="000000D1" w:rsidRPr="000000D1" w:rsidRDefault="000000D1" w:rsidP="000000D1">
      <w:pPr>
        <w:ind w:left="1440"/>
        <w:rPr>
          <w:rFonts w:eastAsia="Calibri" w:cs="Times New Roman"/>
        </w:rPr>
      </w:pPr>
      <w:r w:rsidRPr="000000D1">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35248EDA" w14:textId="77777777" w:rsidR="000000D1" w:rsidRPr="000000D1" w:rsidRDefault="000000D1" w:rsidP="000000D1">
      <w:pPr>
        <w:ind w:left="1440"/>
        <w:rPr>
          <w:rFonts w:eastAsia="Calibri" w:cs="Times New Roman"/>
          <w:b/>
          <w:bCs/>
        </w:rPr>
      </w:pPr>
      <w:r w:rsidRPr="000000D1">
        <w:rPr>
          <w:rFonts w:eastAsia="Calibri" w:cs="Times New Roman"/>
          <w:b/>
          <w:bCs/>
        </w:rPr>
        <w:t>If the tiered partnership election in TTC 171.1015 is made, does the lower tier partnership have to report all revenue to all upper tier entities?</w:t>
      </w:r>
    </w:p>
    <w:p w14:paraId="568923CD" w14:textId="77777777" w:rsidR="000000D1" w:rsidRPr="000000D1" w:rsidRDefault="000000D1" w:rsidP="000000D1">
      <w:pPr>
        <w:ind w:left="1440"/>
        <w:rPr>
          <w:rFonts w:eastAsia="Calibri" w:cs="Times New Roman"/>
          <w:i/>
          <w:iCs/>
        </w:rPr>
      </w:pPr>
      <w:r w:rsidRPr="000000D1">
        <w:rPr>
          <w:rFonts w:eastAsia="Calibri" w:cs="Times New Roman"/>
        </w:rPr>
        <w:t xml:space="preserve">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w:t>
      </w:r>
      <w:r w:rsidRPr="000000D1">
        <w:rPr>
          <w:rFonts w:eastAsia="Calibri" w:cs="Times New Roman"/>
        </w:rPr>
        <w:lastRenderedPageBreak/>
        <w:t>lower tier entity may not report total revenue to an upper tier entity if the upper tier entity is not subject to the franchise tax</w:t>
      </w:r>
      <w:r w:rsidRPr="000000D1">
        <w:rPr>
          <w:rFonts w:eastAsia="Calibri" w:cs="Times New Roman"/>
          <w:i/>
          <w:iCs/>
        </w:rPr>
        <w:t>.</w:t>
      </w:r>
    </w:p>
    <w:p w14:paraId="662F4ACF" w14:textId="77777777" w:rsidR="000000D1" w:rsidRPr="000000D1" w:rsidRDefault="000000D1" w:rsidP="000000D1">
      <w:pPr>
        <w:ind w:left="720"/>
        <w:contextualSpacing/>
        <w:rPr>
          <w:rFonts w:eastAsia="Calibri" w:cs="Times New Roman"/>
        </w:rPr>
      </w:pPr>
      <w:r w:rsidRPr="000000D1">
        <w:rPr>
          <w:rFonts w:eastAsia="Calibri" w:cs="Times New Roman"/>
        </w:rPr>
        <w:t xml:space="preserve">34 Tex. Admin. Code § 3.590 </w:t>
      </w:r>
    </w:p>
    <w:p w14:paraId="3F55D126" w14:textId="77777777" w:rsidR="000000D1" w:rsidRPr="000000D1" w:rsidRDefault="000000D1" w:rsidP="000000D1">
      <w:pPr>
        <w:contextualSpacing/>
        <w:rPr>
          <w:rFonts w:eastAsia="Calibri" w:cs="Times New Roman"/>
        </w:rPr>
      </w:pPr>
    </w:p>
    <w:p w14:paraId="5A457280" w14:textId="77777777" w:rsidR="000000D1" w:rsidRPr="000000D1" w:rsidRDefault="000000D1" w:rsidP="000000D1">
      <w:pPr>
        <w:ind w:left="1440"/>
        <w:rPr>
          <w:rFonts w:eastAsia="Calibri" w:cs="Times New Roman"/>
        </w:rPr>
      </w:pPr>
      <w:r w:rsidRPr="000000D1">
        <w:rPr>
          <w:rFonts w:eastAsia="Calibri" w:cs="Times New Roman"/>
        </w:rPr>
        <w:t>(b)(2)(D) Eligible pass-through entities including partnerships, limited liability companies taxed as partnerships under federal law, limited liability companies that are disregarded under federal law and S corporations are included in a combined group . . .</w:t>
      </w:r>
    </w:p>
    <w:p w14:paraId="35466E38" w14:textId="77777777" w:rsidR="000000D1" w:rsidRPr="000000D1" w:rsidRDefault="000000D1" w:rsidP="000000D1">
      <w:pPr>
        <w:ind w:left="1440"/>
        <w:rPr>
          <w:rFonts w:eastAsia="Calibri" w:cs="Times New Roman"/>
        </w:rPr>
      </w:pPr>
      <w:r w:rsidRPr="000000D1">
        <w:rPr>
          <w:rFonts w:eastAsia="Calibri" w:cs="Times New Roman"/>
        </w:rPr>
        <w:t>(b)(2)(E) Passive entities are not included in the combined group; however, the pro rata share of net income from a passive entity shall be included in total revenue to the extent it was not generated by the margin of another taxable entity . . .</w:t>
      </w:r>
    </w:p>
    <w:p w14:paraId="69FF2C63" w14:textId="77777777" w:rsidR="000000D1" w:rsidRPr="000000D1" w:rsidRDefault="000000D1" w:rsidP="000000D1">
      <w:pPr>
        <w:ind w:left="1440"/>
        <w:rPr>
          <w:rFonts w:eastAsia="Calibri" w:cs="Times New Roman"/>
        </w:rPr>
      </w:pPr>
      <w:r w:rsidRPr="000000D1">
        <w:rPr>
          <w:rFonts w:eastAsia="Calibri" w:cs="Times New Roman"/>
        </w:rPr>
        <w:t>(b)(4)(A) Controlling interest means . . .</w:t>
      </w:r>
    </w:p>
    <w:p w14:paraId="7D56CE31" w14:textId="77777777" w:rsidR="000000D1" w:rsidRPr="000000D1" w:rsidRDefault="000000D1" w:rsidP="000000D1">
      <w:pPr>
        <w:ind w:left="2160"/>
        <w:rPr>
          <w:rFonts w:eastAsia="Calibri" w:cs="Times New Roman"/>
        </w:rPr>
      </w:pPr>
      <w:r w:rsidRPr="000000D1">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06313427" w14:textId="77777777" w:rsidR="000000D1" w:rsidRPr="000000D1" w:rsidRDefault="000000D1" w:rsidP="000000D1">
      <w:pPr>
        <w:ind w:left="2160"/>
        <w:rPr>
          <w:rFonts w:eastAsia="Calibri" w:cs="Times New Roman"/>
        </w:rPr>
      </w:pPr>
      <w:r w:rsidRPr="000000D1">
        <w:rPr>
          <w:rFonts w:eastAsia="Calibri" w:cs="Times New Roman"/>
        </w:rPr>
        <w:t>(iii) 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28AA6382" w14:textId="77777777" w:rsidR="000000D1" w:rsidRPr="000000D1" w:rsidRDefault="000000D1" w:rsidP="000000D1">
      <w:pPr>
        <w:rPr>
          <w:rFonts w:eastAsia="Calibri" w:cs="Times New Roman"/>
        </w:rPr>
      </w:pPr>
      <w:r w:rsidRPr="000000D1">
        <w:rPr>
          <w:rFonts w:eastAsia="Calibri" w:cs="Times New Roman"/>
        </w:rPr>
        <w:tab/>
      </w:r>
      <w:r w:rsidRPr="000000D1">
        <w:rPr>
          <w:rFonts w:eastAsia="Calibri" w:cs="Times New Roman"/>
        </w:rPr>
        <w:tab/>
        <w:t>(b)(4)(B) Examples are as follows. . .</w:t>
      </w:r>
    </w:p>
    <w:p w14:paraId="2BB83391" w14:textId="77777777" w:rsidR="000000D1" w:rsidRPr="000000D1" w:rsidRDefault="000000D1" w:rsidP="000000D1">
      <w:pPr>
        <w:ind w:left="2160"/>
        <w:rPr>
          <w:rFonts w:eastAsia="Calibri" w:cs="Times New Roman"/>
          <w:b/>
          <w:bCs/>
        </w:rPr>
      </w:pPr>
      <w:r w:rsidRPr="000000D1">
        <w:rPr>
          <w:rFonts w:eastAsia="Calibri" w:cs="Times New Roman"/>
        </w:rPr>
        <w:t>(iii)</w:t>
      </w:r>
      <w:r w:rsidRPr="000000D1">
        <w:rPr>
          <w:rFonts w:eastAsia="Calibri" w:cs="Times New Roman"/>
          <w:b/>
          <w:bCs/>
        </w:rPr>
        <w:t xml:space="preserve"> </w:t>
      </w:r>
      <w:r w:rsidRPr="000000D1">
        <w:rPr>
          <w:rFonts w:eastAsia="Calibri" w:cs="Times New Roman"/>
        </w:rPr>
        <w:t>Individual A owns 100% of 10 corporations, each of which owns 10% of Partnership B. Individual A has a controlling interest in each of the ten corporations and in Partnership B.</w:t>
      </w:r>
    </w:p>
    <w:p w14:paraId="549F0423" w14:textId="77777777" w:rsidR="000000D1" w:rsidRPr="000000D1" w:rsidRDefault="000000D1" w:rsidP="000000D1">
      <w:pPr>
        <w:ind w:left="2160"/>
        <w:rPr>
          <w:rFonts w:eastAsia="Calibri" w:cs="Times New Roman"/>
        </w:rPr>
      </w:pPr>
      <w:r w:rsidRPr="000000D1">
        <w:rPr>
          <w:rFonts w:eastAsia="Calibri" w:cs="Times New Roman"/>
        </w:rPr>
        <w:t>(iv)</w:t>
      </w:r>
      <w:r w:rsidRPr="000000D1">
        <w:rPr>
          <w:rFonts w:eastAsia="Calibri" w:cs="Times New Roman"/>
          <w:b/>
          <w:bCs/>
        </w:rPr>
        <w:t xml:space="preserve"> </w:t>
      </w:r>
      <w:r w:rsidRPr="000000D1">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736E90F9" w14:textId="77777777" w:rsidR="000000D1" w:rsidRPr="000000D1" w:rsidRDefault="000000D1" w:rsidP="000000D1">
      <w:pPr>
        <w:ind w:left="2160"/>
        <w:rPr>
          <w:rFonts w:eastAsia="Calibri" w:cs="Times New Roman"/>
        </w:rPr>
      </w:pPr>
      <w:r w:rsidRPr="000000D1">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73BC8DA0" w14:textId="77777777" w:rsidR="000000D1" w:rsidRPr="000000D1" w:rsidRDefault="000000D1" w:rsidP="000000D1">
      <w:pPr>
        <w:ind w:left="2160"/>
        <w:rPr>
          <w:rFonts w:eastAsia="Calibri" w:cs="Times New Roman"/>
        </w:rPr>
      </w:pPr>
      <w:r w:rsidRPr="000000D1">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239225FE" w14:textId="77777777" w:rsidR="000000D1" w:rsidRPr="000000D1" w:rsidRDefault="000000D1" w:rsidP="000000D1">
      <w:pPr>
        <w:ind w:left="2160"/>
        <w:rPr>
          <w:rFonts w:eastAsia="Calibri" w:cs="Times New Roman"/>
        </w:rPr>
      </w:pPr>
      <w:r w:rsidRPr="000000D1">
        <w:rPr>
          <w:rFonts w:eastAsia="Calibri" w:cs="Times New Roman"/>
        </w:rPr>
        <w:t>(vii) Individual A and Individual B each owns 50% of Partnership X. Individual A and Individual B each also owns 50% of Partnership Y. Individual A and Individual B are not husband and wife. Since neither individual owns more than 50% of each partnership, neither individual has a controlling interest in the partnerships.</w:t>
      </w:r>
    </w:p>
    <w:p w14:paraId="38C84648" w14:textId="77777777" w:rsidR="000000D1" w:rsidRPr="000000D1" w:rsidRDefault="000000D1" w:rsidP="000000D1">
      <w:pPr>
        <w:ind w:left="1440"/>
        <w:rPr>
          <w:rFonts w:eastAsia="Calibri" w:cs="Times New Roman"/>
        </w:rPr>
      </w:pPr>
      <w:r w:rsidRPr="000000D1">
        <w:rPr>
          <w:rFonts w:eastAsia="Calibri" w:cs="Times New Roman"/>
        </w:rPr>
        <w:t xml:space="preserve">(b)(4)(F) Membership in more than one group. If an entity is a member of more than one affiliated group, the entity is treated as a member of the affiliated group (or part </w:t>
      </w:r>
      <w:r w:rsidRPr="000000D1">
        <w:rPr>
          <w:rFonts w:eastAsia="Calibri" w:cs="Times New Roman"/>
        </w:rPr>
        <w:lastRenderedPageBreak/>
        <w:t>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763D1D28" w14:textId="77777777" w:rsidR="000000D1" w:rsidRPr="000000D1" w:rsidRDefault="000000D1" w:rsidP="000000D1">
      <w:pPr>
        <w:pBdr>
          <w:bottom w:val="single" w:sz="4" w:space="0" w:color="auto"/>
        </w:pBdr>
        <w:rPr>
          <w:rFonts w:eastAsia="Calibri" w:cs="Times New Roman"/>
        </w:rPr>
      </w:pPr>
    </w:p>
    <w:p w14:paraId="2194820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2" w:name="_Toc195435313"/>
      <w:r w:rsidRPr="000000D1">
        <w:rPr>
          <w:rFonts w:ascii="Californian FB" w:eastAsia="Times New Roman" w:hAnsi="Californian FB" w:cs="Times New Roman"/>
          <w:b/>
          <w:color w:val="851C00"/>
          <w:sz w:val="24"/>
          <w:szCs w:val="24"/>
          <w:u w:val="single"/>
        </w:rPr>
        <w:t>Utah</w:t>
      </w:r>
      <w:bookmarkEnd w:id="152"/>
    </w:p>
    <w:p w14:paraId="594D92DF"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59-10-1404 </w:t>
      </w:r>
    </w:p>
    <w:p w14:paraId="10085BAB" w14:textId="77777777" w:rsidR="000000D1" w:rsidRPr="000000D1" w:rsidRDefault="000000D1" w:rsidP="000000D1">
      <w:pPr>
        <w:contextualSpacing/>
        <w:rPr>
          <w:rFonts w:eastAsia="Calibri" w:cs="Times New Roman"/>
        </w:rPr>
      </w:pPr>
    </w:p>
    <w:p w14:paraId="2BB15CC1" w14:textId="77777777" w:rsidR="000000D1" w:rsidRPr="000000D1" w:rsidRDefault="000000D1" w:rsidP="000000D1">
      <w:pPr>
        <w:ind w:left="1440"/>
        <w:rPr>
          <w:rFonts w:eastAsia="Calibri" w:cs="Times New Roman"/>
        </w:rPr>
      </w:pPr>
      <w:r w:rsidRPr="000000D1">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p>
    <w:p w14:paraId="4E402357" w14:textId="77777777" w:rsidR="000000D1" w:rsidRPr="000000D1" w:rsidRDefault="000000D1" w:rsidP="00E10036">
      <w:pPr>
        <w:numPr>
          <w:ilvl w:val="0"/>
          <w:numId w:val="31"/>
        </w:numPr>
        <w:contextualSpacing/>
        <w:rPr>
          <w:rFonts w:eastAsia="Calibri" w:cs="Times New Roman"/>
        </w:rPr>
      </w:pPr>
      <w:r w:rsidRPr="000000D1">
        <w:rPr>
          <w:rFonts w:eastAsia="Calibri" w:cs="Times New Roman"/>
        </w:rPr>
        <w:t>realized directly from the source from which the item of income, gain, loss, deduction, or credit is realized by the pass-through entity; or</w:t>
      </w:r>
    </w:p>
    <w:p w14:paraId="0D98A889" w14:textId="77777777" w:rsidR="000000D1" w:rsidRPr="000000D1" w:rsidRDefault="000000D1" w:rsidP="00E10036">
      <w:pPr>
        <w:numPr>
          <w:ilvl w:val="0"/>
          <w:numId w:val="31"/>
        </w:numPr>
        <w:contextualSpacing/>
        <w:rPr>
          <w:rFonts w:eastAsia="Calibri" w:cs="Times New Roman"/>
        </w:rPr>
      </w:pPr>
      <w:r w:rsidRPr="000000D1">
        <w:rPr>
          <w:rFonts w:eastAsia="Calibri" w:cs="Times New Roman"/>
        </w:rPr>
        <w:t>incurred in the same manner as incurred by the pass-through entity.</w:t>
      </w:r>
    </w:p>
    <w:p w14:paraId="348640C6"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59-10-117(1)(d) </w:t>
      </w:r>
    </w:p>
    <w:p w14:paraId="1D6FBDD4" w14:textId="77777777" w:rsidR="000000D1" w:rsidRPr="000000D1" w:rsidRDefault="000000D1" w:rsidP="000000D1">
      <w:pPr>
        <w:contextualSpacing/>
        <w:rPr>
          <w:rFonts w:eastAsia="Calibri" w:cs="Times New Roman"/>
        </w:rPr>
      </w:pPr>
    </w:p>
    <w:p w14:paraId="62D235F2" w14:textId="77777777" w:rsidR="000000D1" w:rsidRPr="000000D1" w:rsidRDefault="000000D1" w:rsidP="000000D1">
      <w:pPr>
        <w:ind w:left="1440"/>
        <w:rPr>
          <w:rFonts w:eastAsia="Calibri" w:cs="Times New Roman"/>
        </w:rPr>
      </w:pPr>
      <w:r w:rsidRPr="000000D1">
        <w:rPr>
          <w:rFonts w:eastAsia="Calibri" w:cs="Times New Roman"/>
        </w:rPr>
        <w:t>a share of income, gain, loss, deduction, or credit of a nonresident pass-through entity taxpayer, as defined in Section 59-10-1402, derived from or connected with Utah sources shall be determined in accordance with Section 59-10-118 . . .</w:t>
      </w:r>
    </w:p>
    <w:p w14:paraId="356C6D24"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59-10-1402(6) </w:t>
      </w:r>
    </w:p>
    <w:p w14:paraId="1BA3CAF5" w14:textId="77777777" w:rsidR="000000D1" w:rsidRPr="000000D1" w:rsidRDefault="000000D1" w:rsidP="000000D1">
      <w:pPr>
        <w:contextualSpacing/>
        <w:rPr>
          <w:rFonts w:eastAsia="Calibri" w:cs="Times New Roman"/>
        </w:rPr>
      </w:pPr>
    </w:p>
    <w:p w14:paraId="75ADDA6A" w14:textId="77777777" w:rsidR="000000D1" w:rsidRPr="000000D1" w:rsidRDefault="000000D1" w:rsidP="000000D1">
      <w:pPr>
        <w:ind w:left="1440"/>
        <w:rPr>
          <w:rFonts w:eastAsia="Calibri" w:cs="Times New Roman"/>
        </w:rPr>
      </w:pPr>
      <w:r w:rsidRPr="000000D1">
        <w:rPr>
          <w:rFonts w:eastAsia="Calibri" w:cs="Times New Roman"/>
        </w:rPr>
        <w:t>"Derived from or connected with Utah sources" means:</w:t>
      </w:r>
    </w:p>
    <w:p w14:paraId="29A1044D" w14:textId="77777777" w:rsidR="000000D1" w:rsidRPr="000000D1" w:rsidRDefault="000000D1" w:rsidP="000000D1">
      <w:pPr>
        <w:ind w:left="1440"/>
        <w:rPr>
          <w:rFonts w:eastAsia="Calibri" w:cs="Times New Roman"/>
        </w:rPr>
      </w:pPr>
      <w:r w:rsidRPr="000000D1">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212ED81D" w14:textId="77777777" w:rsidR="000000D1" w:rsidRPr="000000D1" w:rsidRDefault="000000D1" w:rsidP="000000D1">
      <w:pPr>
        <w:ind w:left="1440"/>
        <w:rPr>
          <w:rFonts w:eastAsia="Calibri" w:cs="Times New Roman"/>
        </w:rPr>
      </w:pPr>
      <w:r w:rsidRPr="000000D1">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D2597B8" w14:textId="77777777" w:rsidR="000000D1" w:rsidRPr="000000D1" w:rsidRDefault="000000D1" w:rsidP="000000D1">
      <w:pPr>
        <w:ind w:left="720"/>
        <w:contextualSpacing/>
        <w:rPr>
          <w:rFonts w:eastAsia="Calibri" w:cs="Times New Roman"/>
        </w:rPr>
      </w:pPr>
      <w:r w:rsidRPr="000000D1">
        <w:rPr>
          <w:rFonts w:eastAsia="Calibri" w:cs="Times New Roman"/>
        </w:rPr>
        <w:t>Utah Admin. Code R865-9I-13(1)</w:t>
      </w:r>
    </w:p>
    <w:p w14:paraId="463A36C0" w14:textId="77777777" w:rsidR="000000D1" w:rsidRPr="000000D1" w:rsidRDefault="000000D1" w:rsidP="000000D1">
      <w:pPr>
        <w:contextualSpacing/>
        <w:rPr>
          <w:rFonts w:eastAsia="Calibri" w:cs="Times New Roman"/>
        </w:rPr>
      </w:pPr>
    </w:p>
    <w:p w14:paraId="42533379" w14:textId="77777777" w:rsidR="000000D1" w:rsidRPr="000000D1" w:rsidRDefault="000000D1" w:rsidP="000000D1">
      <w:pPr>
        <w:ind w:left="1440"/>
        <w:rPr>
          <w:rFonts w:eastAsia="Calibri" w:cs="Times New Roman"/>
        </w:rPr>
      </w:pPr>
      <w:bookmarkStart w:id="153" w:name="section(1)(1)(1)(b)_0"/>
      <w:r w:rsidRPr="000000D1">
        <w:rPr>
          <w:rFonts w:eastAsia="Calibri" w:cs="Times New Roman"/>
        </w:rPr>
        <w:t>(b)</w:t>
      </w:r>
      <w:bookmarkEnd w:id="153"/>
      <w:r w:rsidRPr="000000D1">
        <w:rPr>
          <w:rFonts w:eastAsia="Calibri" w:cs="Times New Roman"/>
        </w:rPr>
        <w:t> the nonbusiness income of the pass-through entity derived from or connected with Utah sources.</w:t>
      </w:r>
    </w:p>
    <w:p w14:paraId="0CEA8CFD" w14:textId="77777777" w:rsidR="000000D1" w:rsidRPr="000000D1" w:rsidRDefault="000000D1" w:rsidP="000000D1">
      <w:pPr>
        <w:ind w:left="1440"/>
        <w:rPr>
          <w:rFonts w:eastAsia="Calibri" w:cs="Times New Roman"/>
        </w:rPr>
      </w:pPr>
      <w:bookmarkStart w:id="154" w:name="section(1)(1)(1)(b)(1)(1)(b)(1)(b)(i)_0"/>
      <w:r w:rsidRPr="000000D1">
        <w:rPr>
          <w:rFonts w:eastAsia="Calibri" w:cs="Times New Roman"/>
        </w:rPr>
        <w:t>(i)</w:t>
      </w:r>
      <w:bookmarkEnd w:id="154"/>
      <w:r w:rsidRPr="000000D1">
        <w:rPr>
          <w:rFonts w:eastAsia="Calibri" w:cs="Times New Roman"/>
        </w:rPr>
        <w:t> "Nonbusiness income of the pass-through entity derived from or connected with Utah sources" does not include portfolio income if the income would not be reportable to Utah on the pass-through entity taxpayer's Utah state tax return or the Utah state tax return of any downstream pass-through entity taxpayer.</w:t>
      </w:r>
    </w:p>
    <w:p w14:paraId="1D2F8C32" w14:textId="77777777" w:rsidR="000000D1" w:rsidRPr="000000D1" w:rsidRDefault="000000D1" w:rsidP="000000D1">
      <w:pPr>
        <w:ind w:left="1440"/>
        <w:rPr>
          <w:rFonts w:eastAsia="Calibri" w:cs="Times New Roman"/>
        </w:rPr>
      </w:pPr>
      <w:bookmarkStart w:id="155" w:name="section(1)(1)(1)(b)(1)(1)(b)(1)(b)(ii)_0"/>
      <w:r w:rsidRPr="000000D1">
        <w:rPr>
          <w:rFonts w:eastAsia="Calibri" w:cs="Times New Roman"/>
        </w:rPr>
        <w:t>(ii)</w:t>
      </w:r>
      <w:bookmarkEnd w:id="155"/>
      <w:r w:rsidRPr="000000D1">
        <w:rPr>
          <w:rFonts w:eastAsia="Calibri" w:cs="Times New Roman"/>
        </w:rPr>
        <w:t> "Downstream pass-through entity taxpayer" means a pass-through entity taxpayer that is a pass- through entity taxpayer of any entity that is itself a pass-through entity taxpayer.</w:t>
      </w:r>
    </w:p>
    <w:p w14:paraId="44221C2D"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Admin. Code R865-6F-8(11)(f) </w:t>
      </w:r>
    </w:p>
    <w:p w14:paraId="6B9FC529" w14:textId="77777777" w:rsidR="000000D1" w:rsidRPr="000000D1" w:rsidRDefault="000000D1" w:rsidP="000000D1">
      <w:pPr>
        <w:contextualSpacing/>
        <w:rPr>
          <w:rFonts w:eastAsia="Calibri" w:cs="Times New Roman"/>
        </w:rPr>
      </w:pPr>
    </w:p>
    <w:p w14:paraId="6B5B956D" w14:textId="77777777" w:rsidR="000000D1" w:rsidRPr="000000D1" w:rsidRDefault="000000D1" w:rsidP="000000D1">
      <w:pPr>
        <w:ind w:left="1440"/>
        <w:rPr>
          <w:rFonts w:eastAsia="Calibri" w:cs="Times New Roman"/>
        </w:rPr>
      </w:pPr>
      <w:r w:rsidRPr="000000D1">
        <w:rPr>
          <w:rFonts w:eastAsia="Calibri" w:cs="Times New Roman"/>
        </w:rPr>
        <w:t xml:space="preserve">Income or loss from partnership or joint venture interests shall be included in income and apportioned to Utah through application of the three-factor formula consisting of property, payroll and sales. For apportionment purposes, the portion of partnership or </w:t>
      </w:r>
      <w:r w:rsidRPr="000000D1">
        <w:rPr>
          <w:rFonts w:eastAsia="Calibri" w:cs="Times New Roman"/>
        </w:rPr>
        <w:lastRenderedPageBreak/>
        <w:t>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33806737" w14:textId="77777777" w:rsidR="000000D1" w:rsidRPr="000000D1" w:rsidRDefault="000000D1" w:rsidP="000000D1">
      <w:pPr>
        <w:ind w:left="720"/>
        <w:contextualSpacing/>
        <w:rPr>
          <w:rFonts w:eastAsia="Calibri" w:cs="Times New Roman"/>
          <w:i/>
          <w:iCs/>
        </w:rPr>
      </w:pPr>
      <w:r w:rsidRPr="000000D1">
        <w:rPr>
          <w:rFonts w:eastAsia="Calibri" w:cs="Times New Roman"/>
        </w:rPr>
        <w:t>Form TC-65 Utah Instructions (2023</w:t>
      </w:r>
      <w:r w:rsidRPr="000000D1">
        <w:rPr>
          <w:rFonts w:eastAsia="Calibri" w:cs="Times New Roman"/>
          <w:i/>
          <w:iCs/>
        </w:rPr>
        <w:t xml:space="preserve">) </w:t>
      </w:r>
    </w:p>
    <w:p w14:paraId="6004831E" w14:textId="77777777" w:rsidR="000000D1" w:rsidRPr="000000D1" w:rsidRDefault="000000D1" w:rsidP="000000D1">
      <w:pPr>
        <w:contextualSpacing/>
        <w:rPr>
          <w:rFonts w:eastAsia="Calibri" w:cs="Times New Roman"/>
        </w:rPr>
      </w:pPr>
    </w:p>
    <w:p w14:paraId="28270372" w14:textId="77777777" w:rsidR="000000D1" w:rsidRPr="000000D1" w:rsidRDefault="000000D1" w:rsidP="000000D1">
      <w:pPr>
        <w:ind w:left="1440"/>
        <w:rPr>
          <w:rFonts w:eastAsia="Calibri" w:cs="Times New Roman"/>
        </w:rPr>
      </w:pPr>
      <w:r w:rsidRPr="000000D1">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7BBBF551" w14:textId="77777777" w:rsidR="000000D1" w:rsidRPr="000000D1" w:rsidRDefault="000000D1" w:rsidP="000000D1">
      <w:pPr>
        <w:ind w:left="1440"/>
        <w:rPr>
          <w:rFonts w:eastAsia="Calibri" w:cs="Times New Roman"/>
        </w:rPr>
      </w:pPr>
      <w:r w:rsidRPr="000000D1">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 . . .</w:t>
      </w:r>
    </w:p>
    <w:p w14:paraId="74BF1A83" w14:textId="77777777" w:rsidR="000000D1" w:rsidRPr="000000D1" w:rsidRDefault="000000D1" w:rsidP="000000D1">
      <w:pPr>
        <w:ind w:left="1440"/>
        <w:rPr>
          <w:rFonts w:eastAsia="Calibri" w:cs="Times New Roman"/>
        </w:rPr>
      </w:pPr>
      <w:r w:rsidRPr="000000D1">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 . . .</w:t>
      </w:r>
    </w:p>
    <w:p w14:paraId="6268F79E" w14:textId="77777777" w:rsidR="000000D1" w:rsidRPr="000000D1" w:rsidRDefault="000000D1" w:rsidP="000000D1">
      <w:pPr>
        <w:ind w:left="1440"/>
      </w:pPr>
      <w:r w:rsidRPr="000000D1">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6FF0551E" w14:textId="77777777" w:rsidR="000000D1" w:rsidRPr="000000D1" w:rsidRDefault="000000D1" w:rsidP="000000D1">
      <w:pPr>
        <w:ind w:left="1440"/>
      </w:pPr>
      <w:r w:rsidRPr="000000D1">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71FE4F3D" w14:textId="77777777" w:rsidR="000000D1" w:rsidRPr="000000D1" w:rsidRDefault="000000D1" w:rsidP="000000D1">
      <w:pPr>
        <w:pBdr>
          <w:bottom w:val="single" w:sz="4" w:space="0" w:color="auto"/>
        </w:pBdr>
        <w:rPr>
          <w:rFonts w:eastAsia="Calibri" w:cs="Times New Roman"/>
        </w:rPr>
      </w:pPr>
    </w:p>
    <w:p w14:paraId="4432D45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6" w:name="_Toc195435314"/>
      <w:r w:rsidRPr="000000D1">
        <w:rPr>
          <w:rFonts w:ascii="Californian FB" w:eastAsia="Times New Roman" w:hAnsi="Californian FB" w:cs="Times New Roman"/>
          <w:b/>
          <w:color w:val="851C00"/>
          <w:sz w:val="24"/>
          <w:szCs w:val="24"/>
          <w:u w:val="single"/>
        </w:rPr>
        <w:t>Vermont</w:t>
      </w:r>
      <w:bookmarkEnd w:id="156"/>
    </w:p>
    <w:p w14:paraId="6D09E1B4" w14:textId="77777777" w:rsidR="000000D1" w:rsidRPr="000000D1" w:rsidRDefault="000000D1" w:rsidP="000000D1">
      <w:pPr>
        <w:ind w:left="720"/>
        <w:contextualSpacing/>
        <w:rPr>
          <w:rFonts w:eastAsia="Calibri" w:cs="Times New Roman"/>
        </w:rPr>
      </w:pPr>
      <w:r w:rsidRPr="000000D1">
        <w:rPr>
          <w:rFonts w:eastAsia="Calibri" w:cs="Times New Roman"/>
        </w:rPr>
        <w:t xml:space="preserve">Vt. Stat. Ann. tit. 32, § 5920(a) </w:t>
      </w:r>
    </w:p>
    <w:p w14:paraId="2F24A224" w14:textId="77777777" w:rsidR="000000D1" w:rsidRPr="000000D1" w:rsidRDefault="000000D1" w:rsidP="000000D1">
      <w:pPr>
        <w:contextualSpacing/>
        <w:rPr>
          <w:rFonts w:eastAsia="Calibri" w:cs="Times New Roman"/>
        </w:rPr>
      </w:pPr>
    </w:p>
    <w:p w14:paraId="2B6CFA59" w14:textId="77777777" w:rsidR="000000D1" w:rsidRPr="000000D1" w:rsidRDefault="000000D1" w:rsidP="000000D1">
      <w:pPr>
        <w:ind w:left="1440"/>
        <w:rPr>
          <w:rFonts w:eastAsia="Calibri" w:cs="Times New Roman"/>
        </w:rPr>
      </w:pPr>
      <w:r w:rsidRPr="000000D1">
        <w:rPr>
          <w:rFonts w:eastAsia="Calibri" w:cs="Times New Roman"/>
        </w:rPr>
        <w:t xml:space="preserve">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w:t>
      </w:r>
      <w:r w:rsidRPr="000000D1">
        <w:rPr>
          <w:rFonts w:eastAsia="Calibri" w:cs="Times New Roman"/>
        </w:rPr>
        <w:lastRenderedPageBreak/>
        <w:t>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ECCF5D0" w14:textId="77777777" w:rsidR="000000D1" w:rsidRPr="000000D1" w:rsidRDefault="000000D1" w:rsidP="000000D1">
      <w:pPr>
        <w:rPr>
          <w:rFonts w:eastAsia="Calibri" w:cs="Times New Roman"/>
        </w:rPr>
      </w:pPr>
      <w:r w:rsidRPr="000000D1">
        <w:rPr>
          <w:rFonts w:eastAsia="Calibri" w:cs="Times New Roman"/>
        </w:rPr>
        <w:tab/>
        <w:t xml:space="preserve">Vt. Code R. § 10 060 040 [REG. Section 1.5862(d)] </w:t>
      </w:r>
    </w:p>
    <w:p w14:paraId="67FED8FE" w14:textId="77777777" w:rsidR="000000D1" w:rsidRPr="000000D1" w:rsidRDefault="000000D1" w:rsidP="000000D1">
      <w:pPr>
        <w:ind w:left="1440"/>
        <w:rPr>
          <w:rFonts w:eastAsia="Calibri" w:cs="Times New Roman"/>
        </w:rPr>
      </w:pPr>
      <w:r w:rsidRPr="000000D1">
        <w:rPr>
          <w:rFonts w:eastAsia="Calibri" w:cs="Times New Roman"/>
        </w:rPr>
        <w:t>Section 4(b)(4) Pass-through entities, including partnerships, limited liability companies taxed as partnerships under federal law, and S corporations are not themselves members of the affiliated group. However, a pro rata share of such entity's income and sales, payroll and property is assigned to the unitary group member that holds an ownership interest in such pass-through entity . . .</w:t>
      </w:r>
    </w:p>
    <w:p w14:paraId="36D77D76" w14:textId="77777777" w:rsidR="000000D1" w:rsidRPr="000000D1" w:rsidRDefault="000000D1" w:rsidP="000000D1">
      <w:pPr>
        <w:ind w:left="1440"/>
        <w:rPr>
          <w:rFonts w:eastAsia="Calibri" w:cs="Times New Roman"/>
        </w:rPr>
      </w:pPr>
      <w:r w:rsidRPr="000000D1">
        <w:rPr>
          <w:rFonts w:eastAsia="Calibri" w:cs="Times New Roman"/>
        </w:rPr>
        <w:t>Section 4(d)(2) 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 . . .</w:t>
      </w:r>
    </w:p>
    <w:p w14:paraId="03F4F502" w14:textId="77777777" w:rsidR="000000D1" w:rsidRPr="000000D1" w:rsidRDefault="000000D1" w:rsidP="000000D1">
      <w:pPr>
        <w:ind w:left="1440"/>
        <w:rPr>
          <w:rFonts w:eastAsia="Calibri" w:cs="Times New Roman"/>
        </w:rPr>
      </w:pPr>
      <w:r w:rsidRPr="000000D1">
        <w:rPr>
          <w:rFonts w:eastAsia="Calibri" w:cs="Times New Roman"/>
        </w:rPr>
        <w:t>Section 7(d)(2) 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 . . .</w:t>
      </w:r>
    </w:p>
    <w:p w14:paraId="6767F8BC" w14:textId="77777777" w:rsidR="000000D1" w:rsidRPr="000000D1" w:rsidRDefault="000000D1" w:rsidP="000000D1">
      <w:pPr>
        <w:ind w:left="1440"/>
        <w:rPr>
          <w:rFonts w:eastAsia="Calibri" w:cs="Times New Roman"/>
        </w:rPr>
      </w:pPr>
      <w:r w:rsidRPr="000000D1">
        <w:rPr>
          <w:rFonts w:eastAsia="Calibri" w:cs="Times New Roman"/>
        </w:rPr>
        <w:t>Section 7(e)(3) If the unitary business includes income from a partnership, the income to be included in the total income of the combined group shall be the member of the combined group's direct and indirect distributive share of the partnership's unitary business income . . .</w:t>
      </w:r>
    </w:p>
    <w:p w14:paraId="1ABE282E" w14:textId="77777777" w:rsidR="000000D1" w:rsidRPr="000000D1" w:rsidRDefault="000000D1" w:rsidP="000000D1">
      <w:pPr>
        <w:rPr>
          <w:rFonts w:eastAsia="Calibri" w:cs="Times New Roman"/>
        </w:rPr>
      </w:pPr>
      <w:r w:rsidRPr="000000D1">
        <w:rPr>
          <w:rFonts w:eastAsia="Calibri" w:cs="Times New Roman"/>
        </w:rPr>
        <w:tab/>
        <w:t xml:space="preserve">Draft Changes for Reg. §1.5862(d) </w:t>
      </w:r>
    </w:p>
    <w:p w14:paraId="0C18250F" w14:textId="77777777" w:rsidR="000000D1" w:rsidRPr="000000D1" w:rsidRDefault="000000D1" w:rsidP="000000D1">
      <w:pPr>
        <w:ind w:left="1440"/>
        <w:rPr>
          <w:rFonts w:eastAsia="Calibri" w:cs="Times New Roman"/>
        </w:rPr>
      </w:pPr>
      <w:r w:rsidRPr="000000D1">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 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 . . .</w:t>
      </w:r>
    </w:p>
    <w:p w14:paraId="15527AB5" w14:textId="77777777" w:rsidR="000000D1" w:rsidRPr="000000D1" w:rsidRDefault="000000D1" w:rsidP="000000D1">
      <w:pPr>
        <w:ind w:left="1440"/>
        <w:rPr>
          <w:rFonts w:eastAsia="Calibri" w:cs="Times New Roman"/>
        </w:rPr>
      </w:pPr>
      <w:r w:rsidRPr="000000D1">
        <w:rPr>
          <w:rFonts w:eastAsia="Calibri" w:cs="Times New Roman"/>
        </w:rPr>
        <w:t>A unitary business includes that part of the business that meets the definition in this Section 5(a) and is conducted by a taxpayer through the taxpayer's interest in a partnership, whether the interest in that partnership is held directly or indirectly through a series of partnerships or other pass-through entities.</w:t>
      </w:r>
    </w:p>
    <w:p w14:paraId="183A2575"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Formal Ruling No. 88-18 (January 6, 1989) </w:t>
      </w:r>
    </w:p>
    <w:p w14:paraId="09BBB9B9" w14:textId="77777777" w:rsidR="000000D1" w:rsidRPr="000000D1" w:rsidRDefault="000000D1" w:rsidP="000000D1">
      <w:pPr>
        <w:contextualSpacing/>
        <w:rPr>
          <w:rFonts w:eastAsia="Calibri" w:cs="Times New Roman"/>
        </w:rPr>
      </w:pPr>
    </w:p>
    <w:p w14:paraId="01D094E0" w14:textId="77777777" w:rsidR="000000D1" w:rsidRPr="000000D1" w:rsidRDefault="000000D1" w:rsidP="000000D1">
      <w:pPr>
        <w:ind w:left="1440"/>
        <w:rPr>
          <w:rFonts w:eastAsia="Calibri" w:cs="Times New Roman"/>
        </w:rPr>
      </w:pPr>
      <w:r w:rsidRPr="000000D1">
        <w:rPr>
          <w:rFonts w:eastAsia="Calibri" w:cs="Times New Roman"/>
        </w:rPr>
        <w:lastRenderedPageBreak/>
        <w:t>You have requested a formal ruling on the application of Vermont's tax laws to partnership income earned by a corporation. This letter relies on representations contained in your letter dated [Date].</w:t>
      </w:r>
    </w:p>
    <w:p w14:paraId="39EBFE5D" w14:textId="77777777" w:rsidR="000000D1" w:rsidRPr="000000D1" w:rsidRDefault="000000D1" w:rsidP="000000D1">
      <w:pPr>
        <w:ind w:left="1440"/>
        <w:rPr>
          <w:rFonts w:eastAsia="Calibri" w:cs="Times New Roman"/>
        </w:rPr>
      </w:pPr>
      <w:r w:rsidRPr="000000D1">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D89F6FA" w14:textId="77777777" w:rsidR="000000D1" w:rsidRPr="000000D1" w:rsidRDefault="000000D1" w:rsidP="000000D1">
      <w:pPr>
        <w:ind w:left="1440"/>
        <w:rPr>
          <w:rFonts w:eastAsia="Calibri" w:cs="Times New Roman"/>
        </w:rPr>
      </w:pPr>
      <w:r w:rsidRPr="000000D1">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20D4A05A" w14:textId="77777777" w:rsidR="000000D1" w:rsidRPr="000000D1" w:rsidRDefault="000000D1" w:rsidP="000000D1">
      <w:pPr>
        <w:ind w:left="1440"/>
        <w:rPr>
          <w:rFonts w:eastAsia="Calibri" w:cs="Times New Roman"/>
        </w:rPr>
      </w:pPr>
      <w:r w:rsidRPr="000000D1">
        <w:rPr>
          <w:rFonts w:eastAsia="Calibri" w:cs="Times New Roman"/>
        </w:rPr>
        <w:t>The same questions are asked assuming Corporation A is a limited partner in Partnership Z and does not participate in the management of Partnership Z.</w:t>
      </w:r>
    </w:p>
    <w:p w14:paraId="181853C5" w14:textId="77777777" w:rsidR="000000D1" w:rsidRPr="000000D1" w:rsidRDefault="000000D1" w:rsidP="000000D1">
      <w:pPr>
        <w:ind w:left="1440"/>
        <w:rPr>
          <w:rFonts w:eastAsia="Calibri" w:cs="Times New Roman"/>
        </w:rPr>
      </w:pPr>
      <w:r w:rsidRPr="000000D1">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78527372" w14:textId="77777777" w:rsidR="000000D1" w:rsidRPr="000000D1" w:rsidRDefault="000000D1" w:rsidP="000000D1">
      <w:pPr>
        <w:ind w:left="1440"/>
        <w:rPr>
          <w:rFonts w:eastAsia="Calibri" w:cs="Times New Roman"/>
        </w:rPr>
      </w:pPr>
      <w:r w:rsidRPr="000000D1">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0E23D62D" w14:textId="77777777" w:rsidR="000000D1" w:rsidRPr="000000D1" w:rsidRDefault="000000D1" w:rsidP="000000D1">
      <w:pPr>
        <w:ind w:left="1440"/>
        <w:rPr>
          <w:rFonts w:eastAsia="Calibri" w:cs="Times New Roman"/>
        </w:rPr>
      </w:pPr>
      <w:r w:rsidRPr="000000D1">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0FDC3645" w14:textId="77777777" w:rsidR="000000D1" w:rsidRPr="000000D1" w:rsidRDefault="000000D1" w:rsidP="000000D1">
      <w:pPr>
        <w:ind w:left="1440"/>
        <w:rPr>
          <w:rFonts w:eastAsia="Calibri" w:cs="Times New Roman"/>
        </w:rPr>
      </w:pPr>
      <w:r w:rsidRPr="000000D1">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0E1AB835"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Instructions to Schedule BA-402 (2024) </w:t>
      </w:r>
    </w:p>
    <w:p w14:paraId="32197324" w14:textId="77777777" w:rsidR="000000D1" w:rsidRPr="000000D1" w:rsidRDefault="000000D1" w:rsidP="000000D1">
      <w:pPr>
        <w:contextualSpacing/>
        <w:rPr>
          <w:rFonts w:eastAsia="Calibri" w:cs="Times New Roman"/>
        </w:rPr>
      </w:pPr>
    </w:p>
    <w:p w14:paraId="1562F429" w14:textId="77777777" w:rsidR="000000D1" w:rsidRPr="000000D1" w:rsidRDefault="000000D1" w:rsidP="000000D1">
      <w:pPr>
        <w:ind w:left="1440"/>
        <w:rPr>
          <w:rFonts w:eastAsia="Calibri" w:cs="Times New Roman"/>
        </w:rPr>
      </w:pPr>
      <w:r w:rsidRPr="000000D1">
        <w:rPr>
          <w:rFonts w:eastAsia="Calibri" w:cs="Times New Roman"/>
        </w:rPr>
        <w:t xml:space="preserve">If this entity holds an interest in a unitary pass-through entity, then the pro-rata share of the passthrough entity’s apportionment factors must be added to Lines 3 through 12. If the pass-through entity is not unitary then the distributed income is reported on </w:t>
      </w:r>
      <w:r w:rsidRPr="000000D1">
        <w:rPr>
          <w:rFonts w:eastAsia="Calibri" w:cs="Times New Roman"/>
        </w:rPr>
        <w:lastRenderedPageBreak/>
        <w:t>Lines 1A and 1B, and the pro-rata share of pass-through entity’s apportionment factors are excluded from Lines 2 through 20.</w:t>
      </w:r>
    </w:p>
    <w:p w14:paraId="103D98B2"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Instructions to Schedule BI-477 (2024) </w:t>
      </w:r>
    </w:p>
    <w:p w14:paraId="2617A94D" w14:textId="77777777" w:rsidR="000000D1" w:rsidRPr="000000D1" w:rsidRDefault="000000D1" w:rsidP="000000D1">
      <w:pPr>
        <w:contextualSpacing/>
        <w:rPr>
          <w:rFonts w:eastAsia="Calibri" w:cs="Times New Roman"/>
        </w:rPr>
      </w:pPr>
    </w:p>
    <w:p w14:paraId="74C6B122" w14:textId="77777777" w:rsidR="000000D1" w:rsidRPr="000000D1" w:rsidRDefault="000000D1" w:rsidP="000000D1">
      <w:pPr>
        <w:ind w:left="1440"/>
        <w:rPr>
          <w:rFonts w:eastAsia="Calibri" w:cs="Times New Roman"/>
        </w:rPr>
      </w:pPr>
      <w:r w:rsidRPr="000000D1">
        <w:rPr>
          <w:rFonts w:eastAsia="Calibri" w:cs="Times New Roman"/>
        </w:rPr>
        <w:t>While Schedule BI-477 is designed for pass-through businesses and generally applies the rules and methods for sourcing income for nonresident individuals, it relies on principles of corporate apportionment to source apportionable business income . . .</w:t>
      </w:r>
    </w:p>
    <w:p w14:paraId="05864E1B" w14:textId="77777777" w:rsidR="000000D1" w:rsidRPr="000000D1" w:rsidRDefault="000000D1" w:rsidP="000000D1">
      <w:pPr>
        <w:ind w:left="1440"/>
        <w:rPr>
          <w:rFonts w:eastAsia="Calibri" w:cs="Times New Roman"/>
        </w:rPr>
      </w:pPr>
      <w:r w:rsidRPr="000000D1">
        <w:rPr>
          <w:rFonts w:eastAsia="Calibri" w:cs="Times New Roman"/>
          <w:b/>
          <w:bCs/>
        </w:rPr>
        <w:t>Note for Tiered Pass-Throughs</w:t>
      </w:r>
      <w:r w:rsidRPr="000000D1">
        <w:rPr>
          <w:rFonts w:eastAsia="Calibri" w:cs="Times New Roman"/>
        </w:rPr>
        <w:t xml:space="preserve">: Vermont conforms to the Internal Revenue Code Subchapter K. Included in that conformity is the understanding that an owner’s share of income/loss from an entity’s activities pass through and are treated as if directly recognized by that partner or member, retaining their character as determined at the entity level. For example, if a pass-through recognizes a capital gain from the sale of real estate, each partner will be treated as if they sold a share of the real property themselves. If the unitary business principle is satisfied, the filing pass-through must combine all the items of income received with its own unitary activity on the appropriate lines in Parts I-IV. The unitary business principle is satisfied if a single economic enterprise exists, which is made up either of separate parts of a single business entity or of a commonly controlled group of business entities that are sufficiently interdependent, integrated, and interrelated through their activities so as to provide a synergy and mutual benefit that produces a sharing or exchange of value among them and a significant flow of value to the separate parts. The unitary business principle can exist for a taxpayer as a result of the taxpayer’s interest in that partnership, whether the interest in that partnership is held directly or indirectly through a series of partnerships or other pass-through entities.  </w:t>
      </w:r>
    </w:p>
    <w:p w14:paraId="0C6F12E4" w14:textId="77777777" w:rsidR="000000D1" w:rsidRPr="000000D1" w:rsidRDefault="000000D1" w:rsidP="000000D1">
      <w:pPr>
        <w:ind w:left="1440"/>
        <w:rPr>
          <w:rFonts w:eastAsia="Calibri" w:cs="Times New Roman"/>
        </w:rPr>
      </w:pPr>
      <w:r w:rsidRPr="000000D1">
        <w:rPr>
          <w:rFonts w:eastAsia="Calibri" w:cs="Times New Roman"/>
        </w:rPr>
        <w:t xml:space="preserve">The filing pass-through must attach workpapers that mimic BI-477, with Parts I-IV complete, for each discrete unitary business represented. </w:t>
      </w:r>
    </w:p>
    <w:p w14:paraId="1C346755" w14:textId="77777777" w:rsidR="000000D1" w:rsidRPr="000000D1" w:rsidRDefault="000000D1" w:rsidP="000000D1">
      <w:pPr>
        <w:ind w:left="1440"/>
        <w:rPr>
          <w:rFonts w:eastAsia="Calibri" w:cs="Times New Roman"/>
        </w:rPr>
      </w:pPr>
      <w:r w:rsidRPr="000000D1">
        <w:rPr>
          <w:rFonts w:eastAsia="Calibri" w:cs="Times New Roman"/>
          <w:b/>
          <w:bCs/>
        </w:rPr>
        <w:t>Part V</w:t>
      </w:r>
      <w:r w:rsidRPr="000000D1">
        <w:rPr>
          <w:rFonts w:eastAsia="Calibri" w:cs="Times New Roman"/>
        </w:rPr>
        <w:t xml:space="preserve"> reports items of taxable income received from lower-tier pass-throughs </w:t>
      </w:r>
      <w:r w:rsidRPr="000000D1">
        <w:rPr>
          <w:rFonts w:eastAsia="Calibri" w:cs="Times New Roman"/>
          <w:b/>
          <w:bCs/>
        </w:rPr>
        <w:t>which are not unitary with this business and therefore would not be included in Parts I-IV</w:t>
      </w:r>
      <w:r w:rsidRPr="000000D1">
        <w:rPr>
          <w:rFonts w:eastAsia="Calibri" w:cs="Times New Roman"/>
        </w:rPr>
        <w:t xml:space="preserve">.  </w:t>
      </w:r>
    </w:p>
    <w:p w14:paraId="216CEBB1" w14:textId="77777777" w:rsidR="000000D1" w:rsidRPr="000000D1" w:rsidRDefault="000000D1" w:rsidP="000000D1">
      <w:pPr>
        <w:ind w:left="1440"/>
        <w:rPr>
          <w:rFonts w:eastAsia="Calibri" w:cs="Times New Roman"/>
        </w:rPr>
      </w:pPr>
      <w:r w:rsidRPr="000000D1">
        <w:rPr>
          <w:rFonts w:eastAsia="Calibri" w:cs="Times New Roman"/>
        </w:rPr>
        <w:t xml:space="preserve">Each discrete business undertaken by a lower-tier pass-through is attributable to the filing passthrough. If no unitary business principle exists between these attributed (lower tier) activities and the activities of the filing pass-through entity, the sourcing of income will not change between levels. Income and factors should not be blended, but rather the net income/loss should be reported here. </w:t>
      </w:r>
    </w:p>
    <w:p w14:paraId="6A9AA789" w14:textId="77777777" w:rsidR="000000D1" w:rsidRPr="000000D1" w:rsidRDefault="000000D1" w:rsidP="000000D1">
      <w:pPr>
        <w:ind w:left="1440"/>
        <w:rPr>
          <w:rFonts w:eastAsia="Calibri" w:cs="Times New Roman"/>
        </w:rPr>
      </w:pPr>
      <w:r w:rsidRPr="000000D1">
        <w:rPr>
          <w:rFonts w:eastAsia="Calibri" w:cs="Times New Roman"/>
          <w:b/>
          <w:bCs/>
        </w:rPr>
        <w:t>Part VI</w:t>
      </w:r>
      <w:r w:rsidRPr="000000D1">
        <w:rPr>
          <w:rFonts w:eastAsia="Calibri" w:cs="Times New Roman"/>
        </w:rPr>
        <w:t xml:space="preserve"> calculates the Vermont income adjustment required by 32 V.S.A. § 5822(e) to arrive at the filing pass-through’s Vermont income. </w:t>
      </w:r>
    </w:p>
    <w:p w14:paraId="4A1A227D" w14:textId="77777777" w:rsidR="000000D1" w:rsidRPr="000000D1" w:rsidRDefault="000000D1" w:rsidP="000000D1">
      <w:pPr>
        <w:ind w:left="1440"/>
        <w:rPr>
          <w:rFonts w:eastAsia="Calibri" w:cs="Times New Roman"/>
        </w:rPr>
      </w:pPr>
      <w:r w:rsidRPr="000000D1">
        <w:rPr>
          <w:rFonts w:eastAsia="Calibri" w:cs="Times New Roman"/>
          <w:b/>
          <w:bCs/>
        </w:rPr>
        <w:t>Part VII</w:t>
      </w:r>
      <w:r w:rsidRPr="000000D1">
        <w:rPr>
          <w:rFonts w:eastAsia="Calibri" w:cs="Times New Roman"/>
        </w:rPr>
        <w:t xml:space="preserve"> applies the single sales factor methodology to apportionable business income for entities that have ordinary business income derived in Vermont and at least one other state. The resulting percentage will be used in Part IV, Income From Business or Trade. The calculation is identical to apportionment of income for corporate income tax. Effective Jan. 1, 2023, Vermont uses the single sales factor method to calculate apportionment, replacing three factor apportionment.</w:t>
      </w:r>
    </w:p>
    <w:p w14:paraId="67A9E894" w14:textId="77777777" w:rsidR="000000D1" w:rsidRPr="000000D1" w:rsidRDefault="000000D1" w:rsidP="000000D1">
      <w:pPr>
        <w:ind w:left="1440"/>
        <w:rPr>
          <w:rFonts w:eastAsia="Calibri" w:cs="Times New Roman"/>
        </w:rPr>
      </w:pPr>
      <w:r w:rsidRPr="000000D1">
        <w:rPr>
          <w:rFonts w:eastAsia="Calibri" w:cs="Times New Roman"/>
          <w:b/>
          <w:bCs/>
        </w:rPr>
        <w:t>Part VIII</w:t>
      </w:r>
      <w:r w:rsidRPr="000000D1">
        <w:rPr>
          <w:rFonts w:eastAsia="Calibri" w:cs="Times New Roman"/>
        </w:rPr>
        <w:t xml:space="preserve"> reports property and wage factors, which will be used by owners who are C-Corporations and are required to include property and wage factors from flow-through activity on the apportionment schedules attached to their Vermont corporate income tax returns . . .</w:t>
      </w:r>
    </w:p>
    <w:p w14:paraId="7C4C676E" w14:textId="77777777" w:rsidR="000000D1" w:rsidRPr="000000D1" w:rsidRDefault="000000D1" w:rsidP="000000D1">
      <w:pPr>
        <w:ind w:left="1440"/>
        <w:rPr>
          <w:rFonts w:eastAsia="Calibri" w:cs="Times New Roman"/>
        </w:rPr>
      </w:pPr>
      <w:r w:rsidRPr="000000D1">
        <w:rPr>
          <w:rFonts w:eastAsia="Calibri" w:cs="Times New Roman"/>
        </w:rPr>
        <w:t xml:space="preserve">The taxpayer should utilize Part V to report its share of non-unitary business activity from lower-tier pass-throughs. Although nonresident withholding and composite </w:t>
      </w:r>
      <w:r w:rsidRPr="000000D1">
        <w:rPr>
          <w:rFonts w:eastAsia="Calibri" w:cs="Times New Roman"/>
        </w:rPr>
        <w:lastRenderedPageBreak/>
        <w:t xml:space="preserve">returns collect taxes on the entity level, pass-throughs remain a conduit for their owners under Vermont law. Each discrete unitary business undertaken by a lower-tier pass-through, therefore, will be attributable to the taxpayer. The taxpayer should only blend income and factors (passed through to it from lower tiers in Parts I-IV of Schedule BI-477) with its own income and factors if the unitary business principle is satisfied. If the unitary business principle is not satisfied, report the net income or loss in Part V. </w:t>
      </w:r>
    </w:p>
    <w:p w14:paraId="1A28D5DC" w14:textId="77777777" w:rsidR="000000D1" w:rsidRPr="000000D1" w:rsidRDefault="000000D1" w:rsidP="000000D1">
      <w:pPr>
        <w:ind w:left="1440"/>
        <w:rPr>
          <w:rFonts w:eastAsia="Calibri" w:cs="Times New Roman"/>
        </w:rPr>
      </w:pPr>
      <w:r w:rsidRPr="000000D1">
        <w:rPr>
          <w:rFonts w:eastAsia="Calibri" w:cs="Times New Roman"/>
        </w:rPr>
        <w:t xml:space="preserve">There should be one separate worksheet attached combining the lower-tier values passed through to the taxpayer for each discrete business activity included in Part V. Each attached worksheet should closely follow the structure and ordering of Schedule BI-477 Parts I-IV. </w:t>
      </w:r>
    </w:p>
    <w:p w14:paraId="2BA105CE" w14:textId="77777777" w:rsidR="000000D1" w:rsidRPr="000000D1" w:rsidRDefault="000000D1" w:rsidP="000000D1">
      <w:pPr>
        <w:ind w:left="1440"/>
        <w:rPr>
          <w:rFonts w:eastAsia="Calibri" w:cs="Times New Roman"/>
        </w:rPr>
      </w:pPr>
      <w:r w:rsidRPr="000000D1">
        <w:rPr>
          <w:rFonts w:eastAsia="Calibri" w:cs="Times New Roman"/>
        </w:rPr>
        <w:t>Note: If the taxpayer receives items of income reported in Parts I-IV from lower-tier pass-throughs that do not satisfy the unitary business principle, then the values reported on Lines 1A through 16 will not equal the values on the federal 1065 Schedule K. Rather, each item of income reported in Parts I-IV will only tie-out to federal 1065 Schedule K when it is combined with the corresponding lower-tier values on the worksheets . . .</w:t>
      </w:r>
    </w:p>
    <w:p w14:paraId="5B68821B" w14:textId="77777777" w:rsidR="000000D1" w:rsidRPr="000000D1" w:rsidRDefault="000000D1" w:rsidP="000000D1">
      <w:pPr>
        <w:ind w:left="1440"/>
        <w:rPr>
          <w:rFonts w:eastAsia="Calibri" w:cs="Times New Roman"/>
        </w:rPr>
      </w:pPr>
      <w:r w:rsidRPr="000000D1">
        <w:rPr>
          <w:rFonts w:eastAsia="Calibri" w:cs="Times New Roman"/>
          <w:b/>
          <w:bCs/>
        </w:rPr>
        <w:t>Note</w:t>
      </w:r>
      <w:r w:rsidRPr="000000D1">
        <w:rPr>
          <w:rFonts w:eastAsia="Calibri" w:cs="Times New Roman"/>
        </w:rPr>
        <w:t xml:space="preserve">: For tiered pass-throughs, proportional shares of numerator and denominator factors from lower tiers should only be included if the unitary business principle is met. See the Note for Tiered Pass-Throughs in the “General Information” section above for details . . . </w:t>
      </w:r>
    </w:p>
    <w:p w14:paraId="53543095" w14:textId="77777777" w:rsidR="000000D1" w:rsidRPr="000000D1" w:rsidRDefault="000000D1" w:rsidP="000000D1">
      <w:pPr>
        <w:ind w:left="1440"/>
        <w:rPr>
          <w:rFonts w:eastAsia="Calibri" w:cs="Times New Roman"/>
        </w:rPr>
      </w:pPr>
      <w:r w:rsidRPr="000000D1">
        <w:rPr>
          <w:rFonts w:eastAsia="Calibri" w:cs="Times New Roman"/>
          <w:b/>
          <w:bCs/>
        </w:rPr>
        <w:t>Factors from pass-through entities</w:t>
      </w:r>
      <w:r w:rsidRPr="000000D1">
        <w:rPr>
          <w:rFonts w:eastAsia="Calibri" w:cs="Times New Roman"/>
        </w:rPr>
        <w:t>: Where the unitary business principle is satisfied between the activities of the taxpayer and a lower-tier partnership, take the sum of all the “Everywhere” sales factors indicated on Line 15 all Schedules K-1VT issued to you (i.e., this filing entity) by these entities and enter that total here. Maintain workpapers detailing all the components for this entry . . .</w:t>
      </w:r>
    </w:p>
    <w:p w14:paraId="5FD897BF" w14:textId="77777777" w:rsidR="000000D1" w:rsidRPr="000000D1" w:rsidRDefault="000000D1" w:rsidP="000000D1">
      <w:pPr>
        <w:ind w:left="1440"/>
        <w:rPr>
          <w:rFonts w:eastAsia="Calibri" w:cs="Times New Roman"/>
        </w:rPr>
      </w:pPr>
      <w:r w:rsidRPr="000000D1">
        <w:rPr>
          <w:rFonts w:eastAsia="Calibri" w:cs="Times New Roman"/>
          <w:b/>
          <w:bCs/>
        </w:rPr>
        <w:t>Factors from pass-through entities</w:t>
      </w:r>
      <w:r w:rsidRPr="000000D1">
        <w:rPr>
          <w:rFonts w:eastAsia="Calibri" w:cs="Times New Roman"/>
        </w:rPr>
        <w:t>: Where the unitary business principle is satisfied between the activities of the taxpayer and a lower-tier partnership, take the sum of all the Vermont sales factors indicated on Line 15 all Schedules K-1VT issued to you (i.e., this filing entity) by these entities and enter that total here. Maintain workpapers detailing all the components for this entry.</w:t>
      </w:r>
    </w:p>
    <w:p w14:paraId="13426F81" w14:textId="77777777" w:rsidR="000000D1" w:rsidRPr="000000D1" w:rsidRDefault="000000D1" w:rsidP="000000D1">
      <w:pPr>
        <w:pBdr>
          <w:bottom w:val="single" w:sz="4" w:space="0" w:color="auto"/>
        </w:pBdr>
        <w:rPr>
          <w:rFonts w:eastAsia="Calibri" w:cs="Times New Roman"/>
        </w:rPr>
      </w:pPr>
    </w:p>
    <w:p w14:paraId="76BC57AA"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7" w:name="_Toc195435315"/>
      <w:r w:rsidRPr="000000D1">
        <w:rPr>
          <w:rFonts w:ascii="Californian FB" w:eastAsia="Times New Roman" w:hAnsi="Californian FB" w:cs="Times New Roman"/>
          <w:b/>
          <w:color w:val="851C00"/>
          <w:sz w:val="24"/>
          <w:szCs w:val="24"/>
          <w:u w:val="single"/>
        </w:rPr>
        <w:t>Virginia</w:t>
      </w:r>
      <w:bookmarkEnd w:id="157"/>
    </w:p>
    <w:p w14:paraId="327C109E" w14:textId="77777777" w:rsidR="000000D1" w:rsidRPr="000000D1" w:rsidRDefault="000000D1" w:rsidP="000000D1">
      <w:pPr>
        <w:ind w:left="720"/>
        <w:contextualSpacing/>
        <w:rPr>
          <w:rFonts w:eastAsia="Calibri" w:cs="Times New Roman"/>
        </w:rPr>
      </w:pPr>
      <w:r w:rsidRPr="000000D1">
        <w:rPr>
          <w:rFonts w:eastAsia="Calibri" w:cs="Times New Roman"/>
        </w:rPr>
        <w:t xml:space="preserve">Va. Code Ann. § 58.1-391(B) </w:t>
      </w:r>
    </w:p>
    <w:p w14:paraId="5C963A9D" w14:textId="77777777" w:rsidR="000000D1" w:rsidRPr="000000D1" w:rsidRDefault="000000D1" w:rsidP="000000D1">
      <w:pPr>
        <w:ind w:left="720"/>
        <w:contextualSpacing/>
        <w:rPr>
          <w:rFonts w:eastAsia="Calibri" w:cs="Times New Roman"/>
        </w:rPr>
      </w:pPr>
    </w:p>
    <w:p w14:paraId="0A53823D" w14:textId="77777777" w:rsidR="000000D1" w:rsidRPr="000000D1" w:rsidRDefault="000000D1" w:rsidP="000000D1">
      <w:pPr>
        <w:ind w:left="1440"/>
        <w:contextualSpacing/>
        <w:rPr>
          <w:rFonts w:eastAsia="Calibri" w:cs="Times New Roman"/>
        </w:rPr>
      </w:pPr>
      <w:r w:rsidRPr="000000D1">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40B81289" w14:textId="77777777" w:rsidR="000000D1" w:rsidRPr="000000D1" w:rsidRDefault="000000D1" w:rsidP="000000D1">
      <w:pPr>
        <w:contextualSpacing/>
        <w:rPr>
          <w:rFonts w:eastAsia="Calibri" w:cs="Times New Roman"/>
        </w:rPr>
      </w:pPr>
    </w:p>
    <w:p w14:paraId="70ABEA55" w14:textId="77777777" w:rsidR="000000D1" w:rsidRPr="000000D1" w:rsidRDefault="000000D1" w:rsidP="000000D1">
      <w:pPr>
        <w:ind w:left="720"/>
        <w:contextualSpacing/>
        <w:rPr>
          <w:rFonts w:eastAsia="Calibri" w:cs="Times New Roman"/>
          <w:i/>
          <w:iCs/>
        </w:rPr>
      </w:pPr>
      <w:r w:rsidRPr="000000D1">
        <w:rPr>
          <w:rFonts w:eastAsia="Calibri" w:cs="Times New Roman"/>
        </w:rPr>
        <w:t>Va. Code Ann. § 58.1-391(C)</w:t>
      </w:r>
    </w:p>
    <w:p w14:paraId="0E49B38C" w14:textId="77777777" w:rsidR="000000D1" w:rsidRPr="000000D1" w:rsidRDefault="000000D1" w:rsidP="000000D1">
      <w:pPr>
        <w:contextualSpacing/>
        <w:rPr>
          <w:rFonts w:eastAsia="Calibri" w:cs="Times New Roman"/>
        </w:rPr>
      </w:pPr>
    </w:p>
    <w:p w14:paraId="3C79AE4B" w14:textId="77777777" w:rsidR="000000D1" w:rsidRPr="000000D1" w:rsidRDefault="000000D1" w:rsidP="000000D1">
      <w:pPr>
        <w:ind w:left="1440"/>
        <w:rPr>
          <w:rFonts w:eastAsia="Calibri" w:cs="Times New Roman"/>
        </w:rPr>
      </w:pPr>
      <w:r w:rsidRPr="000000D1">
        <w:rPr>
          <w:rFonts w:eastAsia="Calibri" w:cs="Times New Roman"/>
        </w:rPr>
        <w:t>Where an owner's distributive shares of an item of pass-through entity income, gain, loss or deduction is determined for federal income tax purposes by special provision in the pass-through entity agreement with respect to such item, and where the principal purpose of such provision is the avoidance or evasion of tax under this chapter, the owner's distributive share of such item, and any modification required with respect thereto, shall be determined as if the pass-through entity agreement made no special provision with respect to such item.</w:t>
      </w:r>
    </w:p>
    <w:p w14:paraId="23204213" w14:textId="77777777" w:rsidR="000000D1" w:rsidRPr="000000D1" w:rsidRDefault="000000D1" w:rsidP="000000D1">
      <w:pPr>
        <w:ind w:firstLine="720"/>
        <w:contextualSpacing/>
        <w:rPr>
          <w:rFonts w:eastAsia="Calibri" w:cs="Times New Roman"/>
          <w:i/>
          <w:iCs/>
        </w:rPr>
      </w:pPr>
      <w:r w:rsidRPr="000000D1">
        <w:rPr>
          <w:rFonts w:eastAsia="Calibri" w:cs="Times New Roman"/>
        </w:rPr>
        <w:lastRenderedPageBreak/>
        <w:t xml:space="preserve">Virginia Ruling of the Commissioner PD 15-240 (April 26, 2007) </w:t>
      </w:r>
    </w:p>
    <w:p w14:paraId="279389AD" w14:textId="77777777" w:rsidR="000000D1" w:rsidRPr="000000D1" w:rsidRDefault="000000D1" w:rsidP="000000D1">
      <w:pPr>
        <w:contextualSpacing/>
        <w:rPr>
          <w:rFonts w:eastAsia="Calibri" w:cs="Times New Roman"/>
          <w:i/>
          <w:iCs/>
        </w:rPr>
      </w:pPr>
      <w:r w:rsidRPr="000000D1">
        <w:rPr>
          <w:rFonts w:eastAsia="Calibri" w:cs="Times New Roman"/>
          <w:i/>
          <w:iCs/>
        </w:rPr>
        <w:tab/>
      </w:r>
    </w:p>
    <w:p w14:paraId="62158338" w14:textId="77777777" w:rsidR="000000D1" w:rsidRPr="000000D1" w:rsidRDefault="000000D1" w:rsidP="000000D1">
      <w:pPr>
        <w:ind w:left="1440"/>
        <w:contextualSpacing/>
        <w:rPr>
          <w:rFonts w:eastAsia="Calibri" w:cs="Times New Roman"/>
        </w:rPr>
      </w:pPr>
      <w:r w:rsidRPr="000000D1">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57DF38"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3C1B6C6B"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Virginia Ruling of the Commissioner PD 07-50 (April 26, 2007) </w:t>
      </w:r>
    </w:p>
    <w:p w14:paraId="031B0F21" w14:textId="77777777" w:rsidR="000000D1" w:rsidRPr="000000D1" w:rsidRDefault="000000D1" w:rsidP="000000D1">
      <w:pPr>
        <w:ind w:left="720"/>
        <w:contextualSpacing/>
        <w:rPr>
          <w:rFonts w:eastAsia="Calibri" w:cs="Times New Roman"/>
          <w:i/>
          <w:iCs/>
        </w:rPr>
      </w:pPr>
    </w:p>
    <w:p w14:paraId="402018B0" w14:textId="77777777" w:rsidR="000000D1" w:rsidRPr="000000D1" w:rsidRDefault="000000D1" w:rsidP="000000D1">
      <w:pPr>
        <w:ind w:left="1440"/>
        <w:contextualSpacing/>
        <w:rPr>
          <w:rFonts w:eastAsia="Calibri" w:cs="Times New Roman"/>
        </w:rPr>
      </w:pPr>
      <w:r w:rsidRPr="000000D1">
        <w:rPr>
          <w:rFonts w:eastAsia="Calibri" w:cs="Times New Roman"/>
        </w:rPr>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2A5FFE85" w14:textId="77777777" w:rsidR="000000D1" w:rsidRPr="000000D1" w:rsidRDefault="000000D1" w:rsidP="000000D1">
      <w:pPr>
        <w:ind w:left="1440"/>
        <w:contextualSpacing/>
        <w:rPr>
          <w:rFonts w:eastAsia="Calibri" w:cs="Times New Roman"/>
        </w:rPr>
      </w:pPr>
    </w:p>
    <w:p w14:paraId="3FB3F1FC" w14:textId="77777777" w:rsidR="000000D1" w:rsidRPr="000000D1" w:rsidRDefault="000000D1" w:rsidP="000000D1">
      <w:pPr>
        <w:ind w:left="1440"/>
        <w:contextualSpacing/>
        <w:rPr>
          <w:rFonts w:eastAsia="Calibri" w:cs="Times New Roman"/>
        </w:rPr>
      </w:pPr>
      <w:r w:rsidRPr="000000D1">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755716D4" w14:textId="77777777" w:rsidR="000000D1" w:rsidRPr="000000D1" w:rsidRDefault="000000D1" w:rsidP="000000D1">
      <w:pPr>
        <w:ind w:left="1440"/>
        <w:contextualSpacing/>
        <w:rPr>
          <w:rFonts w:eastAsia="Calibri" w:cs="Times New Roman"/>
        </w:rPr>
      </w:pPr>
    </w:p>
    <w:p w14:paraId="2913AB64" w14:textId="77777777" w:rsidR="000000D1" w:rsidRPr="000000D1" w:rsidRDefault="000000D1" w:rsidP="000000D1">
      <w:pPr>
        <w:ind w:left="1440"/>
        <w:contextualSpacing/>
        <w:rPr>
          <w:rFonts w:eastAsia="Calibri" w:cs="Times New Roman"/>
        </w:rPr>
      </w:pPr>
      <w:r w:rsidRPr="000000D1">
        <w:rPr>
          <w:rFonts w:eastAsia="Calibri" w:cs="Times New Roman"/>
        </w:rPr>
        <w:t>Public Law (P.L.) 86-272, codified at 15 U.S.C. §§ 381-384, prohibits a state from imposing a net income tax where the only contacts with a state are a narrowly defined set of activities constituting solicitation of orders for sales of tangible personal property. The 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72A2F637" w14:textId="77777777" w:rsidR="000000D1" w:rsidRPr="000000D1" w:rsidRDefault="000000D1" w:rsidP="000000D1">
      <w:pPr>
        <w:ind w:left="1440"/>
        <w:contextualSpacing/>
        <w:rPr>
          <w:rFonts w:eastAsia="Calibri" w:cs="Times New Roman"/>
        </w:rPr>
      </w:pPr>
    </w:p>
    <w:p w14:paraId="70CC827B" w14:textId="77777777" w:rsidR="000000D1" w:rsidRPr="000000D1" w:rsidRDefault="000000D1" w:rsidP="000000D1">
      <w:pPr>
        <w:ind w:left="1440"/>
        <w:contextualSpacing/>
        <w:rPr>
          <w:rFonts w:eastAsia="Calibri" w:cs="Times New Roman"/>
        </w:rPr>
      </w:pPr>
      <w:r w:rsidRPr="000000D1">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70B6951A" w14:textId="77777777" w:rsidR="000000D1" w:rsidRPr="000000D1" w:rsidRDefault="000000D1" w:rsidP="000000D1">
      <w:pPr>
        <w:ind w:left="1440"/>
        <w:contextualSpacing/>
        <w:rPr>
          <w:rFonts w:eastAsia="Calibri" w:cs="Times New Roman"/>
        </w:rPr>
      </w:pPr>
    </w:p>
    <w:p w14:paraId="2783005B" w14:textId="77777777" w:rsidR="000000D1" w:rsidRPr="000000D1" w:rsidRDefault="000000D1" w:rsidP="000000D1">
      <w:pPr>
        <w:ind w:left="1440"/>
        <w:contextualSpacing/>
        <w:rPr>
          <w:rFonts w:eastAsia="Calibri" w:cs="Times New Roman"/>
        </w:rPr>
      </w:pPr>
      <w:r w:rsidRPr="000000D1">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67B16AEA" w14:textId="77777777" w:rsidR="000000D1" w:rsidRPr="000000D1" w:rsidRDefault="000000D1" w:rsidP="000000D1">
      <w:pPr>
        <w:ind w:left="1440"/>
        <w:contextualSpacing/>
        <w:rPr>
          <w:rFonts w:eastAsia="Calibri" w:cs="Times New Roman"/>
        </w:rPr>
      </w:pPr>
    </w:p>
    <w:p w14:paraId="1C5F7444"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w:t>
      </w:r>
      <w:r w:rsidRPr="000000D1">
        <w:rPr>
          <w:rFonts w:eastAsia="Calibri" w:cs="Times New Roman"/>
        </w:rPr>
        <w:lastRenderedPageBreak/>
        <w:t>need to file a Virginia corporate income tax return apportioning income in accordance with Va. Code §§ 58.1,-408 through 58.1-421. See Public Document (P.D.) 88-165 (6/29/88).</w:t>
      </w:r>
    </w:p>
    <w:p w14:paraId="14FC25B4" w14:textId="77777777" w:rsidR="000000D1" w:rsidRPr="000000D1" w:rsidRDefault="000000D1" w:rsidP="000000D1">
      <w:pPr>
        <w:ind w:left="1440"/>
        <w:contextualSpacing/>
        <w:rPr>
          <w:rFonts w:eastAsia="Calibri" w:cs="Times New Roman"/>
        </w:rPr>
      </w:pPr>
    </w:p>
    <w:p w14:paraId="283F2B6E" w14:textId="77777777" w:rsidR="000000D1" w:rsidRPr="000000D1" w:rsidRDefault="000000D1" w:rsidP="000000D1">
      <w:pPr>
        <w:ind w:left="1440"/>
        <w:contextualSpacing/>
        <w:rPr>
          <w:rFonts w:eastAsia="Calibri" w:cs="Times New Roman"/>
        </w:rPr>
      </w:pPr>
      <w:r w:rsidRPr="000000D1">
        <w:rPr>
          <w:rFonts w:eastAsia="Calibri" w:cs="Times New Roman"/>
        </w:rPr>
        <w:t>This ruling is based on the facts presented as summarized above. Any change in facts or the introduction of new facts may lead to a different result.</w:t>
      </w:r>
    </w:p>
    <w:p w14:paraId="1A71E7EA" w14:textId="77777777" w:rsidR="000000D1" w:rsidRPr="000000D1" w:rsidRDefault="000000D1" w:rsidP="000000D1">
      <w:pPr>
        <w:ind w:left="1440"/>
        <w:contextualSpacing/>
        <w:rPr>
          <w:rFonts w:eastAsia="Calibri" w:cs="Times New Roman"/>
        </w:rPr>
      </w:pPr>
    </w:p>
    <w:p w14:paraId="1EDAC464" w14:textId="77777777" w:rsidR="000000D1" w:rsidRPr="000000D1" w:rsidRDefault="000000D1" w:rsidP="000000D1">
      <w:pPr>
        <w:ind w:left="1440"/>
        <w:contextualSpacing/>
        <w:rPr>
          <w:rFonts w:eastAsia="Calibri" w:cs="Times New Roman"/>
        </w:rPr>
      </w:pPr>
      <w:r w:rsidRPr="000000D1">
        <w:rPr>
          <w:rFonts w:eastAsia="Calibri" w:cs="Times New Roman"/>
        </w:rPr>
        <w:t>The Code of Virginia sections and public document cited are available on-line at www.tax.virginia.gov in the Tax Policy Library section of the Department's web site. If you have any questions regarding this ruling, please contact ***** in the Office of Policy and Administration, Appeals and Rulings, at *****.</w:t>
      </w:r>
    </w:p>
    <w:p w14:paraId="49ACF5A3" w14:textId="77777777" w:rsidR="000000D1" w:rsidRPr="000000D1" w:rsidRDefault="000000D1" w:rsidP="000000D1">
      <w:pPr>
        <w:ind w:left="720"/>
        <w:contextualSpacing/>
        <w:rPr>
          <w:rFonts w:eastAsia="Calibri" w:cs="Times New Roman"/>
        </w:rPr>
      </w:pPr>
    </w:p>
    <w:p w14:paraId="0B5848BB" w14:textId="77777777" w:rsidR="000000D1" w:rsidRPr="000000D1" w:rsidRDefault="000000D1" w:rsidP="000000D1">
      <w:pPr>
        <w:ind w:left="720"/>
        <w:rPr>
          <w:rFonts w:eastAsia="Calibri" w:cs="Times New Roman"/>
          <w:i/>
          <w:iCs/>
        </w:rPr>
      </w:pPr>
      <w:r w:rsidRPr="000000D1">
        <w:rPr>
          <w:rFonts w:eastAsia="Calibri" w:cs="Times New Roman"/>
          <w:i/>
          <w:iCs/>
        </w:rPr>
        <w:t>Commonwealth Of Virginia, Department Of Taxation V. FJ Management, Inc</w:t>
      </w:r>
      <w:r w:rsidRPr="000000D1">
        <w:rPr>
          <w:rFonts w:eastAsia="Calibri" w:cs="Times New Roman"/>
        </w:rPr>
        <w:t xml:space="preserve">., </w:t>
      </w:r>
      <w:r w:rsidRPr="000000D1">
        <w:rPr>
          <w:rFonts w:eastAsia="Calibri" w:cs="Times New Roman"/>
          <w:i/>
          <w:iCs/>
        </w:rPr>
        <w:t>d/b/a FJI, Inc</w:t>
      </w:r>
      <w:r w:rsidRPr="000000D1">
        <w:rPr>
          <w:rFonts w:eastAsia="Calibri" w:cs="Times New Roman"/>
        </w:rPr>
        <w:t xml:space="preserve">., No. 0701-23-2 (Va. Ct. App. 11/12/2024) </w:t>
      </w:r>
    </w:p>
    <w:p w14:paraId="54EAF198" w14:textId="77777777" w:rsidR="000000D1" w:rsidRPr="000000D1" w:rsidRDefault="000000D1" w:rsidP="000000D1">
      <w:pPr>
        <w:ind w:left="1440"/>
        <w:rPr>
          <w:rFonts w:eastAsia="Calibri" w:cs="Times New Roman"/>
        </w:rPr>
      </w:pPr>
      <w:r w:rsidRPr="000000D1">
        <w:rPr>
          <w:rFonts w:eastAsia="Calibri" w:cs="Times New Roman"/>
        </w:rPr>
        <w:t xml:space="preserve">Finding that the application of blended apportionment to a corporate partner is unconstitutional without a unitary relationship. </w:t>
      </w:r>
    </w:p>
    <w:p w14:paraId="54432EE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The Virginia Form 502 Instructions (2023) </w:t>
      </w:r>
    </w:p>
    <w:p w14:paraId="306A65B3" w14:textId="77777777" w:rsidR="000000D1" w:rsidRPr="000000D1" w:rsidRDefault="000000D1" w:rsidP="000000D1">
      <w:pPr>
        <w:ind w:left="720"/>
        <w:contextualSpacing/>
        <w:rPr>
          <w:rFonts w:eastAsia="Calibri" w:cs="Times New Roman"/>
          <w:i/>
          <w:iCs/>
        </w:rPr>
      </w:pPr>
    </w:p>
    <w:p w14:paraId="7CCC5672"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 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461D4C20" w14:textId="77777777" w:rsidR="000000D1" w:rsidRPr="000000D1" w:rsidRDefault="000000D1" w:rsidP="000000D1">
      <w:pPr>
        <w:ind w:left="1440"/>
        <w:contextualSpacing/>
        <w:rPr>
          <w:rFonts w:eastAsia="Calibri" w:cs="Times New Roman"/>
        </w:rPr>
      </w:pPr>
    </w:p>
    <w:p w14:paraId="6CFE3313" w14:textId="77777777" w:rsidR="000000D1" w:rsidRPr="000000D1" w:rsidRDefault="000000D1" w:rsidP="000000D1">
      <w:pPr>
        <w:ind w:left="1440"/>
        <w:contextualSpacing/>
        <w:rPr>
          <w:rFonts w:eastAsia="Calibri" w:cs="Times New Roman"/>
        </w:rPr>
      </w:pPr>
      <w:r w:rsidRPr="000000D1">
        <w:rPr>
          <w:rFonts w:eastAsia="Calibri" w:cs="Times New Roman"/>
        </w:rPr>
        <w:t>The effect of the PTE’s apportionment may vary from one owner to another, depending on the entity types of the owners. For instance:</w:t>
      </w:r>
    </w:p>
    <w:p w14:paraId="6EFA5CBB" w14:textId="77777777" w:rsidR="000000D1" w:rsidRPr="000000D1" w:rsidRDefault="000000D1" w:rsidP="00E10036">
      <w:pPr>
        <w:numPr>
          <w:ilvl w:val="0"/>
          <w:numId w:val="32"/>
        </w:numPr>
        <w:contextualSpacing/>
        <w:rPr>
          <w:rFonts w:eastAsia="Calibri" w:cs="Times New Roman"/>
        </w:rPr>
      </w:pPr>
      <w:r w:rsidRPr="000000D1">
        <w:rPr>
          <w:rFonts w:eastAsia="Calibri" w:cs="Times New Roman"/>
        </w:rPr>
        <w:t xml:space="preserve">a Virginia resident individual owner is taxable on all of his or her PTE income regardless of the entity’s apportionment; </w:t>
      </w:r>
    </w:p>
    <w:p w14:paraId="15C46374" w14:textId="77777777" w:rsidR="000000D1" w:rsidRPr="000000D1" w:rsidRDefault="000000D1" w:rsidP="00E10036">
      <w:pPr>
        <w:numPr>
          <w:ilvl w:val="0"/>
          <w:numId w:val="32"/>
        </w:numPr>
        <w:contextualSpacing/>
        <w:rPr>
          <w:rFonts w:eastAsia="Calibri" w:cs="Times New Roman"/>
        </w:rPr>
      </w:pPr>
      <w:r w:rsidRPr="000000D1">
        <w:rPr>
          <w:rFonts w:eastAsia="Calibri" w:cs="Times New Roman"/>
        </w:rPr>
        <w:t xml:space="preserve">a nonresident individual owner uses the entity’s Virginia apportioned income in determining his or her own Virginia nonresident percentage; and </w:t>
      </w:r>
    </w:p>
    <w:p w14:paraId="2A2813D0" w14:textId="77777777" w:rsidR="000000D1" w:rsidRPr="000000D1" w:rsidRDefault="000000D1" w:rsidP="00E10036">
      <w:pPr>
        <w:numPr>
          <w:ilvl w:val="0"/>
          <w:numId w:val="32"/>
        </w:numPr>
        <w:contextualSpacing/>
        <w:rPr>
          <w:rFonts w:eastAsia="Calibri" w:cs="Times New Roman"/>
        </w:rPr>
      </w:pPr>
      <w:r w:rsidRPr="000000D1">
        <w:rPr>
          <w:rFonts w:eastAsia="Calibri" w:cs="Times New Roman"/>
        </w:rPr>
        <w:t xml:space="preserve"> a corporate owner may need to include the PTE’s property, payroll, and sales factors in determining its own apportionment percentage.</w:t>
      </w:r>
    </w:p>
    <w:p w14:paraId="5E8CCEA7" w14:textId="77777777" w:rsidR="000000D1" w:rsidRPr="000000D1" w:rsidRDefault="000000D1" w:rsidP="000000D1">
      <w:pPr>
        <w:rPr>
          <w:rFonts w:eastAsia="Calibri" w:cs="Times New Roman"/>
        </w:rPr>
      </w:pPr>
      <w:r w:rsidRPr="000000D1">
        <w:rPr>
          <w:rFonts w:eastAsia="Calibri" w:cs="Times New Roman"/>
        </w:rPr>
        <w:tab/>
        <w:t>Virginia Public Document Ruling No. 88-161 (06/27/1998)</w:t>
      </w:r>
    </w:p>
    <w:p w14:paraId="5AE0D06E" w14:textId="77777777" w:rsidR="000000D1" w:rsidRPr="000000D1" w:rsidRDefault="000000D1" w:rsidP="000000D1">
      <w:pPr>
        <w:ind w:left="1440"/>
        <w:rPr>
          <w:rFonts w:eastAsia="Calibri" w:cs="Times New Roman"/>
        </w:rPr>
      </w:pPr>
      <w:r w:rsidRPr="000000D1">
        <w:rPr>
          <w:rFonts w:eastAsia="Calibri" w:cs="Times New Roman"/>
        </w:rPr>
        <w:t>If a Virginia modification is related to an item specially  allocated by the partnership agreement, then the partner's distributive share of the Virginia modification shall be the same as the partner's distributive share for federal income tax purposes of the item to which the modification relates.</w:t>
      </w:r>
    </w:p>
    <w:p w14:paraId="7DA8FE26" w14:textId="77777777" w:rsidR="000000D1" w:rsidRPr="000000D1" w:rsidRDefault="000000D1" w:rsidP="000000D1">
      <w:pPr>
        <w:ind w:firstLine="720"/>
        <w:rPr>
          <w:rFonts w:eastAsia="Calibri" w:cs="Times New Roman"/>
        </w:rPr>
      </w:pPr>
      <w:r w:rsidRPr="000000D1">
        <w:rPr>
          <w:rFonts w:eastAsia="Calibri" w:cs="Times New Roman"/>
        </w:rPr>
        <w:t>Virginia Public Document Ruling No. 94-285 (09/20/1994)</w:t>
      </w:r>
    </w:p>
    <w:p w14:paraId="572AF11D" w14:textId="77777777" w:rsidR="000000D1" w:rsidRPr="000000D1" w:rsidRDefault="000000D1" w:rsidP="000000D1">
      <w:pPr>
        <w:ind w:left="1440"/>
        <w:rPr>
          <w:rFonts w:eastAsia="Calibri" w:cs="Times New Roman"/>
        </w:rPr>
      </w:pPr>
      <w:r w:rsidRPr="000000D1">
        <w:rPr>
          <w:rFonts w:eastAsia="Calibri" w:cs="Times New Roman"/>
        </w:rPr>
        <w:t>Neither the special  allocations  provisions of the Partnership's partnership agreement nor the manner in which the Corporation reports the percentage of tax-exempt income to its shareholders may operate in such a manner as to shift tax-exempt income among taxpayers solely for the purpose of reducing Virginia income taxes.</w:t>
      </w:r>
    </w:p>
    <w:p w14:paraId="2570C260" w14:textId="77777777" w:rsidR="000000D1" w:rsidRPr="000000D1" w:rsidRDefault="000000D1" w:rsidP="000000D1">
      <w:pPr>
        <w:pBdr>
          <w:bottom w:val="single" w:sz="4" w:space="0" w:color="auto"/>
        </w:pBdr>
        <w:rPr>
          <w:rFonts w:eastAsia="Calibri" w:cs="Times New Roman"/>
        </w:rPr>
      </w:pPr>
    </w:p>
    <w:p w14:paraId="71DD925F"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8" w:name="_Toc195435316"/>
      <w:r w:rsidRPr="000000D1">
        <w:rPr>
          <w:rFonts w:ascii="Californian FB" w:eastAsia="Times New Roman" w:hAnsi="Californian FB" w:cs="Times New Roman"/>
          <w:b/>
          <w:color w:val="851C00"/>
          <w:sz w:val="24"/>
          <w:szCs w:val="24"/>
          <w:u w:val="single"/>
        </w:rPr>
        <w:lastRenderedPageBreak/>
        <w:t>West Virginia</w:t>
      </w:r>
      <w:bookmarkEnd w:id="158"/>
    </w:p>
    <w:p w14:paraId="5C453A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11-21-17(b) </w:t>
      </w:r>
    </w:p>
    <w:p w14:paraId="66F080A9" w14:textId="77777777" w:rsidR="000000D1" w:rsidRPr="000000D1" w:rsidRDefault="000000D1" w:rsidP="000000D1">
      <w:pPr>
        <w:contextualSpacing/>
        <w:rPr>
          <w:rFonts w:eastAsia="Calibri" w:cs="Times New Roman"/>
        </w:rPr>
      </w:pPr>
    </w:p>
    <w:p w14:paraId="3384B2B4" w14:textId="77777777" w:rsidR="000000D1" w:rsidRPr="000000D1" w:rsidRDefault="000000D1" w:rsidP="000000D1">
      <w:pPr>
        <w:ind w:left="1440"/>
        <w:rPr>
          <w:rFonts w:eastAsia="Calibri" w:cs="Times New Roman"/>
        </w:rPr>
      </w:pPr>
      <w:r w:rsidRPr="000000D1">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04C87F08" w14:textId="77777777" w:rsidR="000000D1" w:rsidRPr="000000D1" w:rsidRDefault="000000D1" w:rsidP="000000D1">
      <w:pPr>
        <w:ind w:left="720"/>
        <w:contextualSpacing/>
        <w:rPr>
          <w:rFonts w:eastAsia="Calibri" w:cs="Times New Roman"/>
        </w:rPr>
      </w:pPr>
      <w:r w:rsidRPr="000000D1">
        <w:rPr>
          <w:rFonts w:eastAsia="Calibri" w:cs="Times New Roman"/>
        </w:rPr>
        <w:t>W. Va. Code § 11-21-17(c)</w:t>
      </w:r>
    </w:p>
    <w:p w14:paraId="1ABE0F01" w14:textId="77777777" w:rsidR="000000D1" w:rsidRPr="000000D1" w:rsidRDefault="000000D1" w:rsidP="000000D1">
      <w:pPr>
        <w:ind w:left="720"/>
        <w:contextualSpacing/>
        <w:rPr>
          <w:rFonts w:eastAsia="Calibri" w:cs="Times New Roman"/>
        </w:rPr>
      </w:pPr>
    </w:p>
    <w:p w14:paraId="08525C94" w14:textId="77777777" w:rsidR="000000D1" w:rsidRPr="000000D1" w:rsidRDefault="000000D1" w:rsidP="000000D1">
      <w:pPr>
        <w:ind w:left="1440"/>
        <w:contextualSpacing/>
        <w:rPr>
          <w:rFonts w:eastAsia="Calibri" w:cs="Times New Roman"/>
        </w:rPr>
      </w:pPr>
      <w:r w:rsidRPr="000000D1">
        <w:rPr>
          <w:rFonts w:eastAsia="Calibri" w:cs="Times New Roman"/>
        </w:rPr>
        <w:t>West Virginia tax avoidance or evasion. — Where a partner’s distributive share of an item of partnership income, gain, loss or deduction is determined for federal income tax purposes by special provision in the partnership agreement with respect to such item, and where the principal purpose of such provision is the avoidance or evasion of tax under this article, the partner’s distributive share of such item, and any modification required with respect thereto shall be determined as if the partnership agreement made no special provision with respect to such item.</w:t>
      </w:r>
    </w:p>
    <w:p w14:paraId="5AB64A9E" w14:textId="77777777" w:rsidR="000000D1" w:rsidRPr="000000D1" w:rsidRDefault="000000D1" w:rsidP="000000D1">
      <w:pPr>
        <w:ind w:left="1440"/>
        <w:contextualSpacing/>
        <w:rPr>
          <w:rFonts w:eastAsia="Calibri" w:cs="Times New Roman"/>
        </w:rPr>
      </w:pPr>
    </w:p>
    <w:p w14:paraId="1E5979B9"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11-21-37 </w:t>
      </w:r>
    </w:p>
    <w:p w14:paraId="699F7E61" w14:textId="77777777" w:rsidR="000000D1" w:rsidRPr="000000D1" w:rsidRDefault="000000D1" w:rsidP="000000D1">
      <w:pPr>
        <w:contextualSpacing/>
        <w:rPr>
          <w:rFonts w:eastAsia="Calibri" w:cs="Times New Roman"/>
        </w:rPr>
      </w:pPr>
    </w:p>
    <w:p w14:paraId="26C036B7" w14:textId="77777777" w:rsidR="000000D1" w:rsidRPr="000000D1" w:rsidRDefault="000000D1" w:rsidP="000000D1">
      <w:pPr>
        <w:ind w:left="1440"/>
        <w:rPr>
          <w:rFonts w:eastAsia="Calibri" w:cs="Times New Roman"/>
        </w:rPr>
      </w:pPr>
      <w:r w:rsidRPr="000000D1">
        <w:rPr>
          <w:rFonts w:eastAsia="Calibri" w:cs="Times New Roman"/>
        </w:rPr>
        <w:t>(a) 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determined under regulations of the tax commissioner consistent with the applicable rules of section thirty-two [§ 11-21-32].</w:t>
      </w:r>
    </w:p>
    <w:p w14:paraId="36FFDE67" w14:textId="77777777" w:rsidR="000000D1" w:rsidRPr="000000D1" w:rsidRDefault="000000D1" w:rsidP="000000D1">
      <w:pPr>
        <w:ind w:left="1440"/>
        <w:rPr>
          <w:rFonts w:eastAsia="Calibri" w:cs="Times New Roman"/>
        </w:rPr>
      </w:pPr>
      <w:r w:rsidRPr="000000D1">
        <w:rPr>
          <w:rFonts w:eastAsia="Calibri" w:cs="Times New Roman"/>
        </w:rPr>
        <w:t>(b) Special rules as to West Virginia sources. -- In determining the sources of a nonresident partner's income, no effect shall be given to a provision of the partnership agreement which:</w:t>
      </w:r>
    </w:p>
    <w:p w14:paraId="1103D9AE" w14:textId="77777777" w:rsidR="000000D1" w:rsidRPr="000000D1" w:rsidRDefault="000000D1" w:rsidP="000000D1">
      <w:pPr>
        <w:ind w:left="1440"/>
        <w:rPr>
          <w:rFonts w:eastAsia="Calibri" w:cs="Times New Roman"/>
        </w:rPr>
      </w:pPr>
      <w:r w:rsidRPr="000000D1">
        <w:rPr>
          <w:rFonts w:eastAsia="Calibri" w:cs="Times New Roman"/>
        </w:rPr>
        <w:t>(1) Characterizes payments to the partner as being for services or for the use of capital; or</w:t>
      </w:r>
    </w:p>
    <w:p w14:paraId="5BC2ADE5" w14:textId="77777777" w:rsidR="000000D1" w:rsidRPr="000000D1" w:rsidRDefault="000000D1" w:rsidP="000000D1">
      <w:pPr>
        <w:ind w:left="1440"/>
        <w:rPr>
          <w:rFonts w:eastAsia="Calibri" w:cs="Times New Roman"/>
        </w:rPr>
      </w:pPr>
      <w:r w:rsidRPr="000000D1">
        <w:rPr>
          <w:rFonts w:eastAsia="Calibri" w:cs="Times New Roman"/>
        </w:rPr>
        <w:t>(2) Allocates to the partner, as income or gain from sources outside West Virginia, a greater proportion of his or her distributive share of partnership income or gain than the ratio of partnership income or gain from sources outside West Virginia to partnership income or gain from all sources, except as authorized in subsection (d); or</w:t>
      </w:r>
    </w:p>
    <w:p w14:paraId="5696012F" w14:textId="77777777" w:rsidR="000000D1" w:rsidRPr="000000D1" w:rsidRDefault="000000D1" w:rsidP="000000D1">
      <w:pPr>
        <w:ind w:left="1440"/>
        <w:rPr>
          <w:rFonts w:eastAsia="Calibri" w:cs="Times New Roman"/>
        </w:rPr>
      </w:pPr>
      <w:r w:rsidRPr="000000D1">
        <w:rPr>
          <w:rFonts w:eastAsia="Calibri" w:cs="Times New Roman"/>
        </w:rPr>
        <w:t>(3) Allocates to the partner a greater proportion of a partnership item of loss or deduction connected with West Virginia sources than his or her proportionate share, for federal income tax purposes, of partnership loss or deduction generally, except as authorized in subsection (c).</w:t>
      </w:r>
    </w:p>
    <w:p w14:paraId="53B83D7E" w14:textId="77777777" w:rsidR="000000D1" w:rsidRPr="000000D1" w:rsidRDefault="000000D1" w:rsidP="000000D1">
      <w:pPr>
        <w:ind w:left="1440"/>
        <w:rPr>
          <w:rFonts w:eastAsia="Calibri" w:cs="Times New Roman"/>
        </w:rPr>
      </w:pPr>
      <w:r w:rsidRPr="000000D1">
        <w:rPr>
          <w:rFonts w:eastAsia="Calibri" w:cs="Times New Roman"/>
        </w:rPr>
        <w:t>(c) Alternative methods. -- The Tax Commissioner may, on written application filed on or before the due date of the partner's or S corporation shareholder's return under this article for that taxable year determined without regard to any extension of time for filing, authorize the use of such other method or methods of determining the nonresident partner's portion of partnership items, or the nonresident S corporation shareholder's portion of S corporation items, derived from or connected with West Virginia sources, and the modifications related thereto, as may be appropriate and equitable, on such terms and conditions as the commissioner may require.</w:t>
      </w:r>
    </w:p>
    <w:p w14:paraId="5E1BE74F" w14:textId="77777777" w:rsidR="000000D1" w:rsidRPr="000000D1" w:rsidRDefault="000000D1" w:rsidP="000000D1">
      <w:pPr>
        <w:ind w:left="1440"/>
        <w:rPr>
          <w:rFonts w:eastAsia="Calibri" w:cs="Times New Roman"/>
        </w:rPr>
      </w:pPr>
      <w:r w:rsidRPr="000000D1">
        <w:rPr>
          <w:rFonts w:eastAsia="Calibri" w:cs="Times New Roman"/>
        </w:rPr>
        <w:t>(d) Application of rules for resident partners to nonresident partners and shareholders.</w:t>
      </w:r>
    </w:p>
    <w:p w14:paraId="6F85A80C" w14:textId="77777777" w:rsidR="000000D1" w:rsidRPr="000000D1" w:rsidRDefault="000000D1" w:rsidP="000000D1">
      <w:pPr>
        <w:ind w:left="1440"/>
        <w:rPr>
          <w:rFonts w:eastAsia="Calibri" w:cs="Times New Roman"/>
        </w:rPr>
      </w:pPr>
      <w:r w:rsidRPr="000000D1">
        <w:rPr>
          <w:rFonts w:eastAsia="Calibri" w:cs="Times New Roman"/>
        </w:rPr>
        <w:lastRenderedPageBreak/>
        <w:t>(1) For a partner's distributive share of items, see subsection (a) of section seventeen of this article.</w:t>
      </w:r>
    </w:p>
    <w:p w14:paraId="758CD934" w14:textId="77777777" w:rsidR="000000D1" w:rsidRPr="000000D1" w:rsidRDefault="000000D1" w:rsidP="000000D1">
      <w:pPr>
        <w:ind w:left="1440"/>
        <w:rPr>
          <w:rFonts w:eastAsia="Calibri" w:cs="Times New Roman"/>
        </w:rPr>
      </w:pPr>
      <w:r w:rsidRPr="000000D1">
        <w:rPr>
          <w:rFonts w:eastAsia="Calibri" w:cs="Times New Roman"/>
        </w:rPr>
        <w:t>(2) The character of partnership items for a nonresident partner shall be determined under subsection (b) of section seventeen of this article.</w:t>
      </w:r>
    </w:p>
    <w:p w14:paraId="3775A20B" w14:textId="77777777" w:rsidR="000000D1" w:rsidRPr="000000D1" w:rsidRDefault="000000D1" w:rsidP="000000D1">
      <w:pPr>
        <w:ind w:left="1440"/>
        <w:rPr>
          <w:rFonts w:eastAsia="Calibri" w:cs="Times New Roman"/>
        </w:rPr>
      </w:pPr>
      <w:r w:rsidRPr="000000D1">
        <w:rPr>
          <w:rFonts w:eastAsia="Calibri" w:cs="Times New Roman"/>
        </w:rPr>
        <w:t>(3) The effect of a special provision in a partnership agreement, other than a provision referred to in subsection (b) of this section, having the principal purpose of avoidance or evasion of tax under this article shall be determined under subsection (c) of section seventeen of this article.</w:t>
      </w:r>
    </w:p>
    <w:p w14:paraId="36D6471B"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11-21-37A </w:t>
      </w:r>
    </w:p>
    <w:p w14:paraId="557298BF" w14:textId="77777777" w:rsidR="000000D1" w:rsidRPr="000000D1" w:rsidRDefault="000000D1" w:rsidP="000000D1">
      <w:pPr>
        <w:contextualSpacing/>
        <w:rPr>
          <w:rFonts w:eastAsia="Calibri" w:cs="Times New Roman"/>
        </w:rPr>
      </w:pPr>
    </w:p>
    <w:p w14:paraId="285AAB3C" w14:textId="77777777" w:rsidR="000000D1" w:rsidRPr="000000D1" w:rsidRDefault="000000D1" w:rsidP="000000D1">
      <w:pPr>
        <w:ind w:left="1440"/>
        <w:rPr>
          <w:rFonts w:eastAsia="Calibri" w:cs="Times New Roman"/>
        </w:rPr>
      </w:pPr>
      <w:r w:rsidRPr="000000D1">
        <w:rPr>
          <w:rFonts w:eastAsia="Calibri" w:cs="Times New Roman"/>
        </w:rPr>
        <w:t>(a) 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3967DA17" w14:textId="77777777" w:rsidR="000000D1" w:rsidRPr="000000D1" w:rsidRDefault="000000D1" w:rsidP="000000D1">
      <w:pPr>
        <w:ind w:left="1440"/>
        <w:rPr>
          <w:rFonts w:eastAsia="Calibri" w:cs="Times New Roman"/>
        </w:rPr>
      </w:pPr>
      <w:r w:rsidRPr="000000D1">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60266E28" w14:textId="77777777" w:rsidR="000000D1" w:rsidRPr="000000D1" w:rsidRDefault="000000D1" w:rsidP="000000D1">
      <w:pPr>
        <w:ind w:left="1440"/>
        <w:rPr>
          <w:rFonts w:eastAsia="Calibri" w:cs="Times New Roman"/>
        </w:rPr>
      </w:pPr>
      <w:r w:rsidRPr="000000D1">
        <w:rPr>
          <w:rFonts w:eastAsia="Calibri" w:cs="Times New Roman"/>
        </w:rPr>
        <w:t>(2) The term "engaging in business" or "doing business" means any activity of a business entity which enjoys the benefits and protection of government and laws in this state. . . .</w:t>
      </w:r>
    </w:p>
    <w:p w14:paraId="3D5CF183" w14:textId="77777777" w:rsidR="000000D1" w:rsidRPr="000000D1" w:rsidRDefault="000000D1" w:rsidP="000000D1">
      <w:pPr>
        <w:ind w:left="1440"/>
        <w:rPr>
          <w:rFonts w:eastAsia="Calibri" w:cs="Times New Roman"/>
        </w:rPr>
      </w:pPr>
      <w:r w:rsidRPr="000000D1">
        <w:rPr>
          <w:rFonts w:eastAsia="Calibri" w:cs="Times New Roman"/>
        </w:rPr>
        <w:t>(j)(A) Allocation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Allocated income shall be allocated in the same manner and to the same extent as the income of corporations and entities taxable under §11-24-1 et seq. of this code are apportioned under §11-24-7 of this code.</w:t>
      </w:r>
    </w:p>
    <w:p w14:paraId="31AA0788" w14:textId="77777777" w:rsidR="000000D1" w:rsidRPr="000000D1" w:rsidRDefault="000000D1" w:rsidP="000000D1">
      <w:pPr>
        <w:ind w:left="1440"/>
        <w:rPr>
          <w:rFonts w:eastAsia="Calibri" w:cs="Times New Roman"/>
        </w:rPr>
      </w:pPr>
      <w:r w:rsidRPr="000000D1">
        <w:rPr>
          <w:rFonts w:eastAsia="Calibri" w:cs="Times New Roman"/>
        </w:rPr>
        <w:t>(B) For purposes of this article the provisions of §11-21-12K, §11-21-37b and §11-21-37c of this code remain unchanged by this section.</w:t>
      </w:r>
    </w:p>
    <w:p w14:paraId="62EFB72F" w14:textId="77777777" w:rsidR="000000D1" w:rsidRPr="000000D1" w:rsidRDefault="000000D1" w:rsidP="000000D1">
      <w:pPr>
        <w:ind w:left="1440"/>
        <w:rPr>
          <w:rFonts w:eastAsia="Calibri" w:cs="Times New Roman"/>
        </w:rPr>
      </w:pPr>
      <w:r w:rsidRPr="000000D1">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21536A8E" w14:textId="77777777" w:rsidR="000000D1" w:rsidRPr="000000D1" w:rsidRDefault="000000D1" w:rsidP="000000D1">
      <w:pPr>
        <w:ind w:left="1440"/>
        <w:rPr>
          <w:rFonts w:eastAsia="Calibri" w:cs="Times New Roman"/>
        </w:rPr>
      </w:pPr>
      <w:r w:rsidRPr="000000D1">
        <w:rPr>
          <w:rFonts w:eastAsia="Calibri" w:cs="Times New Roman"/>
        </w:rPr>
        <w:t xml:space="preserve">(D)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w:t>
      </w:r>
      <w:r w:rsidRPr="000000D1">
        <w:rPr>
          <w:rFonts w:eastAsia="Calibri" w:cs="Times New Roman"/>
        </w:rPr>
        <w:lastRenderedPageBreak/>
        <w:t xml:space="preserve">code, such income is taxable to such recipient as income allocated to this state under the provisions of §11-24-1 et seq. of this code. </w:t>
      </w:r>
    </w:p>
    <w:p w14:paraId="182B9351" w14:textId="77777777" w:rsidR="000000D1" w:rsidRPr="000000D1" w:rsidRDefault="000000D1" w:rsidP="000000D1">
      <w:pPr>
        <w:rPr>
          <w:rFonts w:eastAsia="Calibri" w:cs="Times New Roman"/>
          <w:i/>
        </w:rPr>
      </w:pPr>
      <w:r w:rsidRPr="000000D1">
        <w:rPr>
          <w:rFonts w:eastAsia="Calibri" w:cs="Times New Roman"/>
        </w:rPr>
        <w:tab/>
        <w:t xml:space="preserve">W. Va. Code § 11-24-7(d)(5) </w:t>
      </w:r>
    </w:p>
    <w:p w14:paraId="5ABF5A13" w14:textId="77777777" w:rsidR="000000D1" w:rsidRPr="000000D1" w:rsidRDefault="000000D1" w:rsidP="000000D1">
      <w:pPr>
        <w:ind w:left="1440"/>
        <w:rPr>
          <w:rFonts w:eastAsia="Calibri" w:cs="Times New Roman"/>
          <w:iCs/>
        </w:rPr>
      </w:pPr>
      <w:r w:rsidRPr="000000D1">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79EF67F6" w14:textId="77777777" w:rsidR="000000D1" w:rsidRPr="000000D1" w:rsidRDefault="000000D1" w:rsidP="000000D1">
      <w:pPr>
        <w:ind w:left="1440"/>
        <w:rPr>
          <w:rFonts w:eastAsia="Calibri" w:cs="Times New Roman"/>
          <w:iCs/>
        </w:rPr>
      </w:pPr>
      <w:r w:rsidRPr="000000D1">
        <w:rPr>
          <w:rFonts w:eastAsia="Calibri" w:cs="Times New Roman"/>
          <w:iCs/>
        </w:rPr>
        <w:t>(B)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70743922" w14:textId="77777777" w:rsidR="000000D1" w:rsidRPr="000000D1" w:rsidRDefault="000000D1" w:rsidP="000000D1">
      <w:pPr>
        <w:ind w:left="1440"/>
        <w:rPr>
          <w:rFonts w:eastAsia="Calibri" w:cs="Times New Roman"/>
          <w:iCs/>
        </w:rPr>
      </w:pPr>
      <w:r w:rsidRPr="000000D1">
        <w:rPr>
          <w:rFonts w:eastAsia="Calibri" w:cs="Times New Roman"/>
          <w:iCs/>
        </w:rPr>
        <w:t>(C) This subdivision shall be null and void and of no force or effect for tax years beginning on or after January 1, 2009.</w:t>
      </w:r>
      <w:r w:rsidRPr="000000D1">
        <w:rPr>
          <w:rFonts w:eastAsia="Calibri" w:cs="Times New Roman"/>
          <w:iCs/>
        </w:rPr>
        <w:tab/>
      </w:r>
    </w:p>
    <w:p w14:paraId="35C0B56E" w14:textId="77777777" w:rsidR="000000D1" w:rsidRPr="000000D1" w:rsidRDefault="000000D1" w:rsidP="000000D1">
      <w:pPr>
        <w:rPr>
          <w:rFonts w:eastAsia="Calibri" w:cs="Times New Roman"/>
          <w:i/>
        </w:rPr>
      </w:pPr>
      <w:r w:rsidRPr="000000D1">
        <w:rPr>
          <w:rFonts w:eastAsia="Calibri" w:cs="Times New Roman"/>
          <w:iCs/>
        </w:rPr>
        <w:tab/>
      </w:r>
      <w:r w:rsidRPr="000000D1">
        <w:rPr>
          <w:rFonts w:eastAsia="Calibri" w:cs="Times New Roman"/>
        </w:rPr>
        <w:t>W. Va. Code § 11-24-13c</w:t>
      </w:r>
    </w:p>
    <w:p w14:paraId="3CFCFBFA" w14:textId="77777777" w:rsidR="000000D1" w:rsidRPr="000000D1" w:rsidRDefault="000000D1" w:rsidP="000000D1">
      <w:pPr>
        <w:ind w:left="1440"/>
        <w:rPr>
          <w:rFonts w:eastAsia="Calibri" w:cs="Times New Roman"/>
          <w:iCs/>
        </w:rPr>
      </w:pPr>
      <w:r w:rsidRPr="000000D1">
        <w:rPr>
          <w:rFonts w:eastAsia="Calibri" w:cs="Times New Roman"/>
          <w:iCs/>
        </w:rPr>
        <w:t>(c)(2) 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income.</w:t>
      </w:r>
    </w:p>
    <w:p w14:paraId="505B7671" w14:textId="77777777" w:rsidR="000000D1" w:rsidRPr="000000D1" w:rsidRDefault="000000D1" w:rsidP="000000D1">
      <w:pPr>
        <w:rPr>
          <w:rFonts w:eastAsia="Calibri" w:cs="Times New Roman"/>
          <w:i/>
        </w:rPr>
      </w:pPr>
      <w:r w:rsidRPr="000000D1">
        <w:rPr>
          <w:rFonts w:eastAsia="Calibri" w:cs="Times New Roman"/>
          <w:iCs/>
        </w:rPr>
        <w:tab/>
        <w:t>W. Va. Code R. § 110-24-6 Example 3</w:t>
      </w:r>
      <w:r w:rsidRPr="000000D1">
        <w:rPr>
          <w:rFonts w:eastAsia="Calibri" w:cs="Times New Roman"/>
          <w:i/>
        </w:rPr>
        <w:t xml:space="preserve"> </w:t>
      </w:r>
    </w:p>
    <w:p w14:paraId="5FDBB7F9" w14:textId="77777777" w:rsidR="000000D1" w:rsidRPr="000000D1" w:rsidRDefault="000000D1" w:rsidP="000000D1">
      <w:pPr>
        <w:ind w:left="1440"/>
        <w:rPr>
          <w:rFonts w:eastAsia="Calibri" w:cs="Times New Roman"/>
          <w:iCs/>
        </w:rPr>
      </w:pPr>
      <w:r w:rsidRPr="000000D1">
        <w:rPr>
          <w:rFonts w:eastAsia="Calibri" w:cs="Times New Roman"/>
          <w:iCs/>
        </w:rPr>
        <w:t>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p>
    <w:p w14:paraId="0B2DAD04" w14:textId="77777777" w:rsidR="000000D1" w:rsidRPr="000000D1" w:rsidRDefault="000000D1" w:rsidP="000000D1">
      <w:pPr>
        <w:ind w:firstLine="720"/>
        <w:rPr>
          <w:rFonts w:eastAsia="Calibri" w:cs="Times New Roman"/>
          <w:i/>
        </w:rPr>
      </w:pPr>
      <w:r w:rsidRPr="000000D1">
        <w:rPr>
          <w:rFonts w:eastAsia="Calibri" w:cs="Times New Roman"/>
          <w:iCs/>
        </w:rPr>
        <w:t xml:space="preserve">West Virginia Form PTE-100 Instructions </w:t>
      </w:r>
    </w:p>
    <w:p w14:paraId="725338F5" w14:textId="77777777" w:rsidR="000000D1" w:rsidRPr="000000D1" w:rsidRDefault="000000D1" w:rsidP="000000D1">
      <w:pPr>
        <w:ind w:left="1440"/>
        <w:rPr>
          <w:rFonts w:eastAsia="Calibri" w:cs="Times New Roman"/>
          <w:iCs/>
        </w:rPr>
      </w:pPr>
      <w:r w:rsidRPr="000000D1">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0000D1">
        <w:rPr>
          <w:rFonts w:eastAsia="Calibri" w:cs="Times New Roman"/>
          <w:i/>
        </w:rPr>
        <w:t>.</w:t>
      </w:r>
    </w:p>
    <w:p w14:paraId="7DBD0C48"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West Virginia Taxpayer Services Division Publications No. TSD-392 (May 1, 2020) </w:t>
      </w:r>
    </w:p>
    <w:p w14:paraId="588D1AF8" w14:textId="77777777" w:rsidR="000000D1" w:rsidRPr="000000D1" w:rsidRDefault="000000D1" w:rsidP="000000D1">
      <w:pPr>
        <w:contextualSpacing/>
        <w:rPr>
          <w:rFonts w:eastAsia="Calibri" w:cs="Times New Roman"/>
        </w:rPr>
      </w:pPr>
    </w:p>
    <w:p w14:paraId="38507CD4" w14:textId="77777777" w:rsidR="000000D1" w:rsidRPr="000000D1" w:rsidRDefault="000000D1" w:rsidP="000000D1">
      <w:pPr>
        <w:ind w:left="1440"/>
        <w:rPr>
          <w:rFonts w:eastAsia="Calibri" w:cs="Times New Roman"/>
        </w:rPr>
      </w:pPr>
      <w:r w:rsidRPr="000000D1">
        <w:rPr>
          <w:rFonts w:eastAsia="Calibri" w:cs="Times New Roman"/>
        </w:rPr>
        <w:t>A corporate partner's distributive share of partnership income, gain, loss, deduction or credit is apportionable to West Virginia. State law presumes that a corporate partner's distributive share of partnership income is apportionable business income.</w:t>
      </w:r>
    </w:p>
    <w:p w14:paraId="02D1979A" w14:textId="77777777" w:rsidR="000000D1" w:rsidRPr="000000D1" w:rsidRDefault="000000D1" w:rsidP="000000D1">
      <w:pPr>
        <w:ind w:firstLine="720"/>
        <w:contextualSpacing/>
        <w:rPr>
          <w:rFonts w:eastAsia="Calibri" w:cs="Times New Roman"/>
        </w:rPr>
      </w:pPr>
      <w:r w:rsidRPr="000000D1">
        <w:rPr>
          <w:rFonts w:eastAsia="Calibri" w:cs="Times New Roman"/>
        </w:rPr>
        <w:t>West Virginia Taxpayer Services Division Publications No. TSD-423 (11/01/2011)</w:t>
      </w:r>
    </w:p>
    <w:p w14:paraId="3DB1A678"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p>
    <w:p w14:paraId="634C13EC" w14:textId="77777777" w:rsidR="000000D1" w:rsidRPr="000000D1" w:rsidRDefault="000000D1" w:rsidP="000000D1">
      <w:pPr>
        <w:ind w:left="1440"/>
        <w:contextualSpacing/>
        <w:rPr>
          <w:rFonts w:eastAsia="Calibri" w:cs="Times New Roman"/>
        </w:rPr>
      </w:pPr>
      <w:r w:rsidRPr="000000D1">
        <w:rPr>
          <w:rFonts w:eastAsia="Calibri" w:cs="Times New Roman"/>
        </w:rPr>
        <w:t>West Virginia Business Franchise Tax - If the nonresident law firm is a corporation or partnership, the law firm would be liable for the West Virginia business franchise tax. The amount of tax payable would be calculated based upon the apportioned capital base of the firm. W. Va. Code § 11-23. Apportionment is typically based upon the West Virginia four factor formula consisting of a property factor, a payroll factor and a double weighted sales factor. However, should it appear that the statutory apportionment method does not accurately reflect the extent of the business activity in West Virginia, the Tax Commissioner may require use of, or the taxpayer may petition for, an alternative  apportionment  method.</w:t>
      </w:r>
    </w:p>
    <w:p w14:paraId="78A53CC4" w14:textId="77777777" w:rsidR="000000D1" w:rsidRPr="000000D1" w:rsidRDefault="000000D1" w:rsidP="000000D1">
      <w:pPr>
        <w:contextualSpacing/>
        <w:rPr>
          <w:rFonts w:eastAsia="Calibri" w:cs="Times New Roman"/>
        </w:rPr>
      </w:pPr>
    </w:p>
    <w:p w14:paraId="76192AF4" w14:textId="77777777" w:rsidR="000000D1" w:rsidRPr="000000D1" w:rsidRDefault="000000D1" w:rsidP="000000D1">
      <w:pPr>
        <w:ind w:left="1440"/>
        <w:contextualSpacing/>
        <w:rPr>
          <w:rFonts w:eastAsia="Calibri" w:cs="Times New Roman"/>
        </w:rPr>
      </w:pPr>
      <w:r w:rsidRPr="000000D1">
        <w:rPr>
          <w:rFonts w:eastAsia="Calibri" w:cs="Times New Roman"/>
        </w:rPr>
        <w:t>Should the nonresident law firm wish to do so, the firm could apply to the West Virginia State Tax Department for use specific accounting to apportion its tax base to the State of West Virginia instead of the typically applied four factor formula. The taxpayer would be required to apply for authorization to use specific accounting to apportion its tax base before the unextended due date of the annual franchise tax return for the tax year for which West Virginia reporting is required.</w:t>
      </w:r>
    </w:p>
    <w:p w14:paraId="3E91C74E" w14:textId="77777777" w:rsidR="000000D1" w:rsidRPr="000000D1" w:rsidRDefault="000000D1" w:rsidP="000000D1">
      <w:pPr>
        <w:pBdr>
          <w:bottom w:val="single" w:sz="4" w:space="0" w:color="auto"/>
        </w:pBdr>
        <w:rPr>
          <w:rFonts w:eastAsia="Calibri" w:cs="Times New Roman"/>
        </w:rPr>
      </w:pPr>
    </w:p>
    <w:p w14:paraId="7997CE2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9" w:name="_Toc195435317"/>
      <w:bookmarkEnd w:id="91"/>
      <w:r w:rsidRPr="000000D1">
        <w:rPr>
          <w:rFonts w:ascii="Californian FB" w:eastAsia="Times New Roman" w:hAnsi="Californian FB" w:cs="Times New Roman"/>
          <w:b/>
          <w:color w:val="851C00"/>
          <w:sz w:val="24"/>
          <w:szCs w:val="24"/>
          <w:u w:val="single"/>
        </w:rPr>
        <w:t>Wisconsin</w:t>
      </w:r>
      <w:bookmarkEnd w:id="159"/>
    </w:p>
    <w:p w14:paraId="4FCBBD2D" w14:textId="77777777" w:rsidR="000000D1" w:rsidRPr="000000D1" w:rsidRDefault="000000D1" w:rsidP="000000D1">
      <w:pPr>
        <w:widowControl w:val="0"/>
        <w:autoSpaceDE w:val="0"/>
        <w:autoSpaceDN w:val="0"/>
        <w:spacing w:before="134" w:after="0" w:line="240" w:lineRule="auto"/>
        <w:ind w:left="868"/>
        <w:jc w:val="left"/>
        <w:rPr>
          <w:rFonts w:eastAsia="Cambria" w:cs="Cambria"/>
          <w:sz w:val="24"/>
          <w:szCs w:val="24"/>
          <w:u w:val="single"/>
        </w:rPr>
      </w:pPr>
      <w:r w:rsidRPr="000000D1">
        <w:rPr>
          <w:rFonts w:eastAsia="Cambria" w:cs="Cambria"/>
          <w:sz w:val="24"/>
          <w:szCs w:val="24"/>
          <w:u w:val="single"/>
        </w:rPr>
        <w:t>Published Guidance:</w:t>
      </w:r>
    </w:p>
    <w:p w14:paraId="5625447C"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Cs w:val="20"/>
          <w:u w:val="single"/>
        </w:rPr>
      </w:pPr>
      <w:hyperlink r:id="rId44" w:history="1">
        <w:r w:rsidRPr="000000D1">
          <w:rPr>
            <w:rFonts w:eastAsia="Cambria" w:cs="Cambria"/>
            <w:color w:val="0000FF"/>
            <w:szCs w:val="20"/>
            <w:u w:val="single"/>
          </w:rPr>
          <w:t>Wisconsin Schedule 3K-1 Instructions</w:t>
        </w:r>
      </w:hyperlink>
      <w:r w:rsidRPr="000000D1">
        <w:rPr>
          <w:rFonts w:eastAsia="Cambria" w:cs="Cambria"/>
          <w:color w:val="0000FF"/>
          <w:szCs w:val="20"/>
          <w:u w:val="single"/>
        </w:rPr>
        <w:t xml:space="preserve"> (2023)</w:t>
      </w:r>
    </w:p>
    <w:p w14:paraId="6EC11A6B" w14:textId="77777777" w:rsidR="000000D1" w:rsidRPr="000000D1" w:rsidRDefault="000000D1" w:rsidP="000000D1">
      <w:pPr>
        <w:widowControl w:val="0"/>
        <w:autoSpaceDE w:val="0"/>
        <w:autoSpaceDN w:val="0"/>
        <w:spacing w:before="240" w:after="240" w:line="240" w:lineRule="auto"/>
        <w:ind w:left="1224" w:right="144"/>
        <w:rPr>
          <w:rFonts w:eastAsia="Cambria" w:cs="Cambria"/>
          <w:color w:val="0000FF"/>
          <w:szCs w:val="20"/>
          <w:u w:val="single"/>
        </w:rPr>
      </w:pPr>
      <w:r w:rsidRPr="000000D1">
        <w:rPr>
          <w:rFonts w:eastAsia="Cambria" w:cs="Cambria"/>
          <w:i/>
          <w:iCs/>
          <w:color w:val="0000FF"/>
          <w:szCs w:val="20"/>
          <w:u w:val="single"/>
        </w:rPr>
        <w:t>Excerpt, pages 8 and 9:</w:t>
      </w:r>
    </w:p>
    <w:p w14:paraId="011F5EC1" w14:textId="77777777" w:rsidR="000000D1" w:rsidRPr="000000D1" w:rsidRDefault="000000D1" w:rsidP="000000D1">
      <w:pPr>
        <w:widowControl w:val="0"/>
        <w:autoSpaceDE w:val="0"/>
        <w:autoSpaceDN w:val="0"/>
        <w:spacing w:before="213" w:after="0"/>
        <w:ind w:left="1228" w:right="144"/>
        <w:rPr>
          <w:rFonts w:eastAsia="Cambria" w:cs="Cambria"/>
          <w:b/>
          <w:bCs/>
          <w:szCs w:val="20"/>
        </w:rPr>
      </w:pPr>
      <w:r w:rsidRPr="000000D1">
        <w:rPr>
          <w:rFonts w:eastAsia="Cambria" w:cs="Cambria"/>
          <w:b/>
          <w:bCs/>
          <w:szCs w:val="20"/>
        </w:rPr>
        <w:t>Determining the Wisconsin Income of Nonresident Partners</w:t>
      </w:r>
    </w:p>
    <w:p w14:paraId="2B82CA89" w14:textId="77777777" w:rsidR="000000D1" w:rsidRPr="000000D1" w:rsidRDefault="000000D1" w:rsidP="000000D1">
      <w:pPr>
        <w:widowControl w:val="0"/>
        <w:autoSpaceDE w:val="0"/>
        <w:autoSpaceDN w:val="0"/>
        <w:spacing w:before="213" w:after="0"/>
        <w:ind w:left="1228" w:right="144"/>
        <w:rPr>
          <w:rFonts w:eastAsia="Cambria" w:cs="Cambria"/>
          <w:b/>
          <w:bCs/>
          <w:szCs w:val="20"/>
          <w:u w:val="single"/>
        </w:rPr>
      </w:pPr>
      <w:r w:rsidRPr="000000D1">
        <w:rPr>
          <w:rFonts w:eastAsia="Cambria" w:cs="Cambria"/>
          <w:b/>
          <w:bCs/>
          <w:szCs w:val="20"/>
          <w:u w:val="single"/>
        </w:rPr>
        <w:t>Apportionable Income:</w:t>
      </w:r>
    </w:p>
    <w:p w14:paraId="53A0BAF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Wis. Adm. Code, for a description of what constitutes a unitary business.</w:t>
      </w:r>
    </w:p>
    <w:p w14:paraId="583283B7"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All business income of a partnership is apportionable income, except as provided in the section below titled, </w:t>
      </w:r>
      <w:r w:rsidRPr="000000D1">
        <w:rPr>
          <w:rFonts w:eastAsia="Cambria" w:cs="Cambria"/>
          <w:i/>
          <w:iCs/>
          <w:szCs w:val="20"/>
        </w:rPr>
        <w:t>Income Not Subject to Apportionment Formula</w:t>
      </w:r>
      <w:r w:rsidRPr="000000D1">
        <w:rPr>
          <w:rFonts w:eastAsia="Cambria" w:cs="Cambria"/>
          <w:szCs w:val="20"/>
        </w:rPr>
        <w:t>. All apportionable business income is taxable to nonresident partners based on the apportionment formula regardless of whether the nonresident partner performs services in Wisconsin.</w:t>
      </w:r>
    </w:p>
    <w:p w14:paraId="24F3F91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0000D1">
        <w:rPr>
          <w:rFonts w:eastAsia="Cambria" w:cs="Cambria"/>
          <w:i/>
          <w:iCs/>
          <w:szCs w:val="20"/>
        </w:rPr>
        <w:t>Wisconsin Partnership Return</w:t>
      </w:r>
      <w:r w:rsidRPr="000000D1">
        <w:rPr>
          <w:rFonts w:eastAsia="Cambria" w:cs="Cambria"/>
          <w:szCs w:val="20"/>
        </w:rPr>
        <w:t>.</w:t>
      </w:r>
    </w:p>
    <w:p w14:paraId="3EA8D47B" w14:textId="77777777" w:rsidR="000000D1" w:rsidRPr="000000D1" w:rsidRDefault="000000D1" w:rsidP="000000D1">
      <w:pPr>
        <w:widowControl w:val="0"/>
        <w:autoSpaceDE w:val="0"/>
        <w:autoSpaceDN w:val="0"/>
        <w:spacing w:before="213" w:after="0"/>
        <w:ind w:left="1228" w:right="144"/>
        <w:rPr>
          <w:rFonts w:eastAsia="Cambria" w:cs="Cambria"/>
          <w:b/>
          <w:bCs/>
          <w:szCs w:val="20"/>
          <w:u w:val="single"/>
        </w:rPr>
      </w:pPr>
      <w:r w:rsidRPr="000000D1">
        <w:rPr>
          <w:rFonts w:eastAsia="Cambria" w:cs="Cambria"/>
          <w:b/>
          <w:bCs/>
          <w:szCs w:val="20"/>
          <w:u w:val="single"/>
        </w:rPr>
        <w:t>Income Not Subject to Apportionment Formula:</w:t>
      </w:r>
    </w:p>
    <w:p w14:paraId="6DEC51B1" w14:textId="77777777" w:rsidR="000000D1" w:rsidRPr="000000D1" w:rsidRDefault="000000D1" w:rsidP="000000D1">
      <w:pPr>
        <w:widowControl w:val="0"/>
        <w:autoSpaceDE w:val="0"/>
        <w:autoSpaceDN w:val="0"/>
        <w:spacing w:before="240" w:after="240"/>
        <w:ind w:left="1224" w:right="144"/>
        <w:rPr>
          <w:rFonts w:eastAsia="Cambria" w:cs="Cambria"/>
          <w:szCs w:val="20"/>
        </w:rPr>
      </w:pPr>
      <w:r w:rsidRPr="000000D1">
        <w:rPr>
          <w:rFonts w:eastAsia="Cambria" w:cs="Cambria"/>
          <w:szCs w:val="20"/>
        </w:rPr>
        <w:lastRenderedPageBreak/>
        <w:t>For items of business income not subject to apportionment under sec. 71.04(4), Wis. Stats., a nonresident partner's distributive share of partnership income from the following sources is attributable to Wisconsin as described below:</w:t>
      </w:r>
    </w:p>
    <w:p w14:paraId="1E06D96E"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07D01A9F"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5599E814"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All income that is realized from the sale of or purchase and subsequent sale or redemption of lottery prizes if the winning tickets were originally bought in Wisconsin are allocated to Wisconsin.</w:t>
      </w:r>
    </w:p>
    <w:p w14:paraId="0C692873"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Income derived from casinos, bingo halls, and pari-mutuel winnings in Wisconsin are allocated to Wisconsin.</w:t>
      </w:r>
    </w:p>
    <w:p w14:paraId="39418DCF"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Income derived from a covenant not to compete is taxable to the extent that the covenant was based on a Wisconsin based activity. </w:t>
      </w:r>
    </w:p>
    <w:p w14:paraId="22EA035C"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Partnership income derived from personal services, including income from professions, follow the location of the services:</w:t>
      </w:r>
    </w:p>
    <w:p w14:paraId="068FAD01" w14:textId="77777777" w:rsidR="000000D1" w:rsidRPr="000000D1" w:rsidRDefault="000000D1" w:rsidP="00E10036">
      <w:pPr>
        <w:widowControl w:val="0"/>
        <w:numPr>
          <w:ilvl w:val="1"/>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0ECA4E7" w14:textId="77777777" w:rsidR="000000D1" w:rsidRPr="000000D1" w:rsidRDefault="000000D1" w:rsidP="00E10036">
      <w:pPr>
        <w:widowControl w:val="0"/>
        <w:numPr>
          <w:ilvl w:val="1"/>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217F0BD6"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szCs w:val="20"/>
        </w:rPr>
        <w:t>The Wisconsin source amount of column (d) is determined similarly for general partners and limited partners. The following examples illustrate the rules described above:</w:t>
      </w:r>
    </w:p>
    <w:p w14:paraId="21F5C305"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1:</w:t>
      </w:r>
      <w:r w:rsidRPr="000000D1">
        <w:rPr>
          <w:rFonts w:eastAsia="Cambria" w:cs="Cambria"/>
          <w:szCs w:val="20"/>
        </w:rPr>
        <w:t xml:space="preserve"> Two nonresident individuals are partners of a partnership that does business only in Wisconsin. Both nonresidents are taxed on their entire share of the partnership income for Wisconsin income tax purposes.</w:t>
      </w:r>
    </w:p>
    <w:p w14:paraId="6C476C15"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2:</w:t>
      </w:r>
      <w:r w:rsidRPr="000000D1">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0B0A5698"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3:</w:t>
      </w:r>
      <w:r w:rsidRPr="000000D1">
        <w:rPr>
          <w:rFonts w:eastAsia="Cambria" w:cs="Cambria"/>
          <w:szCs w:val="20"/>
        </w:rPr>
        <w:t xml:space="preserve"> A nonresident is a limited partner, with a 1% interest in </w:t>
      </w:r>
      <w:r w:rsidRPr="000000D1">
        <w:rPr>
          <w:rFonts w:eastAsia="Cambria" w:cs="Cambria"/>
          <w:szCs w:val="20"/>
        </w:rPr>
        <w:lastRenderedPageBreak/>
        <w:t>partnership profits, of a partnership that derives income from real estate located in Wisconsin and in other states. The nonresident limited partner is taxed on 1% of the partnership income attributable to the real estate located in Wisconsin.</w:t>
      </w:r>
    </w:p>
    <w:p w14:paraId="26A8CD87" w14:textId="77777777" w:rsidR="000000D1" w:rsidRPr="000000D1" w:rsidRDefault="000000D1" w:rsidP="000000D1">
      <w:pPr>
        <w:widowControl w:val="0"/>
        <w:autoSpaceDE w:val="0"/>
        <w:autoSpaceDN w:val="0"/>
        <w:spacing w:before="213" w:after="240"/>
        <w:ind w:left="2880" w:right="144"/>
        <w:rPr>
          <w:rFonts w:eastAsia="Cambria" w:cs="Cambria"/>
          <w:szCs w:val="20"/>
        </w:rPr>
      </w:pPr>
      <w:r w:rsidRPr="000000D1">
        <w:rPr>
          <w:rFonts w:eastAsia="Cambria" w:cs="Cambria"/>
          <w:b/>
          <w:bCs/>
          <w:i/>
          <w:iCs/>
          <w:szCs w:val="20"/>
        </w:rPr>
        <w:t>Example 4:</w:t>
      </w:r>
      <w:r w:rsidRPr="000000D1">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34E17262" w14:textId="77777777" w:rsidR="000000D1" w:rsidRPr="000000D1" w:rsidRDefault="000000D1" w:rsidP="00E10036">
      <w:pPr>
        <w:widowControl w:val="0"/>
        <w:numPr>
          <w:ilvl w:val="0"/>
          <w:numId w:val="35"/>
        </w:numPr>
        <w:autoSpaceDE w:val="0"/>
        <w:autoSpaceDN w:val="0"/>
        <w:spacing w:before="120" w:after="0" w:line="240" w:lineRule="auto"/>
        <w:ind w:right="144"/>
        <w:jc w:val="left"/>
        <w:rPr>
          <w:rFonts w:eastAsia="Cambria" w:cs="Cambria"/>
          <w:szCs w:val="20"/>
        </w:rPr>
      </w:pPr>
      <w:r w:rsidRPr="000000D1">
        <w:rPr>
          <w:rFonts w:eastAsia="Cambria" w:cs="Cambria"/>
          <w:szCs w:val="20"/>
        </w:rPr>
        <w:t xml:space="preserve">A partnership engaged in a </w:t>
      </w:r>
      <w:r w:rsidRPr="000000D1">
        <w:rPr>
          <w:rFonts w:eastAsia="Cambria" w:cs="Cambria"/>
          <w:szCs w:val="20"/>
          <w:u w:val="single"/>
        </w:rPr>
        <w:t>nonunitary</w:t>
      </w:r>
      <w:r w:rsidRPr="000000D1">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Wisconsin business. Use Form C, </w:t>
      </w:r>
      <w:r w:rsidRPr="000000D1">
        <w:rPr>
          <w:rFonts w:eastAsia="Cambria" w:cs="Cambria"/>
          <w:i/>
          <w:iCs/>
          <w:szCs w:val="20"/>
        </w:rPr>
        <w:t>Wisconsin Allocation and Separate Accounting Data</w:t>
      </w:r>
      <w:r w:rsidRPr="000000D1">
        <w:rPr>
          <w:rFonts w:eastAsia="Cambria" w:cs="Cambria"/>
          <w:szCs w:val="20"/>
        </w:rPr>
        <w:t xml:space="preserve">, to compute the income allocable in and outside Wisconsin. Include the schedule when filing Form 3, </w:t>
      </w:r>
      <w:r w:rsidRPr="000000D1">
        <w:rPr>
          <w:rFonts w:eastAsia="Cambria" w:cs="Cambria"/>
          <w:i/>
          <w:iCs/>
          <w:szCs w:val="20"/>
        </w:rPr>
        <w:t>Wisconsin Partnership Return</w:t>
      </w:r>
      <w:r w:rsidRPr="000000D1">
        <w:rPr>
          <w:rFonts w:eastAsia="Cambria" w:cs="Cambria"/>
          <w:szCs w:val="20"/>
        </w:rPr>
        <w:t xml:space="preserve">. </w:t>
      </w:r>
    </w:p>
    <w:p w14:paraId="47EDF83C" w14:textId="77777777" w:rsidR="000000D1" w:rsidRPr="000000D1" w:rsidRDefault="000000D1" w:rsidP="00E10036">
      <w:pPr>
        <w:widowControl w:val="0"/>
        <w:numPr>
          <w:ilvl w:val="1"/>
          <w:numId w:val="35"/>
        </w:numPr>
        <w:autoSpaceDE w:val="0"/>
        <w:autoSpaceDN w:val="0"/>
        <w:spacing w:before="120" w:after="0" w:line="240" w:lineRule="auto"/>
        <w:ind w:right="144"/>
        <w:jc w:val="left"/>
        <w:rPr>
          <w:rFonts w:eastAsia="Cambria" w:cs="Cambria"/>
          <w:szCs w:val="20"/>
        </w:rPr>
      </w:pPr>
      <w:r w:rsidRPr="000000D1">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F58FF73"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17:</w:t>
      </w:r>
    </w:p>
    <w:p w14:paraId="644C9699" w14:textId="77777777" w:rsidR="000000D1" w:rsidRPr="000000D1" w:rsidRDefault="000000D1" w:rsidP="000000D1">
      <w:pPr>
        <w:widowControl w:val="0"/>
        <w:autoSpaceDE w:val="0"/>
        <w:autoSpaceDN w:val="0"/>
        <w:spacing w:before="240" w:after="240"/>
        <w:ind w:left="1224" w:right="144"/>
        <w:rPr>
          <w:rFonts w:eastAsia="Cambria" w:cs="Cambria"/>
          <w:b/>
          <w:bCs/>
          <w:szCs w:val="20"/>
        </w:rPr>
      </w:pPr>
      <w:r w:rsidRPr="000000D1">
        <w:rPr>
          <w:rFonts w:eastAsia="Cambria" w:cs="Cambria"/>
          <w:b/>
          <w:bCs/>
          <w:szCs w:val="20"/>
        </w:rPr>
        <w:t>Part IV – Partner's Share of Apportionment Factors:</w:t>
      </w:r>
    </w:p>
    <w:p w14:paraId="693A51C8" w14:textId="77777777" w:rsidR="000000D1" w:rsidRPr="000000D1" w:rsidRDefault="000000D1" w:rsidP="000000D1">
      <w:pPr>
        <w:widowControl w:val="0"/>
        <w:autoSpaceDE w:val="0"/>
        <w:autoSpaceDN w:val="0"/>
        <w:spacing w:before="240" w:after="240"/>
        <w:ind w:left="1224" w:right="144"/>
        <w:rPr>
          <w:rFonts w:eastAsia="Cambria" w:cs="Cambria"/>
          <w:szCs w:val="20"/>
        </w:rPr>
      </w:pPr>
      <w:r w:rsidRPr="000000D1">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7D605C90"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sz w:val="22"/>
        </w:rPr>
      </w:pPr>
      <w:hyperlink r:id="rId45" w:history="1">
        <w:r w:rsidRPr="000000D1">
          <w:rPr>
            <w:rFonts w:eastAsia="Cambria" w:cs="Cambria"/>
            <w:color w:val="0000FF"/>
            <w:sz w:val="22"/>
            <w:u w:val="single"/>
          </w:rPr>
          <w:t>Wisconsin Tax Bulletin No. 197</w:t>
        </w:r>
      </w:hyperlink>
      <w:r w:rsidRPr="000000D1">
        <w:rPr>
          <w:rFonts w:eastAsia="Cambria" w:cs="Cambria"/>
          <w:szCs w:val="20"/>
        </w:rPr>
        <w:t xml:space="preserve"> (April 2017), page 4</w:t>
      </w:r>
    </w:p>
    <w:p w14:paraId="74CC0AA1" w14:textId="77777777" w:rsidR="000000D1" w:rsidRPr="000000D1" w:rsidRDefault="000000D1" w:rsidP="000000D1">
      <w:pPr>
        <w:widowControl w:val="0"/>
        <w:autoSpaceDE w:val="0"/>
        <w:autoSpaceDN w:val="0"/>
        <w:spacing w:before="134" w:after="0" w:line="240" w:lineRule="auto"/>
        <w:ind w:left="1228" w:right="142"/>
        <w:rPr>
          <w:rFonts w:eastAsia="Cambria" w:cs="Cambria"/>
          <w:sz w:val="22"/>
        </w:rPr>
      </w:pPr>
      <w:r w:rsidRPr="000000D1">
        <w:rPr>
          <w:rFonts w:eastAsia="Cambria" w:cs="Cambria"/>
          <w:b/>
          <w:bCs/>
          <w:szCs w:val="20"/>
        </w:rPr>
        <w:t>Apportionment</w:t>
      </w:r>
      <w:r w:rsidRPr="000000D1">
        <w:rPr>
          <w:rFonts w:eastAsia="Cambria" w:cs="Cambria"/>
          <w:b/>
          <w:bCs/>
          <w:spacing w:val="-12"/>
          <w:szCs w:val="20"/>
        </w:rPr>
        <w:t xml:space="preserve"> </w:t>
      </w:r>
      <w:r w:rsidRPr="000000D1">
        <w:rPr>
          <w:rFonts w:eastAsia="Cambria" w:cs="Cambria"/>
          <w:b/>
          <w:bCs/>
          <w:szCs w:val="20"/>
        </w:rPr>
        <w:t>for</w:t>
      </w:r>
      <w:r w:rsidRPr="000000D1">
        <w:rPr>
          <w:rFonts w:eastAsia="Cambria" w:cs="Cambria"/>
          <w:b/>
          <w:bCs/>
          <w:spacing w:val="-11"/>
          <w:szCs w:val="20"/>
        </w:rPr>
        <w:t xml:space="preserve"> </w:t>
      </w:r>
      <w:r w:rsidRPr="000000D1">
        <w:rPr>
          <w:rFonts w:eastAsia="Cambria" w:cs="Cambria"/>
          <w:b/>
          <w:bCs/>
          <w:szCs w:val="20"/>
        </w:rPr>
        <w:t>Partnerships</w:t>
      </w:r>
      <w:r w:rsidRPr="000000D1">
        <w:rPr>
          <w:rFonts w:eastAsia="Cambria" w:cs="Cambria"/>
          <w:b/>
          <w:bCs/>
          <w:spacing w:val="-10"/>
          <w:szCs w:val="20"/>
        </w:rPr>
        <w:t xml:space="preserve"> </w:t>
      </w:r>
      <w:r w:rsidRPr="000000D1">
        <w:rPr>
          <w:rFonts w:eastAsia="Cambria" w:cs="Cambria"/>
          <w:b/>
          <w:bCs/>
          <w:szCs w:val="20"/>
        </w:rPr>
        <w:t>and</w:t>
      </w:r>
      <w:r w:rsidRPr="000000D1">
        <w:rPr>
          <w:rFonts w:eastAsia="Cambria" w:cs="Cambria"/>
          <w:b/>
          <w:bCs/>
          <w:spacing w:val="-11"/>
          <w:szCs w:val="20"/>
        </w:rPr>
        <w:t xml:space="preserve"> </w:t>
      </w:r>
      <w:r w:rsidRPr="000000D1">
        <w:rPr>
          <w:rFonts w:eastAsia="Cambria" w:cs="Cambria"/>
          <w:b/>
          <w:bCs/>
          <w:spacing w:val="-2"/>
          <w:szCs w:val="20"/>
        </w:rPr>
        <w:t>Partners</w:t>
      </w:r>
    </w:p>
    <w:p w14:paraId="52C0A85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w:t>
      </w:r>
      <w:r w:rsidRPr="000000D1">
        <w:rPr>
          <w:rFonts w:eastAsia="Cambria" w:cs="Cambria"/>
          <w:spacing w:val="-3"/>
          <w:szCs w:val="20"/>
        </w:rPr>
        <w:t xml:space="preserve"> </w:t>
      </w:r>
      <w:r w:rsidRPr="000000D1">
        <w:rPr>
          <w:rFonts w:eastAsia="Cambria" w:cs="Cambria"/>
          <w:szCs w:val="20"/>
        </w:rPr>
        <w:t>partnership</w:t>
      </w:r>
      <w:r w:rsidRPr="000000D1">
        <w:rPr>
          <w:rFonts w:eastAsia="Cambria" w:cs="Cambria"/>
          <w:spacing w:val="-1"/>
          <w:szCs w:val="20"/>
        </w:rPr>
        <w:t xml:space="preserve"> </w:t>
      </w:r>
      <w:r w:rsidRPr="000000D1">
        <w:rPr>
          <w:rFonts w:eastAsia="Cambria" w:cs="Cambria"/>
          <w:szCs w:val="20"/>
        </w:rPr>
        <w:t>engaged</w:t>
      </w:r>
      <w:r w:rsidRPr="000000D1">
        <w:rPr>
          <w:rFonts w:eastAsia="Cambria" w:cs="Cambria"/>
          <w:spacing w:val="-3"/>
          <w:szCs w:val="20"/>
        </w:rPr>
        <w:t xml:space="preserve"> </w:t>
      </w:r>
      <w:r w:rsidRPr="000000D1">
        <w:rPr>
          <w:rFonts w:eastAsia="Cambria" w:cs="Cambria"/>
          <w:szCs w:val="20"/>
        </w:rPr>
        <w:t>in</w:t>
      </w:r>
      <w:r w:rsidRPr="000000D1">
        <w:rPr>
          <w:rFonts w:eastAsia="Cambria" w:cs="Cambria"/>
          <w:spacing w:val="-2"/>
          <w:szCs w:val="20"/>
        </w:rPr>
        <w:t xml:space="preserve"> </w:t>
      </w:r>
      <w:r w:rsidRPr="000000D1">
        <w:rPr>
          <w:rFonts w:eastAsia="Cambria" w:cs="Cambria"/>
          <w:szCs w:val="20"/>
        </w:rPr>
        <w:t>a</w:t>
      </w:r>
      <w:r w:rsidRPr="000000D1">
        <w:rPr>
          <w:rFonts w:eastAsia="Cambria" w:cs="Cambria"/>
          <w:spacing w:val="-2"/>
          <w:szCs w:val="20"/>
        </w:rPr>
        <w:t xml:space="preserve"> </w:t>
      </w:r>
      <w:r w:rsidRPr="000000D1">
        <w:rPr>
          <w:rFonts w:eastAsia="Cambria" w:cs="Cambria"/>
          <w:szCs w:val="20"/>
        </w:rPr>
        <w:t>unitary</w:t>
      </w:r>
      <w:r w:rsidRPr="000000D1">
        <w:rPr>
          <w:rFonts w:eastAsia="Cambria" w:cs="Cambria"/>
          <w:spacing w:val="-1"/>
          <w:szCs w:val="20"/>
        </w:rPr>
        <w:t xml:space="preserve"> </w:t>
      </w:r>
      <w:r w:rsidRPr="000000D1">
        <w:rPr>
          <w:rFonts w:eastAsia="Cambria" w:cs="Cambria"/>
          <w:szCs w:val="20"/>
        </w:rPr>
        <w:t>business</w:t>
      </w:r>
      <w:r w:rsidRPr="000000D1">
        <w:rPr>
          <w:rFonts w:eastAsia="Cambria" w:cs="Cambria"/>
          <w:spacing w:val="-3"/>
          <w:szCs w:val="20"/>
        </w:rPr>
        <w:t xml:space="preserve"> </w:t>
      </w:r>
      <w:r w:rsidRPr="000000D1">
        <w:rPr>
          <w:rFonts w:eastAsia="Cambria" w:cs="Cambria"/>
          <w:szCs w:val="20"/>
        </w:rPr>
        <w:t>both</w:t>
      </w:r>
      <w:r w:rsidRPr="000000D1">
        <w:rPr>
          <w:rFonts w:eastAsia="Cambria" w:cs="Cambria"/>
          <w:spacing w:val="-3"/>
          <w:szCs w:val="20"/>
        </w:rPr>
        <w:t xml:space="preserve"> </w:t>
      </w:r>
      <w:r w:rsidRPr="000000D1">
        <w:rPr>
          <w:rFonts w:eastAsia="Cambria" w:cs="Cambria"/>
          <w:szCs w:val="20"/>
        </w:rPr>
        <w:t>in</w:t>
      </w:r>
      <w:r w:rsidRPr="000000D1">
        <w:rPr>
          <w:rFonts w:eastAsia="Cambria" w:cs="Cambria"/>
          <w:spacing w:val="-4"/>
          <w:szCs w:val="20"/>
        </w:rPr>
        <w:t xml:space="preserve"> </w:t>
      </w:r>
      <w:r w:rsidRPr="000000D1">
        <w:rPr>
          <w:rFonts w:eastAsia="Cambria" w:cs="Cambria"/>
          <w:szCs w:val="20"/>
        </w:rPr>
        <w:t>and</w:t>
      </w:r>
      <w:r w:rsidRPr="000000D1">
        <w:rPr>
          <w:rFonts w:eastAsia="Cambria" w:cs="Cambria"/>
          <w:spacing w:val="-1"/>
          <w:szCs w:val="20"/>
        </w:rPr>
        <w:t xml:space="preserve"> </w:t>
      </w:r>
      <w:r w:rsidRPr="000000D1">
        <w:rPr>
          <w:rFonts w:eastAsia="Cambria" w:cs="Cambria"/>
          <w:szCs w:val="20"/>
        </w:rPr>
        <w:t>outside</w:t>
      </w:r>
      <w:r w:rsidRPr="000000D1">
        <w:rPr>
          <w:rFonts w:eastAsia="Cambria" w:cs="Cambria"/>
          <w:spacing w:val="-3"/>
          <w:szCs w:val="20"/>
        </w:rPr>
        <w:t xml:space="preserve"> </w:t>
      </w:r>
      <w:r w:rsidRPr="000000D1">
        <w:rPr>
          <w:rFonts w:eastAsia="Cambria" w:cs="Cambria"/>
          <w:szCs w:val="20"/>
        </w:rPr>
        <w:t>Wisconsin</w:t>
      </w:r>
      <w:r w:rsidRPr="000000D1">
        <w:rPr>
          <w:rFonts w:eastAsia="Cambria" w:cs="Cambria"/>
          <w:spacing w:val="-4"/>
          <w:szCs w:val="20"/>
        </w:rPr>
        <w:t xml:space="preserve"> </w:t>
      </w:r>
      <w:r w:rsidRPr="000000D1">
        <w:rPr>
          <w:rFonts w:eastAsia="Cambria" w:cs="Cambria"/>
          <w:szCs w:val="20"/>
        </w:rPr>
        <w:t>is a</w:t>
      </w:r>
      <w:r w:rsidRPr="000000D1">
        <w:rPr>
          <w:rFonts w:eastAsia="Cambria" w:cs="Cambria"/>
          <w:spacing w:val="-2"/>
          <w:szCs w:val="20"/>
        </w:rPr>
        <w:t xml:space="preserve"> </w:t>
      </w:r>
      <w:r w:rsidRPr="000000D1">
        <w:rPr>
          <w:rFonts w:eastAsia="Cambria" w:cs="Cambria"/>
          <w:szCs w:val="20"/>
        </w:rPr>
        <w:t xml:space="preserve">“multi- state partnership”. A multi-state partnership will generally use Form A-1, </w:t>
      </w:r>
      <w:r w:rsidRPr="000000D1">
        <w:rPr>
          <w:rFonts w:eastAsia="Cambria" w:cs="Cambria"/>
          <w:i/>
          <w:iCs/>
          <w:szCs w:val="20"/>
        </w:rPr>
        <w:t>Wisconsin Apportionment Data for Single Factor Formula</w:t>
      </w:r>
      <w:r w:rsidRPr="000000D1">
        <w:rPr>
          <w:rFonts w:eastAsia="Cambria" w:cs="Cambria"/>
          <w:szCs w:val="20"/>
        </w:rPr>
        <w:t xml:space="preserve">s, or Form A-2, </w:t>
      </w:r>
      <w:r w:rsidRPr="000000D1">
        <w:rPr>
          <w:rFonts w:eastAsia="Cambria" w:cs="Cambria"/>
          <w:i/>
          <w:iCs/>
          <w:szCs w:val="20"/>
        </w:rPr>
        <w:t>Wisconsin Apportionment</w:t>
      </w:r>
      <w:r w:rsidRPr="000000D1">
        <w:rPr>
          <w:rFonts w:eastAsia="Cambria" w:cs="Cambria"/>
          <w:i/>
          <w:iCs/>
          <w:spacing w:val="-2"/>
          <w:szCs w:val="20"/>
        </w:rPr>
        <w:t xml:space="preserve"> </w:t>
      </w:r>
      <w:r w:rsidRPr="000000D1">
        <w:rPr>
          <w:rFonts w:eastAsia="Cambria" w:cs="Cambria"/>
          <w:i/>
          <w:iCs/>
          <w:szCs w:val="20"/>
        </w:rPr>
        <w:t>Data</w:t>
      </w:r>
      <w:r w:rsidRPr="000000D1">
        <w:rPr>
          <w:rFonts w:eastAsia="Cambria" w:cs="Cambria"/>
          <w:i/>
          <w:iCs/>
          <w:spacing w:val="-1"/>
          <w:szCs w:val="20"/>
        </w:rPr>
        <w:t xml:space="preserve"> </w:t>
      </w:r>
      <w:r w:rsidRPr="000000D1">
        <w:rPr>
          <w:rFonts w:eastAsia="Cambria" w:cs="Cambria"/>
          <w:i/>
          <w:iCs/>
          <w:szCs w:val="20"/>
        </w:rPr>
        <w:t>for</w:t>
      </w:r>
      <w:r w:rsidRPr="000000D1">
        <w:rPr>
          <w:rFonts w:eastAsia="Cambria" w:cs="Cambria"/>
          <w:i/>
          <w:iCs/>
          <w:spacing w:val="-3"/>
          <w:szCs w:val="20"/>
        </w:rPr>
        <w:t xml:space="preserve"> </w:t>
      </w:r>
      <w:r w:rsidRPr="000000D1">
        <w:rPr>
          <w:rFonts w:eastAsia="Cambria" w:cs="Cambria"/>
          <w:i/>
          <w:iCs/>
          <w:szCs w:val="20"/>
        </w:rPr>
        <w:t>Multiple</w:t>
      </w:r>
      <w:r w:rsidRPr="000000D1">
        <w:rPr>
          <w:rFonts w:eastAsia="Cambria" w:cs="Cambria"/>
          <w:i/>
          <w:iCs/>
          <w:spacing w:val="-1"/>
          <w:szCs w:val="20"/>
        </w:rPr>
        <w:t xml:space="preserve"> </w:t>
      </w:r>
      <w:r w:rsidRPr="000000D1">
        <w:rPr>
          <w:rFonts w:eastAsia="Cambria" w:cs="Cambria"/>
          <w:i/>
          <w:iCs/>
          <w:szCs w:val="20"/>
        </w:rPr>
        <w:t>Factor</w:t>
      </w:r>
      <w:r w:rsidRPr="000000D1">
        <w:rPr>
          <w:rFonts w:eastAsia="Cambria" w:cs="Cambria"/>
          <w:i/>
          <w:iCs/>
          <w:spacing w:val="-3"/>
          <w:szCs w:val="20"/>
        </w:rPr>
        <w:t xml:space="preserve"> </w:t>
      </w:r>
      <w:r w:rsidRPr="000000D1">
        <w:rPr>
          <w:rFonts w:eastAsia="Cambria" w:cs="Cambria"/>
          <w:i/>
          <w:iCs/>
          <w:szCs w:val="20"/>
        </w:rPr>
        <w:t>Formulas</w:t>
      </w:r>
      <w:r w:rsidRPr="000000D1">
        <w:rPr>
          <w:rFonts w:eastAsia="Cambria" w:cs="Cambria"/>
          <w:szCs w:val="20"/>
        </w:rPr>
        <w:t>,</w:t>
      </w:r>
      <w:r w:rsidRPr="000000D1">
        <w:rPr>
          <w:rFonts w:eastAsia="Cambria" w:cs="Cambria"/>
          <w:spacing w:val="-2"/>
          <w:szCs w:val="20"/>
        </w:rPr>
        <w:t xml:space="preserve"> </w:t>
      </w:r>
      <w:r w:rsidRPr="000000D1">
        <w:rPr>
          <w:rFonts w:eastAsia="Cambria" w:cs="Cambria"/>
          <w:szCs w:val="20"/>
        </w:rPr>
        <w:t>to</w:t>
      </w:r>
      <w:r w:rsidRPr="000000D1">
        <w:rPr>
          <w:rFonts w:eastAsia="Cambria" w:cs="Cambria"/>
          <w:spacing w:val="-2"/>
          <w:szCs w:val="20"/>
        </w:rPr>
        <w:t xml:space="preserve"> </w:t>
      </w:r>
      <w:r w:rsidRPr="000000D1">
        <w:rPr>
          <w:rFonts w:eastAsia="Cambria" w:cs="Cambria"/>
          <w:szCs w:val="20"/>
        </w:rPr>
        <w:t>determine</w:t>
      </w:r>
      <w:r w:rsidRPr="000000D1">
        <w:rPr>
          <w:rFonts w:eastAsia="Cambria" w:cs="Cambria"/>
          <w:spacing w:val="-1"/>
          <w:szCs w:val="20"/>
        </w:rPr>
        <w:t xml:space="preserve"> </w:t>
      </w:r>
      <w:r w:rsidRPr="000000D1">
        <w:rPr>
          <w:rFonts w:eastAsia="Cambria" w:cs="Cambria"/>
          <w:szCs w:val="20"/>
        </w:rPr>
        <w:t>the portion</w:t>
      </w:r>
      <w:r w:rsidRPr="000000D1">
        <w:rPr>
          <w:rFonts w:eastAsia="Cambria" w:cs="Cambria"/>
          <w:spacing w:val="-3"/>
          <w:szCs w:val="20"/>
        </w:rPr>
        <w:t xml:space="preserve"> </w:t>
      </w:r>
      <w:r w:rsidRPr="000000D1">
        <w:rPr>
          <w:rFonts w:eastAsia="Cambria" w:cs="Cambria"/>
          <w:szCs w:val="20"/>
        </w:rPr>
        <w:t>of</w:t>
      </w:r>
      <w:r w:rsidRPr="000000D1">
        <w:rPr>
          <w:rFonts w:eastAsia="Cambria" w:cs="Cambria"/>
          <w:spacing w:val="-2"/>
          <w:szCs w:val="20"/>
        </w:rPr>
        <w:t xml:space="preserve"> </w:t>
      </w:r>
      <w:r w:rsidRPr="000000D1">
        <w:rPr>
          <w:rFonts w:eastAsia="Cambria" w:cs="Cambria"/>
          <w:szCs w:val="20"/>
        </w:rPr>
        <w:t>income</w:t>
      </w:r>
      <w:r w:rsidRPr="000000D1">
        <w:rPr>
          <w:rFonts w:eastAsia="Cambria" w:cs="Cambria"/>
          <w:spacing w:val="-1"/>
          <w:szCs w:val="20"/>
        </w:rPr>
        <w:t xml:space="preserve"> </w:t>
      </w:r>
      <w:r w:rsidRPr="000000D1">
        <w:rPr>
          <w:rFonts w:eastAsia="Cambria" w:cs="Cambria"/>
          <w:szCs w:val="20"/>
        </w:rPr>
        <w:t>attributable to Wisconsin.</w:t>
      </w:r>
    </w:p>
    <w:p w14:paraId="4405FF92" w14:textId="77777777" w:rsidR="000000D1" w:rsidRPr="000000D1" w:rsidRDefault="000000D1" w:rsidP="000000D1">
      <w:pPr>
        <w:widowControl w:val="0"/>
        <w:autoSpaceDE w:val="0"/>
        <w:autoSpaceDN w:val="0"/>
        <w:spacing w:before="199" w:after="0"/>
        <w:ind w:left="1228" w:right="145"/>
        <w:rPr>
          <w:rFonts w:eastAsia="Cambria" w:cs="Cambria"/>
          <w:szCs w:val="20"/>
        </w:rPr>
      </w:pPr>
      <w:r w:rsidRPr="000000D1">
        <w:rPr>
          <w:rFonts w:eastAsia="Cambria" w:cs="Cambria"/>
          <w:szCs w:val="20"/>
        </w:rPr>
        <w:t xml:space="preserve">The information the partnership provides to a partner on Schedule 3K-1, Partner's Share of Income, Deductions, Credits, etc., to report their share of income depends on </w:t>
      </w:r>
      <w:r w:rsidRPr="000000D1">
        <w:rPr>
          <w:rFonts w:eastAsia="Cambria" w:cs="Cambria"/>
          <w:szCs w:val="20"/>
        </w:rPr>
        <w:lastRenderedPageBreak/>
        <w:t>the type of partner:</w:t>
      </w:r>
    </w:p>
    <w:p w14:paraId="352A5D34" w14:textId="77777777" w:rsidR="000000D1" w:rsidRPr="000000D1" w:rsidRDefault="000000D1" w:rsidP="00E10036">
      <w:pPr>
        <w:widowControl w:val="0"/>
        <w:numPr>
          <w:ilvl w:val="0"/>
          <w:numId w:val="36"/>
        </w:numPr>
        <w:tabs>
          <w:tab w:val="left" w:pos="1798"/>
        </w:tabs>
        <w:autoSpaceDE w:val="0"/>
        <w:autoSpaceDN w:val="0"/>
        <w:spacing w:before="200" w:after="0" w:line="240" w:lineRule="auto"/>
        <w:ind w:right="153"/>
        <w:jc w:val="left"/>
        <w:rPr>
          <w:rFonts w:eastAsia="Cambria" w:cs="Cambria"/>
          <w:szCs w:val="20"/>
        </w:rPr>
      </w:pPr>
      <w:r w:rsidRPr="000000D1">
        <w:rPr>
          <w:rFonts w:eastAsia="Cambria" w:cs="Cambria"/>
          <w:szCs w:val="20"/>
        </w:rPr>
        <w:t>Individual:</w:t>
      </w:r>
      <w:r w:rsidRPr="000000D1">
        <w:rPr>
          <w:rFonts w:eastAsia="Cambria" w:cs="Cambria"/>
          <w:spacing w:val="-2"/>
          <w:szCs w:val="20"/>
        </w:rPr>
        <w:t xml:space="preserve"> </w:t>
      </w:r>
      <w:r w:rsidRPr="000000D1">
        <w:rPr>
          <w:rFonts w:eastAsia="Cambria" w:cs="Cambria"/>
          <w:szCs w:val="20"/>
        </w:rPr>
        <w:t>A partner</w:t>
      </w:r>
      <w:r w:rsidRPr="000000D1">
        <w:rPr>
          <w:rFonts w:eastAsia="Cambria" w:cs="Cambria"/>
          <w:spacing w:val="-1"/>
          <w:szCs w:val="20"/>
        </w:rPr>
        <w:t xml:space="preserve"> </w:t>
      </w:r>
      <w:r w:rsidRPr="000000D1">
        <w:rPr>
          <w:rFonts w:eastAsia="Cambria" w:cs="Cambria"/>
          <w:szCs w:val="20"/>
        </w:rPr>
        <w:t>that is</w:t>
      </w:r>
      <w:r w:rsidRPr="000000D1">
        <w:rPr>
          <w:rFonts w:eastAsia="Cambria" w:cs="Cambria"/>
          <w:spacing w:val="-1"/>
          <w:szCs w:val="20"/>
        </w:rPr>
        <w:t xml:space="preserve"> </w:t>
      </w:r>
      <w:r w:rsidRPr="000000D1">
        <w:rPr>
          <w:rFonts w:eastAsia="Cambria" w:cs="Cambria"/>
          <w:szCs w:val="20"/>
        </w:rPr>
        <w:t>a nonresident individual reports</w:t>
      </w:r>
      <w:r w:rsidRPr="000000D1">
        <w:rPr>
          <w:rFonts w:eastAsia="Cambria" w:cs="Cambria"/>
          <w:spacing w:val="-2"/>
          <w:szCs w:val="20"/>
        </w:rPr>
        <w:t xml:space="preserve"> </w:t>
      </w:r>
      <w:r w:rsidRPr="000000D1">
        <w:rPr>
          <w:rFonts w:eastAsia="Cambria" w:cs="Cambria"/>
          <w:szCs w:val="20"/>
        </w:rPr>
        <w:t>his</w:t>
      </w:r>
      <w:r w:rsidRPr="000000D1">
        <w:rPr>
          <w:rFonts w:eastAsia="Cambria" w:cs="Cambria"/>
          <w:spacing w:val="-1"/>
          <w:szCs w:val="20"/>
        </w:rPr>
        <w:t xml:space="preserve"> </w:t>
      </w:r>
      <w:r w:rsidRPr="000000D1">
        <w:rPr>
          <w:rFonts w:eastAsia="Cambria" w:cs="Cambria"/>
          <w:szCs w:val="20"/>
        </w:rPr>
        <w:t>or</w:t>
      </w:r>
      <w:r w:rsidRPr="000000D1">
        <w:rPr>
          <w:rFonts w:eastAsia="Cambria" w:cs="Cambria"/>
          <w:spacing w:val="-1"/>
          <w:szCs w:val="20"/>
        </w:rPr>
        <w:t xml:space="preserve"> </w:t>
      </w:r>
      <w:r w:rsidRPr="000000D1">
        <w:rPr>
          <w:rFonts w:eastAsia="Cambria" w:cs="Cambria"/>
          <w:szCs w:val="20"/>
        </w:rPr>
        <w:t>her</w:t>
      </w:r>
      <w:r w:rsidRPr="000000D1">
        <w:rPr>
          <w:rFonts w:eastAsia="Cambria" w:cs="Cambria"/>
          <w:spacing w:val="-3"/>
          <w:szCs w:val="20"/>
        </w:rPr>
        <w:t xml:space="preserve"> </w:t>
      </w:r>
      <w:r w:rsidRPr="000000D1">
        <w:rPr>
          <w:rFonts w:eastAsia="Cambria" w:cs="Cambria"/>
          <w:szCs w:val="20"/>
        </w:rPr>
        <w:t>share of the partnership income after apportionment. The partnership reports this “Wis. source amount” in column (e) on Schedule 3K-1.</w:t>
      </w:r>
    </w:p>
    <w:p w14:paraId="35467393" w14:textId="77777777" w:rsidR="000000D1" w:rsidRPr="000000D1" w:rsidRDefault="000000D1" w:rsidP="00E10036">
      <w:pPr>
        <w:widowControl w:val="0"/>
        <w:numPr>
          <w:ilvl w:val="0"/>
          <w:numId w:val="36"/>
        </w:numPr>
        <w:tabs>
          <w:tab w:val="left" w:pos="1797"/>
        </w:tabs>
        <w:autoSpaceDE w:val="0"/>
        <w:autoSpaceDN w:val="0"/>
        <w:spacing w:before="200" w:after="0" w:line="240" w:lineRule="auto"/>
        <w:ind w:right="153"/>
        <w:jc w:val="left"/>
        <w:rPr>
          <w:rFonts w:eastAsia="Cambria" w:cs="Cambria"/>
          <w:spacing w:val="-6"/>
          <w:szCs w:val="20"/>
        </w:rPr>
      </w:pPr>
      <w:r w:rsidRPr="000000D1">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0000D1">
        <w:rPr>
          <w:rFonts w:eastAsia="Cambria" w:cs="Cambria"/>
          <w:spacing w:val="-6"/>
          <w:szCs w:val="20"/>
        </w:rPr>
        <w:t>2.</w:t>
      </w:r>
    </w:p>
    <w:p w14:paraId="6ACCA684" w14:textId="77777777" w:rsidR="000000D1" w:rsidRPr="000000D1" w:rsidRDefault="000000D1" w:rsidP="00E10036">
      <w:pPr>
        <w:widowControl w:val="0"/>
        <w:numPr>
          <w:ilvl w:val="0"/>
          <w:numId w:val="36"/>
        </w:numPr>
        <w:tabs>
          <w:tab w:val="left" w:pos="1797"/>
        </w:tabs>
        <w:autoSpaceDE w:val="0"/>
        <w:autoSpaceDN w:val="0"/>
        <w:spacing w:before="200" w:after="0" w:line="240" w:lineRule="auto"/>
        <w:ind w:right="153"/>
        <w:jc w:val="left"/>
        <w:rPr>
          <w:rFonts w:eastAsia="Cambria" w:cs="Cambria"/>
          <w:spacing w:val="-6"/>
          <w:szCs w:val="20"/>
        </w:rPr>
      </w:pPr>
      <w:r w:rsidRPr="000000D1">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81D072B" w14:textId="77777777" w:rsidR="000000D1" w:rsidRPr="000000D1" w:rsidRDefault="000000D1" w:rsidP="000000D1">
      <w:pPr>
        <w:widowControl w:val="0"/>
        <w:tabs>
          <w:tab w:val="left" w:pos="1797"/>
        </w:tabs>
        <w:autoSpaceDE w:val="0"/>
        <w:autoSpaceDN w:val="0"/>
        <w:spacing w:after="0"/>
        <w:ind w:right="153"/>
        <w:jc w:val="left"/>
        <w:rPr>
          <w:rFonts w:eastAsia="Cambria" w:cs="Cambria"/>
          <w:szCs w:val="20"/>
        </w:rPr>
      </w:pPr>
    </w:p>
    <w:p w14:paraId="1CA8E825" w14:textId="77777777" w:rsidR="000000D1" w:rsidRPr="000000D1" w:rsidRDefault="000000D1" w:rsidP="000000D1">
      <w:pPr>
        <w:widowControl w:val="0"/>
        <w:tabs>
          <w:tab w:val="left" w:pos="1797"/>
        </w:tabs>
        <w:autoSpaceDE w:val="0"/>
        <w:autoSpaceDN w:val="0"/>
        <w:spacing w:after="0"/>
        <w:ind w:left="1224" w:right="153"/>
        <w:jc w:val="left"/>
        <w:rPr>
          <w:rFonts w:eastAsia="Cambria" w:cs="Cambria"/>
          <w:sz w:val="22"/>
        </w:rPr>
      </w:pPr>
      <w:r w:rsidRPr="000000D1">
        <w:rPr>
          <w:rFonts w:eastAsia="Cambria" w:cs="Cambria"/>
          <w:szCs w:val="20"/>
        </w:rPr>
        <w:t>See full article for an example.</w:t>
      </w:r>
    </w:p>
    <w:p w14:paraId="16DEA005"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Cs w:val="20"/>
          <w:u w:val="single"/>
        </w:rPr>
      </w:pPr>
      <w:hyperlink r:id="rId46" w:history="1">
        <w:r w:rsidRPr="000000D1">
          <w:rPr>
            <w:rFonts w:eastAsia="Cambria" w:cs="Cambria"/>
            <w:color w:val="0000FF"/>
            <w:szCs w:val="20"/>
            <w:u w:val="single"/>
          </w:rPr>
          <w:t>Wisconsin Tax Bulletin No. 208</w:t>
        </w:r>
      </w:hyperlink>
      <w:r w:rsidRPr="000000D1">
        <w:rPr>
          <w:rFonts w:eastAsia="Cambria" w:cs="Cambria"/>
          <w:color w:val="0000FF"/>
          <w:szCs w:val="20"/>
          <w:u w:val="single"/>
        </w:rPr>
        <w:t xml:space="preserve"> (2023)</w:t>
      </w:r>
    </w:p>
    <w:p w14:paraId="75ADABB7" w14:textId="77777777" w:rsidR="000000D1" w:rsidRPr="000000D1" w:rsidRDefault="000000D1" w:rsidP="000000D1">
      <w:pPr>
        <w:widowControl w:val="0"/>
        <w:autoSpaceDE w:val="0"/>
        <w:autoSpaceDN w:val="0"/>
        <w:spacing w:before="213" w:after="0"/>
        <w:ind w:left="1224" w:right="144"/>
        <w:rPr>
          <w:rFonts w:eastAsia="Cambria" w:cs="Cambria"/>
          <w:szCs w:val="20"/>
        </w:rPr>
      </w:pPr>
      <w:r w:rsidRPr="000000D1">
        <w:rPr>
          <w:rFonts w:eastAsia="Cambria" w:cs="Cambria"/>
          <w:b/>
          <w:bCs/>
          <w:szCs w:val="20"/>
        </w:rPr>
        <w:t>Wisconsin Sourced Income of Multi-Tiered Partnership Electing to Pay Tax at Entity Level</w:t>
      </w:r>
    </w:p>
    <w:p w14:paraId="22A18BC3"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2A7B6A1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If the electing partnership is part of a multi-tiered entity structure (i.e., another part- nership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5BA2D62A"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szCs w:val="20"/>
        </w:rPr>
      </w:pPr>
      <w:hyperlink r:id="rId47" w:history="1">
        <w:r w:rsidRPr="000000D1">
          <w:rPr>
            <w:rFonts w:eastAsia="Cambria" w:cs="Cambria"/>
            <w:color w:val="0000FF"/>
            <w:szCs w:val="20"/>
            <w:u w:val="single"/>
          </w:rPr>
          <w:t>Wisconsin Tax Bulletin No. 209</w:t>
        </w:r>
      </w:hyperlink>
      <w:r w:rsidRPr="000000D1">
        <w:rPr>
          <w:rFonts w:eastAsia="Cambria" w:cs="Cambria"/>
          <w:szCs w:val="20"/>
        </w:rPr>
        <w:t xml:space="preserve"> (April 2020), page 11</w:t>
      </w:r>
    </w:p>
    <w:p w14:paraId="10FEFE39" w14:textId="77777777" w:rsidR="000000D1" w:rsidRPr="000000D1" w:rsidRDefault="000000D1" w:rsidP="000000D1">
      <w:pPr>
        <w:widowControl w:val="0"/>
        <w:autoSpaceDE w:val="0"/>
        <w:autoSpaceDN w:val="0"/>
        <w:spacing w:before="134" w:after="0" w:line="240" w:lineRule="auto"/>
        <w:ind w:left="1228"/>
        <w:jc w:val="left"/>
        <w:rPr>
          <w:rFonts w:eastAsia="Cambria" w:cs="Cambria"/>
          <w:b/>
          <w:bCs/>
          <w:color w:val="0000FF"/>
          <w:sz w:val="22"/>
          <w:u w:val="single"/>
        </w:rPr>
      </w:pPr>
      <w:r w:rsidRPr="000000D1">
        <w:rPr>
          <w:rFonts w:eastAsia="Cambria" w:cs="Cambria"/>
          <w:b/>
          <w:bCs/>
          <w:szCs w:val="20"/>
        </w:rPr>
        <w:t>Apportionment – Allocating Partnership Sales to Corporate Partners Who are Members of a Combined Group</w:t>
      </w:r>
    </w:p>
    <w:p w14:paraId="216B98F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 partnership engaged in a unitary business both in and outside Wisconsin is a "multistate partnership". To determine the portion of income attributable to Wisconsin, a multistate partnership will generally use Schedule A-01, </w:t>
      </w:r>
      <w:r w:rsidRPr="000000D1">
        <w:rPr>
          <w:rFonts w:eastAsia="Cambria" w:cs="Cambria"/>
          <w:i/>
          <w:iCs/>
          <w:szCs w:val="20"/>
        </w:rPr>
        <w:t>Wisconsin Single Sales Factor Apportionment Data for Nonspecialized Industries</w:t>
      </w:r>
      <w:r w:rsidRPr="000000D1">
        <w:rPr>
          <w:rFonts w:eastAsia="Cambria" w:cs="Cambria"/>
          <w:szCs w:val="20"/>
        </w:rPr>
        <w:t>, unless one of the industry specific Schedules A-02 through A-11 apply. For additional information on computing apportionment for partnerships and partners, see Wisconsin Tax Bulletin 197 (April 2017).</w:t>
      </w:r>
    </w:p>
    <w:p w14:paraId="37D70CEC"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 multistate partnership must provide each corporate partner a Schedule 3K-1, </w:t>
      </w:r>
      <w:r w:rsidRPr="000000D1">
        <w:rPr>
          <w:rFonts w:eastAsia="Cambria" w:cs="Cambria"/>
          <w:i/>
          <w:iCs/>
          <w:szCs w:val="20"/>
        </w:rPr>
        <w:t>Partner’s Share of Income, Deductions, Credits, etc.</w:t>
      </w:r>
      <w:r w:rsidRPr="000000D1">
        <w:rPr>
          <w:rFonts w:eastAsia="Cambria" w:cs="Cambria"/>
          <w:szCs w:val="20"/>
        </w:rPr>
        <w:t xml:space="preserve">, and complete Part IV, </w:t>
      </w:r>
      <w:r w:rsidRPr="000000D1">
        <w:rPr>
          <w:rFonts w:eastAsia="Cambria" w:cs="Cambria"/>
          <w:i/>
          <w:iCs/>
          <w:szCs w:val="20"/>
        </w:rPr>
        <w:t>Partner’s Share of Apportionment Factors</w:t>
      </w:r>
      <w:r w:rsidRPr="000000D1">
        <w:rPr>
          <w:rFonts w:eastAsia="Cambria" w:cs="Cambria"/>
          <w:szCs w:val="20"/>
        </w:rPr>
        <w:t>. Part IV of Schedule 3K-1 must include the corporate partner's distributive share of both Wisconsin gross sales and total company gross sales.</w:t>
      </w:r>
    </w:p>
    <w:p w14:paraId="50179C7D"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lastRenderedPageBreak/>
        <w:t xml:space="preserve">Corporations, including members of combined groups, add their distributive share of the partnership's gross sales (from Schedule 3K-1, Part IV) to their own gross sales and report the amounts on their own apportionment schedule (e.g., Schedule A-01). </w:t>
      </w:r>
    </w:p>
    <w:p w14:paraId="34DB50A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5CB32B47"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 w:val="22"/>
          <w:u w:val="single"/>
        </w:rPr>
      </w:pPr>
      <w:r w:rsidRPr="000000D1">
        <w:rPr>
          <w:rFonts w:eastAsia="Cambria" w:cs="Cambria"/>
          <w:color w:val="0000FF"/>
          <w:sz w:val="22"/>
          <w:u w:val="single"/>
        </w:rPr>
        <w:t xml:space="preserve"> </w:t>
      </w:r>
      <w:hyperlink r:id="rId48" w:history="1">
        <w:r w:rsidRPr="000000D1">
          <w:rPr>
            <w:rFonts w:eastAsia="Cambria" w:cs="Cambria"/>
            <w:color w:val="0000FF"/>
            <w:szCs w:val="20"/>
            <w:u w:val="single"/>
          </w:rPr>
          <w:t>Wisconsin Schedule A-01 Instructions</w:t>
        </w:r>
      </w:hyperlink>
      <w:r w:rsidRPr="000000D1">
        <w:rPr>
          <w:rFonts w:eastAsia="Cambria" w:cs="Cambria"/>
          <w:color w:val="0000FF"/>
          <w:szCs w:val="20"/>
          <w:u w:val="single"/>
        </w:rPr>
        <w:t xml:space="preserve"> (2023)</w:t>
      </w:r>
    </w:p>
    <w:p w14:paraId="60903D99"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1:</w:t>
      </w:r>
    </w:p>
    <w:p w14:paraId="18980B9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1C02A1F7"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2:</w:t>
      </w:r>
    </w:p>
    <w:p w14:paraId="2C0C33FC"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Partnerships, corporations, and tax-option (S) corporations must generally include their share of the numerator and denominator of a partnership’s apportionment factors in the numerator and denominator of their apportionment factors. Include these amounts using the Wisconsin apportionment Schedules A-01 through A-11, as appropriate.</w:t>
      </w:r>
    </w:p>
    <w:p w14:paraId="6B330750"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5:</w:t>
      </w:r>
    </w:p>
    <w:p w14:paraId="1FAC6DD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b/>
          <w:bCs/>
          <w:szCs w:val="20"/>
        </w:rPr>
        <w:t>Sales to Pass-Through Entities Owned by Combined Group Members</w:t>
      </w:r>
      <w:r w:rsidRPr="000000D1">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34FDB82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i/>
          <w:iCs/>
          <w:szCs w:val="20"/>
        </w:rPr>
        <w:t>Excerpt, page 6:</w:t>
      </w:r>
    </w:p>
    <w:p w14:paraId="048F7A9B"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b/>
          <w:bCs/>
          <w:szCs w:val="20"/>
        </w:rPr>
        <w:t>Sales by Pass-Through Entities Owned by Combined Group Members.</w:t>
      </w:r>
      <w:r w:rsidRPr="000000D1">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0F5F4123"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Cs w:val="20"/>
          <w:u w:val="single"/>
        </w:rPr>
      </w:pPr>
      <w:hyperlink r:id="rId49" w:history="1">
        <w:r w:rsidRPr="000000D1">
          <w:rPr>
            <w:rFonts w:eastAsia="Cambria" w:cs="Cambria"/>
            <w:color w:val="0000FF"/>
            <w:szCs w:val="20"/>
            <w:u w:val="single"/>
          </w:rPr>
          <w:t>Pass-Through Entity-Level Tax: Partnership Determining Income and Computing Tax</w:t>
        </w:r>
      </w:hyperlink>
      <w:r w:rsidRPr="000000D1">
        <w:rPr>
          <w:rFonts w:eastAsia="Cambria" w:cs="Cambria"/>
          <w:color w:val="0000FF"/>
          <w:szCs w:val="20"/>
          <w:u w:val="single"/>
        </w:rPr>
        <w:t xml:space="preserve"> common questions</w:t>
      </w:r>
    </w:p>
    <w:p w14:paraId="5452915D" w14:textId="77777777" w:rsidR="000000D1" w:rsidRPr="000000D1" w:rsidRDefault="000000D1" w:rsidP="000000D1">
      <w:pPr>
        <w:widowControl w:val="0"/>
        <w:autoSpaceDE w:val="0"/>
        <w:autoSpaceDN w:val="0"/>
        <w:spacing w:before="240" w:after="240" w:line="240" w:lineRule="auto"/>
        <w:ind w:left="1224" w:right="144"/>
        <w:rPr>
          <w:rFonts w:eastAsia="Cambria" w:cs="Cambria"/>
          <w:color w:val="0000FF"/>
          <w:sz w:val="22"/>
          <w:u w:val="single"/>
        </w:rPr>
      </w:pPr>
      <w:r w:rsidRPr="000000D1">
        <w:rPr>
          <w:rFonts w:eastAsia="Cambria" w:cs="Cambria"/>
          <w:color w:val="0000FF"/>
          <w:szCs w:val="20"/>
          <w:u w:val="single"/>
        </w:rPr>
        <w:t xml:space="preserve">See common question number one, </w:t>
      </w:r>
      <w:r w:rsidRPr="000000D1">
        <w:rPr>
          <w:rFonts w:eastAsia="Cambria" w:cs="Cambria"/>
          <w:i/>
          <w:iCs/>
          <w:color w:val="0000FF"/>
          <w:szCs w:val="20"/>
          <w:u w:val="single"/>
        </w:rPr>
        <w:t>How does an electing partnership determine the situs of income?</w:t>
      </w:r>
    </w:p>
    <w:p w14:paraId="7E9F78B8"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b/>
          <w:sz w:val="22"/>
        </w:rPr>
      </w:pPr>
      <w:hyperlink r:id="rId50" w:history="1">
        <w:r w:rsidRPr="000000D1">
          <w:rPr>
            <w:rFonts w:eastAsia="Cambria" w:cs="Cambria"/>
            <w:color w:val="0000FF"/>
            <w:szCs w:val="20"/>
            <w:u w:val="single"/>
          </w:rPr>
          <w:t>Pass-Through Entity Withholding</w:t>
        </w:r>
      </w:hyperlink>
      <w:r w:rsidRPr="000000D1">
        <w:rPr>
          <w:rFonts w:eastAsia="Cambria" w:cs="Cambria"/>
          <w:color w:val="0000FF"/>
          <w:szCs w:val="20"/>
          <w:u w:val="single"/>
        </w:rPr>
        <w:t xml:space="preserve"> common questions</w:t>
      </w:r>
    </w:p>
    <w:p w14:paraId="46E7262D"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Common question number 16, </w:t>
      </w:r>
      <w:r w:rsidRPr="000000D1">
        <w:rPr>
          <w:rFonts w:eastAsia="Cambria" w:cs="Cambria"/>
          <w:i/>
          <w:iCs/>
          <w:szCs w:val="20"/>
        </w:rPr>
        <w:t>What happens when a pass-through entity is in a "tiered" structure, where it owns another pass-through entity?</w:t>
      </w:r>
    </w:p>
    <w:p w14:paraId="2CB06597"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w:t>
      </w:r>
      <w:r w:rsidRPr="000000D1">
        <w:rPr>
          <w:rFonts w:eastAsia="Cambria" w:cs="Cambria"/>
          <w:szCs w:val="20"/>
        </w:rPr>
        <w:lastRenderedPageBreak/>
        <w:t>its own nonresident members.</w:t>
      </w:r>
    </w:p>
    <w:p w14:paraId="06361226" w14:textId="77777777" w:rsidR="000000D1" w:rsidRPr="000000D1" w:rsidRDefault="000000D1" w:rsidP="000000D1">
      <w:pPr>
        <w:widowControl w:val="0"/>
        <w:autoSpaceDE w:val="0"/>
        <w:autoSpaceDN w:val="0"/>
        <w:spacing w:before="213" w:after="240"/>
        <w:ind w:left="1224" w:right="144"/>
        <w:rPr>
          <w:rFonts w:eastAsia="Cambria" w:cs="Cambria"/>
          <w:szCs w:val="20"/>
        </w:rPr>
      </w:pPr>
      <w:r w:rsidRPr="000000D1">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6362E96F" w14:textId="77777777" w:rsidR="000000D1" w:rsidRPr="000000D1" w:rsidRDefault="000000D1" w:rsidP="000000D1">
      <w:pPr>
        <w:widowControl w:val="0"/>
        <w:autoSpaceDE w:val="0"/>
        <w:autoSpaceDN w:val="0"/>
        <w:spacing w:before="134" w:after="0" w:line="240" w:lineRule="auto"/>
        <w:ind w:left="868"/>
        <w:jc w:val="left"/>
        <w:rPr>
          <w:rFonts w:eastAsia="Cambria" w:cs="Cambria"/>
          <w:sz w:val="24"/>
          <w:szCs w:val="24"/>
          <w:u w:val="single"/>
        </w:rPr>
      </w:pPr>
      <w:r w:rsidRPr="000000D1">
        <w:rPr>
          <w:rFonts w:eastAsia="Cambria" w:cs="Cambria"/>
          <w:sz w:val="24"/>
          <w:szCs w:val="24"/>
          <w:u w:val="single"/>
        </w:rPr>
        <w:t>Statutory References:</w:t>
      </w:r>
    </w:p>
    <w:p w14:paraId="64A238EA" w14:textId="77777777" w:rsidR="000000D1" w:rsidRPr="000000D1" w:rsidRDefault="000000D1" w:rsidP="000000D1">
      <w:pPr>
        <w:widowControl w:val="0"/>
        <w:autoSpaceDE w:val="0"/>
        <w:autoSpaceDN w:val="0"/>
        <w:spacing w:after="0" w:line="240" w:lineRule="auto"/>
        <w:ind w:left="864"/>
        <w:jc w:val="left"/>
        <w:rPr>
          <w:rFonts w:eastAsia="Cambria" w:cs="Cambria"/>
          <w:szCs w:val="20"/>
          <w:u w:val="single"/>
        </w:rPr>
      </w:pPr>
    </w:p>
    <w:p w14:paraId="3E6E50EF"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1"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71.04</w:t>
        </w:r>
      </w:hyperlink>
      <w:r w:rsidRPr="000000D1">
        <w:rPr>
          <w:rFonts w:eastAsia="Cambria" w:cs="Cambria"/>
          <w:spacing w:val="-5"/>
          <w:szCs w:val="20"/>
        </w:rPr>
        <w:t xml:space="preserve"> </w:t>
      </w:r>
      <w:r w:rsidRPr="000000D1">
        <w:rPr>
          <w:rFonts w:eastAsia="Cambria" w:cs="Cambria"/>
          <w:i/>
          <w:spacing w:val="-2"/>
          <w:szCs w:val="20"/>
        </w:rPr>
        <w:t>Situs of income; allocation and apportionment.</w:t>
      </w:r>
      <w:r w:rsidRPr="000000D1">
        <w:rPr>
          <w:rFonts w:eastAsia="Cambria" w:cs="Cambria"/>
          <w:iCs/>
          <w:spacing w:val="-2"/>
          <w:szCs w:val="20"/>
        </w:rPr>
        <w:t xml:space="preserve"> (individuals, estates, and trusts)</w:t>
      </w:r>
    </w:p>
    <w:p w14:paraId="2923B831"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2"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71.14</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(estates and trusts)</w:t>
      </w:r>
    </w:p>
    <w:p w14:paraId="5A5E01B2"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3" w:history="1">
        <w:r w:rsidRPr="000000D1">
          <w:rPr>
            <w:rFonts w:eastAsia="Cambria" w:cs="Cambria"/>
            <w:color w:val="0000FF"/>
            <w:szCs w:val="20"/>
            <w:u w:val="single"/>
          </w:rPr>
          <w:t>Wis. Stat. § 71.21(6)(d)1.</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(partnerships electing to pay tax at the entity level)</w:t>
      </w:r>
    </w:p>
    <w:p w14:paraId="6373F7F5"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4"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71.25</w:t>
        </w:r>
      </w:hyperlink>
      <w:r w:rsidRPr="000000D1">
        <w:rPr>
          <w:rFonts w:eastAsia="Cambria" w:cs="Cambria"/>
          <w:spacing w:val="-5"/>
          <w:szCs w:val="20"/>
        </w:rPr>
        <w:t xml:space="preserve"> </w:t>
      </w:r>
      <w:r w:rsidRPr="000000D1">
        <w:rPr>
          <w:rFonts w:eastAsia="Cambria" w:cs="Cambria"/>
          <w:i/>
          <w:iCs/>
          <w:spacing w:val="-5"/>
          <w:szCs w:val="20"/>
        </w:rPr>
        <w:t>Situs of income; allocation and apportionment.</w:t>
      </w:r>
      <w:r w:rsidRPr="000000D1">
        <w:rPr>
          <w:rFonts w:eastAsia="Cambria" w:cs="Cambria"/>
          <w:i/>
          <w:spacing w:val="-2"/>
          <w:szCs w:val="20"/>
        </w:rPr>
        <w:t xml:space="preserve"> </w:t>
      </w:r>
      <w:r w:rsidRPr="000000D1">
        <w:rPr>
          <w:rFonts w:eastAsia="Cambria" w:cs="Cambria"/>
          <w:szCs w:val="20"/>
        </w:rPr>
        <w:t>(corporations)</w:t>
      </w:r>
    </w:p>
    <w:p w14:paraId="72FC5A3A"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
        </w:rPr>
      </w:pPr>
      <w:hyperlink r:id="rId55" w:history="1">
        <w:r w:rsidRPr="000000D1">
          <w:rPr>
            <w:rFonts w:eastAsia="Cambria" w:cs="Cambria"/>
            <w:color w:val="0000FF"/>
            <w:u w:val="single"/>
          </w:rPr>
          <w:t>Wis.</w:t>
        </w:r>
        <w:r w:rsidRPr="000000D1">
          <w:rPr>
            <w:rFonts w:eastAsia="Cambria" w:cs="Cambria"/>
            <w:color w:val="0000FF"/>
            <w:spacing w:val="-6"/>
            <w:u w:val="single"/>
          </w:rPr>
          <w:t xml:space="preserve"> </w:t>
        </w:r>
        <w:r w:rsidRPr="000000D1">
          <w:rPr>
            <w:rFonts w:eastAsia="Cambria" w:cs="Cambria"/>
            <w:color w:val="0000FF"/>
            <w:u w:val="single"/>
          </w:rPr>
          <w:t>Stat.</w:t>
        </w:r>
        <w:r w:rsidRPr="000000D1">
          <w:rPr>
            <w:rFonts w:eastAsia="Cambria" w:cs="Cambria"/>
            <w:color w:val="0000FF"/>
            <w:spacing w:val="-7"/>
            <w:u w:val="single"/>
          </w:rPr>
          <w:t xml:space="preserve"> </w:t>
        </w:r>
        <w:r w:rsidRPr="000000D1">
          <w:rPr>
            <w:rFonts w:eastAsia="Cambria" w:cs="Cambria"/>
            <w:color w:val="0000FF"/>
            <w:u w:val="single"/>
          </w:rPr>
          <w:t>§</w:t>
        </w:r>
        <w:r w:rsidRPr="000000D1">
          <w:rPr>
            <w:rFonts w:eastAsia="Cambria" w:cs="Cambria"/>
            <w:color w:val="0000FF"/>
            <w:spacing w:val="-4"/>
            <w:u w:val="single"/>
          </w:rPr>
          <w:t xml:space="preserve"> </w:t>
        </w:r>
        <w:r w:rsidRPr="000000D1">
          <w:rPr>
            <w:rFonts w:eastAsia="Cambria" w:cs="Cambria"/>
            <w:color w:val="0000FF"/>
            <w:u w:val="single"/>
          </w:rPr>
          <w:t>71.255(1)(n)</w:t>
        </w:r>
      </w:hyperlink>
      <w:r w:rsidRPr="000000D1">
        <w:rPr>
          <w:rFonts w:eastAsia="Cambria" w:cs="Cambria"/>
        </w:rPr>
        <w:t xml:space="preserve"> </w:t>
      </w:r>
      <w:r w:rsidRPr="000000D1">
        <w:rPr>
          <w:rFonts w:eastAsia="Cambria" w:cs="Cambria"/>
          <w:i/>
          <w:iCs/>
        </w:rPr>
        <w:t>Combined reporting.</w:t>
      </w:r>
      <w:r w:rsidRPr="000000D1">
        <w:rPr>
          <w:rFonts w:eastAsia="Cambria" w:cs="Cambria"/>
        </w:rPr>
        <w:t xml:space="preserve"> </w:t>
      </w:r>
      <w:r w:rsidRPr="000000D1">
        <w:rPr>
          <w:rFonts w:eastAsia="Cambria" w:cs="Cambria"/>
          <w:i/>
          <w:iCs/>
        </w:rPr>
        <w:t>Unitary business.</w:t>
      </w:r>
      <w:r w:rsidRPr="000000D1">
        <w:rPr>
          <w:rFonts w:eastAsia="Cambria" w:cs="Cambria"/>
        </w:rPr>
        <w:t xml:space="preserve"> (</w:t>
      </w:r>
      <w:r w:rsidRPr="000000D1">
        <w:rPr>
          <w:rFonts w:eastAsia="Cambria" w:cs="Cambria"/>
          <w:spacing w:val="-5"/>
        </w:rPr>
        <w:t>combined reporting of pass-through entities owned directly or indirectly by a corporation)</w:t>
      </w:r>
    </w:p>
    <w:p w14:paraId="561E564F"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
        </w:rPr>
      </w:pPr>
      <w:hyperlink r:id="rId56" w:history="1">
        <w:r w:rsidRPr="000000D1">
          <w:rPr>
            <w:rFonts w:eastAsia="Cambria" w:cs="Cambria"/>
            <w:color w:val="0000FF"/>
            <w:u w:val="single"/>
          </w:rPr>
          <w:t>Wis.</w:t>
        </w:r>
        <w:r w:rsidRPr="000000D1">
          <w:rPr>
            <w:rFonts w:eastAsia="Cambria" w:cs="Cambria"/>
            <w:color w:val="0000FF"/>
            <w:spacing w:val="-6"/>
            <w:u w:val="single"/>
          </w:rPr>
          <w:t xml:space="preserve"> </w:t>
        </w:r>
        <w:r w:rsidRPr="000000D1">
          <w:rPr>
            <w:rFonts w:eastAsia="Cambria" w:cs="Cambria"/>
            <w:color w:val="0000FF"/>
            <w:u w:val="single"/>
          </w:rPr>
          <w:t>Stat.</w:t>
        </w:r>
        <w:r w:rsidRPr="000000D1">
          <w:rPr>
            <w:rFonts w:eastAsia="Cambria" w:cs="Cambria"/>
            <w:color w:val="0000FF"/>
            <w:spacing w:val="-7"/>
            <w:u w:val="single"/>
          </w:rPr>
          <w:t xml:space="preserve"> </w:t>
        </w:r>
        <w:r w:rsidRPr="000000D1">
          <w:rPr>
            <w:rFonts w:eastAsia="Cambria" w:cs="Cambria"/>
            <w:color w:val="0000FF"/>
            <w:u w:val="single"/>
          </w:rPr>
          <w:t>§</w:t>
        </w:r>
        <w:r w:rsidRPr="000000D1">
          <w:rPr>
            <w:rFonts w:eastAsia="Cambria" w:cs="Cambria"/>
            <w:color w:val="0000FF"/>
            <w:spacing w:val="-4"/>
            <w:u w:val="single"/>
          </w:rPr>
          <w:t xml:space="preserve"> </w:t>
        </w:r>
        <w:r w:rsidRPr="000000D1">
          <w:rPr>
            <w:rFonts w:eastAsia="Cambria" w:cs="Cambria"/>
            <w:color w:val="0000FF"/>
            <w:u w:val="single"/>
          </w:rPr>
          <w:t>71.255(5)(a)6.</w:t>
        </w:r>
      </w:hyperlink>
      <w:r w:rsidRPr="000000D1">
        <w:rPr>
          <w:rFonts w:eastAsia="Cambria" w:cs="Cambria"/>
          <w:spacing w:val="-5"/>
        </w:rPr>
        <w:t xml:space="preserve"> </w:t>
      </w:r>
      <w:r w:rsidRPr="000000D1">
        <w:rPr>
          <w:rFonts w:eastAsia="Cambria" w:cs="Cambria"/>
          <w:i/>
          <w:iCs/>
          <w:spacing w:val="-5"/>
        </w:rPr>
        <w:t xml:space="preserve">Member's share of business income of the combined group. </w:t>
      </w:r>
      <w:r w:rsidRPr="000000D1">
        <w:rPr>
          <w:rFonts w:eastAsia="Cambria" w:cs="Cambria"/>
          <w:spacing w:val="-5"/>
        </w:rPr>
        <w:t>(combined reporting of pass-through entities owned directly or indirectly by a corporation)</w:t>
      </w:r>
    </w:p>
    <w:p w14:paraId="64E1FC9F" w14:textId="77777777" w:rsidR="000000D1" w:rsidRPr="000000D1" w:rsidRDefault="000000D1" w:rsidP="00E10036">
      <w:pPr>
        <w:widowControl w:val="0"/>
        <w:numPr>
          <w:ilvl w:val="0"/>
          <w:numId w:val="34"/>
        </w:numPr>
        <w:autoSpaceDE w:val="0"/>
        <w:autoSpaceDN w:val="0"/>
        <w:spacing w:before="134" w:after="0" w:line="240" w:lineRule="auto"/>
        <w:ind w:right="142"/>
        <w:jc w:val="left"/>
        <w:rPr>
          <w:rFonts w:eastAsia="Cambria" w:cs="Cambria"/>
          <w:iCs/>
          <w:szCs w:val="20"/>
        </w:rPr>
      </w:pPr>
      <w:hyperlink r:id="rId57"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71.362</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(tax-option (S) corporations)</w:t>
      </w:r>
    </w:p>
    <w:p w14:paraId="4CA55D7E" w14:textId="77777777" w:rsidR="000000D1" w:rsidRPr="000000D1" w:rsidRDefault="000000D1" w:rsidP="00E10036">
      <w:pPr>
        <w:widowControl w:val="0"/>
        <w:numPr>
          <w:ilvl w:val="0"/>
          <w:numId w:val="34"/>
        </w:numPr>
        <w:autoSpaceDE w:val="0"/>
        <w:autoSpaceDN w:val="0"/>
        <w:spacing w:before="134" w:after="240" w:line="240" w:lineRule="auto"/>
        <w:ind w:left="1224" w:right="144"/>
        <w:jc w:val="left"/>
        <w:rPr>
          <w:rFonts w:eastAsia="Cambria" w:cs="Cambria"/>
          <w:i/>
          <w:iCs/>
          <w:szCs w:val="20"/>
        </w:rPr>
      </w:pPr>
      <w:hyperlink r:id="rId58"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71.775</w:t>
        </w:r>
      </w:hyperlink>
      <w:r w:rsidRPr="000000D1">
        <w:rPr>
          <w:rFonts w:eastAsia="Cambria" w:cs="Cambria"/>
          <w:szCs w:val="20"/>
        </w:rPr>
        <w:t xml:space="preserve"> </w:t>
      </w:r>
      <w:r w:rsidRPr="000000D1">
        <w:rPr>
          <w:rFonts w:eastAsia="Cambria" w:cs="Cambria"/>
          <w:i/>
          <w:iCs/>
          <w:szCs w:val="20"/>
        </w:rPr>
        <w:t>Withholding from nonresident members of pass-through entities.</w:t>
      </w:r>
    </w:p>
    <w:p w14:paraId="7F007CAB" w14:textId="77777777" w:rsidR="000000D1" w:rsidRPr="000000D1" w:rsidRDefault="000000D1" w:rsidP="000000D1">
      <w:pPr>
        <w:widowControl w:val="0"/>
        <w:autoSpaceDE w:val="0"/>
        <w:autoSpaceDN w:val="0"/>
        <w:spacing w:before="134" w:after="0" w:line="240" w:lineRule="auto"/>
        <w:ind w:left="864"/>
        <w:jc w:val="left"/>
        <w:rPr>
          <w:rFonts w:eastAsia="Cambria" w:cs="Cambria"/>
          <w:sz w:val="24"/>
          <w:szCs w:val="24"/>
          <w:u w:val="single"/>
        </w:rPr>
      </w:pPr>
      <w:r w:rsidRPr="000000D1">
        <w:rPr>
          <w:rFonts w:eastAsia="Cambria" w:cs="Cambria"/>
          <w:sz w:val="24"/>
          <w:szCs w:val="24"/>
          <w:u w:val="single"/>
        </w:rPr>
        <w:t>Administrative Code References:</w:t>
      </w:r>
    </w:p>
    <w:p w14:paraId="50BB9A6A" w14:textId="77777777" w:rsidR="000000D1" w:rsidRPr="000000D1" w:rsidRDefault="000000D1" w:rsidP="000000D1">
      <w:pPr>
        <w:widowControl w:val="0"/>
        <w:autoSpaceDE w:val="0"/>
        <w:autoSpaceDN w:val="0"/>
        <w:spacing w:after="0" w:line="240" w:lineRule="auto"/>
        <w:ind w:left="864"/>
        <w:jc w:val="left"/>
        <w:rPr>
          <w:rFonts w:eastAsia="Cambria" w:cs="Cambria"/>
          <w:szCs w:val="20"/>
          <w:u w:val="single"/>
        </w:rPr>
      </w:pPr>
    </w:p>
    <w:p w14:paraId="481FBCBC"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59"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2.39</w:t>
        </w:r>
      </w:hyperlink>
      <w:r w:rsidRPr="000000D1">
        <w:rPr>
          <w:rFonts w:eastAsia="Cambria" w:cs="Cambria"/>
          <w:spacing w:val="-2"/>
        </w:rPr>
        <w:t xml:space="preserve"> </w:t>
      </w:r>
      <w:r w:rsidRPr="000000D1">
        <w:rPr>
          <w:rFonts w:eastAsia="Cambria" w:cs="Cambria"/>
          <w:i/>
          <w:iCs/>
          <w:spacing w:val="-2"/>
        </w:rPr>
        <w:t>Apportionment method.</w:t>
      </w:r>
    </w:p>
    <w:p w14:paraId="0498452D"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60"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2.41</w:t>
        </w:r>
      </w:hyperlink>
      <w:r w:rsidRPr="000000D1">
        <w:rPr>
          <w:rFonts w:eastAsia="Cambria" w:cs="Cambria"/>
          <w:spacing w:val="-2"/>
        </w:rPr>
        <w:t xml:space="preserve"> </w:t>
      </w:r>
      <w:r w:rsidRPr="000000D1">
        <w:rPr>
          <w:rFonts w:eastAsia="Cambria" w:cs="Cambria"/>
          <w:i/>
          <w:iCs/>
          <w:spacing w:val="-2"/>
        </w:rPr>
        <w:t>Separate accounting method.</w:t>
      </w:r>
    </w:p>
    <w:p w14:paraId="60A290C2"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61"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2.61(7)(e)</w:t>
        </w:r>
      </w:hyperlink>
      <w:r w:rsidRPr="000000D1">
        <w:rPr>
          <w:rFonts w:eastAsia="Cambria" w:cs="Cambria"/>
          <w:spacing w:val="-2"/>
        </w:rPr>
        <w:t xml:space="preserve"> </w:t>
      </w:r>
      <w:r w:rsidRPr="000000D1">
        <w:rPr>
          <w:rFonts w:eastAsia="Cambria" w:cs="Cambria"/>
          <w:i/>
          <w:iCs/>
          <w:spacing w:val="-2"/>
        </w:rPr>
        <w:t>Combined reporting. Pass-through entities.</w:t>
      </w:r>
    </w:p>
    <w:p w14:paraId="57985245"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62"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2.62(7)</w:t>
        </w:r>
      </w:hyperlink>
      <w:r w:rsidRPr="000000D1">
        <w:rPr>
          <w:rFonts w:eastAsia="Cambria" w:cs="Cambria"/>
          <w:spacing w:val="-2"/>
        </w:rPr>
        <w:t xml:space="preserve"> </w:t>
      </w:r>
      <w:r w:rsidRPr="000000D1">
        <w:rPr>
          <w:rFonts w:eastAsia="Cambria" w:cs="Cambria"/>
          <w:i/>
          <w:iCs/>
          <w:spacing w:val="-2"/>
        </w:rPr>
        <w:t>Unitary business. Passive holding companies.</w:t>
      </w:r>
    </w:p>
    <w:p w14:paraId="0998FB35" w14:textId="77777777" w:rsidR="000000D1" w:rsidRPr="000000D1" w:rsidRDefault="000000D1" w:rsidP="00E10036">
      <w:pPr>
        <w:widowControl w:val="0"/>
        <w:numPr>
          <w:ilvl w:val="0"/>
          <w:numId w:val="37"/>
        </w:numPr>
        <w:autoSpaceDE w:val="0"/>
        <w:autoSpaceDN w:val="0"/>
        <w:spacing w:before="201" w:after="0" w:line="240" w:lineRule="auto"/>
        <w:ind w:right="142"/>
        <w:jc w:val="left"/>
        <w:rPr>
          <w:rFonts w:eastAsia="Cambria" w:cs="Cambria"/>
          <w:szCs w:val="20"/>
          <w:u w:val="single"/>
        </w:rPr>
      </w:pPr>
      <w:hyperlink r:id="rId63"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2.62(8)</w:t>
        </w:r>
      </w:hyperlink>
      <w:r w:rsidRPr="000000D1">
        <w:rPr>
          <w:rFonts w:eastAsia="Cambria" w:cs="Cambria"/>
          <w:spacing w:val="-2"/>
        </w:rPr>
        <w:t xml:space="preserve"> </w:t>
      </w:r>
      <w:r w:rsidRPr="000000D1">
        <w:rPr>
          <w:rFonts w:eastAsia="Cambria" w:cs="Cambria"/>
          <w:i/>
          <w:iCs/>
          <w:spacing w:val="-2"/>
        </w:rPr>
        <w:t>Unitary business. Pass-through entities.</w:t>
      </w:r>
    </w:p>
    <w:p w14:paraId="4CE9E76F" w14:textId="77777777" w:rsidR="000000D1" w:rsidRPr="000000D1" w:rsidRDefault="000000D1" w:rsidP="000000D1">
      <w:pPr>
        <w:widowControl w:val="0"/>
        <w:autoSpaceDE w:val="0"/>
        <w:autoSpaceDN w:val="0"/>
        <w:spacing w:before="201" w:after="0" w:line="240" w:lineRule="auto"/>
        <w:ind w:right="142"/>
        <w:jc w:val="left"/>
        <w:rPr>
          <w:rFonts w:eastAsia="Cambria" w:cs="Cambria"/>
          <w:i/>
          <w:iCs/>
          <w:spacing w:val="-2"/>
        </w:rPr>
      </w:pPr>
    </w:p>
    <w:p w14:paraId="44607C98" w14:textId="77777777" w:rsidR="000000D1" w:rsidRPr="000000D1" w:rsidRDefault="000000D1" w:rsidP="000000D1">
      <w:pPr>
        <w:ind w:left="720"/>
        <w:rPr>
          <w:rFonts w:eastAsia="Calibri" w:cs="Times New Roman"/>
        </w:rPr>
      </w:pPr>
      <w:r w:rsidRPr="000000D1">
        <w:rPr>
          <w:rFonts w:eastAsia="Calibri" w:cs="Times New Roman"/>
        </w:rPr>
        <w:t>Wis. Stat. § 71.04(3)(c)</w:t>
      </w:r>
    </w:p>
    <w:p w14:paraId="4498A2F1" w14:textId="77777777" w:rsidR="000000D1" w:rsidRPr="000000D1" w:rsidRDefault="000000D1" w:rsidP="000000D1">
      <w:pPr>
        <w:ind w:left="1440"/>
        <w:rPr>
          <w:rFonts w:eastAsia="Calibri" w:cs="Times New Roman"/>
        </w:rPr>
      </w:pPr>
      <w:r w:rsidRPr="000000D1">
        <w:rPr>
          <w:rFonts w:eastAsia="Calibri" w:cs="Times New Roman"/>
        </w:rPr>
        <w:t>In computing taxes under this chapter a partner or member shall disregard, for purposes of determining the situs of partnership income of partners, all provisions in partnership or limited liability company agreements that do any of the following:</w:t>
      </w:r>
    </w:p>
    <w:p w14:paraId="2EAFDB95" w14:textId="77777777" w:rsidR="000000D1" w:rsidRPr="000000D1" w:rsidRDefault="000000D1" w:rsidP="000000D1">
      <w:pPr>
        <w:ind w:left="1440"/>
        <w:contextualSpacing/>
        <w:rPr>
          <w:rFonts w:eastAsia="Calibri" w:cs="Times New Roman"/>
        </w:rPr>
      </w:pPr>
      <w:r w:rsidRPr="000000D1">
        <w:rPr>
          <w:rFonts w:eastAsia="Calibri" w:cs="Times New Roman"/>
        </w:rPr>
        <w:t>1. Characterize the consideration for payments to the partner or member as services or the use of capital.</w:t>
      </w:r>
    </w:p>
    <w:p w14:paraId="2B87A96A" w14:textId="77777777" w:rsidR="000000D1" w:rsidRPr="000000D1" w:rsidRDefault="000000D1" w:rsidP="000000D1">
      <w:pPr>
        <w:ind w:left="1440"/>
        <w:contextualSpacing/>
        <w:rPr>
          <w:rFonts w:eastAsia="Calibri" w:cs="Times New Roman"/>
        </w:rPr>
      </w:pPr>
      <w:r w:rsidRPr="000000D1">
        <w:rPr>
          <w:rFonts w:eastAsia="Calibri" w:cs="Times New Roman"/>
        </w:rPr>
        <w:t>2. Allocate to the partner or member, as income from or gain from sources outside this state, a greater proportion of the partner's or member's distributive share of partnership or limited liability company income or gain than the ratio of partnership or company income or gain from sources outside this state to partnership or company income or gain from all sources.</w:t>
      </w:r>
    </w:p>
    <w:p w14:paraId="0E7B0986" w14:textId="77777777" w:rsidR="000000D1" w:rsidRPr="000000D1" w:rsidRDefault="000000D1" w:rsidP="000000D1">
      <w:pPr>
        <w:ind w:left="1440"/>
        <w:contextualSpacing/>
        <w:rPr>
          <w:rFonts w:eastAsia="Calibri" w:cs="Times New Roman"/>
        </w:rPr>
      </w:pPr>
      <w:r w:rsidRPr="000000D1">
        <w:rPr>
          <w:rFonts w:eastAsia="Calibri" w:cs="Times New Roman"/>
        </w:rPr>
        <w:t>3. Allocate to a partner or member a greater proportion of a partnership or limited liability company item of loss or deduction from sources in this state than the partner's or member's proportionate share of total partnership or company loss or deduction.</w:t>
      </w:r>
    </w:p>
    <w:p w14:paraId="21290E22" w14:textId="77777777" w:rsidR="000000D1" w:rsidRPr="000000D1" w:rsidRDefault="000000D1" w:rsidP="000000D1">
      <w:pPr>
        <w:ind w:left="1440"/>
        <w:contextualSpacing/>
        <w:rPr>
          <w:rFonts w:eastAsia="Calibri" w:cs="Times New Roman"/>
        </w:rPr>
      </w:pPr>
      <w:r w:rsidRPr="000000D1">
        <w:rPr>
          <w:rFonts w:eastAsia="Calibri" w:cs="Times New Roman"/>
        </w:rPr>
        <w:t>4. Determine a partner's or member's distributive share of an item of partnership or limited liability company income, gain, loss or deduction for federal income tax purposes if the principal purpose of that determination is to avoid or evade the tax under this chapter.</w:t>
      </w:r>
    </w:p>
    <w:p w14:paraId="3F0FE786" w14:textId="77777777" w:rsidR="000000D1" w:rsidRPr="000000D1" w:rsidRDefault="000000D1" w:rsidP="000000D1">
      <w:pPr>
        <w:contextualSpacing/>
        <w:rPr>
          <w:rFonts w:eastAsia="Calibri" w:cs="Times New Roman"/>
        </w:rPr>
      </w:pPr>
    </w:p>
    <w:p w14:paraId="6031C9DB" w14:textId="77777777" w:rsidR="000000D1" w:rsidRPr="000000D1" w:rsidRDefault="000000D1" w:rsidP="000000D1">
      <w:pPr>
        <w:ind w:left="720"/>
        <w:contextualSpacing/>
        <w:rPr>
          <w:rFonts w:eastAsia="Calibri" w:cs="Times New Roman"/>
        </w:rPr>
      </w:pPr>
      <w:r w:rsidRPr="000000D1">
        <w:rPr>
          <w:rFonts w:eastAsia="Calibri" w:cs="Times New Roman"/>
          <w:i/>
          <w:iCs/>
        </w:rPr>
        <w:t>McQuide v. Wisconsin Department of Revenue, Wisconsin Tax Appeals Commission</w:t>
      </w:r>
      <w:r w:rsidRPr="000000D1">
        <w:rPr>
          <w:rFonts w:eastAsia="Calibri" w:cs="Times New Roman"/>
        </w:rPr>
        <w:t>, Case No. 93-I-532; 93-I-632-SC; 94-I-171 (December 12, 1995).</w:t>
      </w:r>
    </w:p>
    <w:p w14:paraId="7119D004" w14:textId="77777777" w:rsidR="000000D1" w:rsidRPr="000000D1" w:rsidRDefault="000000D1" w:rsidP="000000D1">
      <w:pPr>
        <w:ind w:left="720"/>
        <w:contextualSpacing/>
        <w:rPr>
          <w:rFonts w:eastAsia="Calibri" w:cs="Times New Roman"/>
        </w:rPr>
      </w:pPr>
    </w:p>
    <w:p w14:paraId="064E1428" w14:textId="77777777" w:rsidR="000000D1" w:rsidRPr="000000D1" w:rsidRDefault="000000D1" w:rsidP="000000D1">
      <w:pPr>
        <w:ind w:left="1440"/>
        <w:contextualSpacing/>
        <w:rPr>
          <w:rFonts w:eastAsia="Calibri" w:cs="Times New Roman"/>
        </w:rPr>
      </w:pPr>
      <w:r w:rsidRPr="000000D1">
        <w:rPr>
          <w:rFonts w:eastAsia="Calibri" w:cs="Times New Roman"/>
        </w:rPr>
        <w:t>In light of the foregoing, it is clear that the special  allocations  of paragraph 10 lacked economic effect under Treas. Reg. § 1.704-1(b)(2)(ii)(a), because the allocation was inconsistent with the underlying economic arrangement of the Mascaris and McQuides, and no downward adjustments were ever made to the capital account of the McQuides to reflect those deductions which were specially  allocable  to them. Having determined that the special  allocations failed the first tier of the test of “substantial economic effect” we need not reach the question of substantiality under Treas. Reg. § 1.704-1(b)(2)(iii).</w:t>
      </w:r>
    </w:p>
    <w:p w14:paraId="7C67E8D1" w14:textId="77777777" w:rsidR="000000D1" w:rsidRPr="000000D1" w:rsidRDefault="000000D1" w:rsidP="000000D1">
      <w:pPr>
        <w:ind w:left="1440"/>
        <w:contextualSpacing/>
        <w:rPr>
          <w:rFonts w:eastAsia="Calibri" w:cs="Times New Roman"/>
        </w:rPr>
      </w:pPr>
    </w:p>
    <w:p w14:paraId="395B9329" w14:textId="77777777" w:rsidR="000000D1" w:rsidRPr="000000D1" w:rsidRDefault="000000D1" w:rsidP="000000D1">
      <w:pPr>
        <w:ind w:left="720"/>
        <w:contextualSpacing/>
        <w:rPr>
          <w:rFonts w:eastAsia="Calibri" w:cs="Times New Roman"/>
        </w:rPr>
      </w:pPr>
      <w:r w:rsidRPr="000000D1">
        <w:rPr>
          <w:rFonts w:eastAsia="Calibri" w:cs="Times New Roman"/>
          <w:i/>
          <w:iCs/>
        </w:rPr>
        <w:t>Wall v. Wisconsin Department of Revenue, Wisconsin Tax Appeals Commission</w:t>
      </w:r>
      <w:r w:rsidRPr="000000D1">
        <w:rPr>
          <w:rFonts w:eastAsia="Calibri" w:cs="Times New Roman"/>
        </w:rPr>
        <w:t>, Case No. 87-I-70 (November 3, 1998).</w:t>
      </w:r>
    </w:p>
    <w:p w14:paraId="092961D7" w14:textId="77777777" w:rsidR="000000D1" w:rsidRPr="000000D1" w:rsidRDefault="000000D1" w:rsidP="000000D1">
      <w:pPr>
        <w:ind w:left="720"/>
        <w:contextualSpacing/>
        <w:rPr>
          <w:rFonts w:eastAsia="Calibri" w:cs="Times New Roman"/>
        </w:rPr>
      </w:pPr>
    </w:p>
    <w:p w14:paraId="139B35B2" w14:textId="77777777" w:rsidR="000000D1" w:rsidRPr="000000D1" w:rsidRDefault="000000D1" w:rsidP="000000D1">
      <w:pPr>
        <w:ind w:left="1440"/>
        <w:contextualSpacing/>
        <w:rPr>
          <w:rFonts w:eastAsia="Calibri" w:cs="Times New Roman"/>
        </w:rPr>
      </w:pPr>
      <w:r w:rsidRPr="000000D1">
        <w:rPr>
          <w:rFonts w:eastAsia="Calibri" w:cs="Times New Roman"/>
        </w:rPr>
        <w:t>Petitioner did not bear the entire economic burden for the losses allocated to him, as is evidenced by the partnership agreement's failure to require liquidation proceeds to be distributed in accordance with the partners' capital account balances, and capital account deficits to be restored upon liquidation. In addition, the capital contributions made to the partnership by Barbara Wall were not properly reflected in her capital account. Consequently, the loss allocation to petitioner lacked substantial economic effect . . . The respondent properly allocated the partnership losses between Thomas and Barbara Wall on the basis of their interests in the partnership.</w:t>
      </w:r>
    </w:p>
    <w:p w14:paraId="4467B72B" w14:textId="77777777" w:rsidR="000000D1" w:rsidRPr="000000D1" w:rsidRDefault="000000D1" w:rsidP="000000D1">
      <w:pPr>
        <w:ind w:left="1440"/>
        <w:contextualSpacing/>
        <w:rPr>
          <w:rFonts w:eastAsia="Calibri" w:cs="Times New Roman"/>
        </w:rPr>
      </w:pPr>
    </w:p>
    <w:p w14:paraId="59EACDBA" w14:textId="77777777" w:rsidR="000000D1" w:rsidRPr="000000D1" w:rsidRDefault="000000D1" w:rsidP="000000D1">
      <w:pPr>
        <w:widowControl w:val="0"/>
        <w:autoSpaceDE w:val="0"/>
        <w:autoSpaceDN w:val="0"/>
        <w:spacing w:before="201" w:after="0" w:line="240" w:lineRule="auto"/>
        <w:ind w:right="142"/>
        <w:jc w:val="left"/>
        <w:rPr>
          <w:rFonts w:eastAsia="Cambria" w:cs="Cambria"/>
          <w:szCs w:val="20"/>
          <w:u w:val="single"/>
        </w:rPr>
      </w:pPr>
    </w:p>
    <w:bookmarkEnd w:id="0"/>
    <w:p w14:paraId="29F554CA" w14:textId="77777777" w:rsidR="00D26602" w:rsidRPr="00D26602" w:rsidRDefault="00D26602" w:rsidP="00D26602"/>
    <w:sectPr w:rsidR="00D26602" w:rsidRPr="00D26602" w:rsidSect="009E7F86">
      <w:footerReference w:type="default" r:id="rId64"/>
      <w:pgSz w:w="12240" w:h="15840" w:code="1"/>
      <w:pgMar w:top="864" w:right="1728" w:bottom="1152" w:left="1728" w:header="288" w:footer="432"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2B12" w14:textId="77777777" w:rsidR="00D76F9B" w:rsidRDefault="00D76F9B" w:rsidP="00F804A3">
      <w:pPr>
        <w:spacing w:after="0"/>
      </w:pPr>
      <w:r>
        <w:separator/>
      </w:r>
    </w:p>
  </w:endnote>
  <w:endnote w:type="continuationSeparator" w:id="0">
    <w:p w14:paraId="4A38BDBC" w14:textId="77777777" w:rsidR="00D76F9B" w:rsidRDefault="00D76F9B" w:rsidP="00F804A3">
      <w:pPr>
        <w:spacing w:after="0"/>
      </w:pPr>
      <w:r>
        <w:continuationSeparator/>
      </w:r>
    </w:p>
  </w:endnote>
  <w:endnote w:type="continuationNotice" w:id="1">
    <w:p w14:paraId="3B7A1454" w14:textId="77777777" w:rsidR="00D76F9B" w:rsidRDefault="00D76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FB90" w14:textId="5F4B64CF" w:rsidR="00817E18" w:rsidRPr="00924DB9" w:rsidRDefault="00D011B7" w:rsidP="00DA5712">
    <w:pPr>
      <w:pStyle w:val="Footer"/>
      <w:jc w:val="left"/>
      <w:rPr>
        <w:color w:val="595959" w:themeColor="text1" w:themeTint="A6"/>
        <w:sz w:val="18"/>
        <w:szCs w:val="20"/>
      </w:rPr>
    </w:pPr>
    <w:r>
      <w:rPr>
        <w:noProof/>
      </w:rPr>
      <w:drawing>
        <wp:anchor distT="0" distB="0" distL="114300" distR="114300" simplePos="0" relativeHeight="251648512"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DB290A" w:rsidRPr="00F95EE8">
          <w:rPr>
            <w:color w:val="595959" w:themeColor="text1" w:themeTint="A6"/>
            <w:sz w:val="13"/>
            <w:szCs w:val="13"/>
          </w:rPr>
          <w:t>White Paper</w:t>
        </w:r>
        <w:r w:rsidR="00822499" w:rsidRPr="00F95EE8">
          <w:rPr>
            <w:color w:val="595959" w:themeColor="text1" w:themeTint="A6"/>
            <w:sz w:val="13"/>
            <w:szCs w:val="13"/>
          </w:rPr>
          <w:t xml:space="preserve">  -  </w:t>
        </w:r>
        <w:r w:rsidR="00DA5712" w:rsidRPr="00F95EE8">
          <w:rPr>
            <w:color w:val="595959" w:themeColor="text1" w:themeTint="A6"/>
            <w:sz w:val="13"/>
            <w:szCs w:val="13"/>
          </w:rPr>
          <w:t>State Tax Sourcing of  Partnership Income &amp; the Blended Apportionment Method</w:t>
        </w:r>
        <w:r w:rsidR="00F95EE8" w:rsidRPr="00F95EE8">
          <w:rPr>
            <w:color w:val="595959" w:themeColor="text1" w:themeTint="A6"/>
            <w:sz w:val="13"/>
            <w:szCs w:val="13"/>
          </w:rPr>
          <w:t xml:space="preserve"> – </w:t>
        </w:r>
        <w:r w:rsidR="00F95EE8" w:rsidRPr="00F95EE8">
          <w:rPr>
            <w:b/>
            <w:bCs/>
            <w:color w:val="78230C" w:themeColor="accent1" w:themeShade="80"/>
            <w:sz w:val="13"/>
            <w:szCs w:val="13"/>
          </w:rPr>
          <w:t>DISCUSSION DRAFT</w:t>
        </w:r>
        <w:r w:rsidR="00F95EE8" w:rsidRPr="00F95EE8">
          <w:rPr>
            <w:color w:val="595959" w:themeColor="text1" w:themeTint="A6"/>
            <w:sz w:val="13"/>
            <w:szCs w:val="13"/>
          </w:rPr>
          <w:t xml:space="preserve"> – 4/1</w:t>
        </w:r>
        <w:r w:rsidR="00F95EE8">
          <w:rPr>
            <w:color w:val="595959" w:themeColor="text1" w:themeTint="A6"/>
            <w:sz w:val="13"/>
            <w:szCs w:val="13"/>
          </w:rPr>
          <w:t>4</w:t>
        </w:r>
        <w:r w:rsidR="00F95EE8" w:rsidRPr="00F95EE8">
          <w:rPr>
            <w:color w:val="595959" w:themeColor="text1" w:themeTint="A6"/>
            <w:sz w:val="13"/>
            <w:szCs w:val="13"/>
          </w:rPr>
          <w:t>/</w:t>
        </w:r>
        <w:r w:rsidR="00F95EE8">
          <w:rPr>
            <w:color w:val="595959" w:themeColor="text1" w:themeTint="A6"/>
            <w:sz w:val="13"/>
            <w:szCs w:val="13"/>
          </w:rPr>
          <w:t>25</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6284" w14:textId="77777777" w:rsidR="00D76F9B" w:rsidRDefault="00D76F9B" w:rsidP="00F804A3">
      <w:pPr>
        <w:spacing w:after="0"/>
      </w:pPr>
      <w:r>
        <w:separator/>
      </w:r>
    </w:p>
  </w:footnote>
  <w:footnote w:type="continuationSeparator" w:id="0">
    <w:p w14:paraId="6E06B3A8" w14:textId="77777777" w:rsidR="00D76F9B" w:rsidRDefault="00D76F9B" w:rsidP="00F804A3">
      <w:pPr>
        <w:spacing w:after="0"/>
      </w:pPr>
      <w:r>
        <w:continuationSeparator/>
      </w:r>
    </w:p>
  </w:footnote>
  <w:footnote w:type="continuationNotice" w:id="1">
    <w:p w14:paraId="0511734A" w14:textId="77777777" w:rsidR="00D76F9B" w:rsidRDefault="00D76F9B">
      <w:pPr>
        <w:spacing w:after="0"/>
      </w:pPr>
    </w:p>
  </w:footnote>
  <w:footnote w:id="2">
    <w:p w14:paraId="219D9FF7" w14:textId="1C50B5BC" w:rsidR="009D31E6" w:rsidRDefault="009D31E6" w:rsidP="009D31E6">
      <w:pPr>
        <w:pStyle w:val="FootnoteText"/>
      </w:pPr>
      <w:r>
        <w:rPr>
          <w:rStyle w:val="FootnoteReference"/>
        </w:rPr>
        <w:footnoteRef/>
      </w:r>
      <w:r>
        <w:t xml:space="preserve"> Michael Love, “Where in the World Does Partnership Income Go? Evidence of a Growing Use of Tax Havens,” December 14, 2021, </w:t>
      </w:r>
      <w:hyperlink r:id="rId1" w:history="1">
        <w:r w:rsidRPr="00E30616">
          <w:rPr>
            <w:rStyle w:val="Hyperlink"/>
          </w:rPr>
          <w:t>https://www.law.berkeley.edu/wp-content/uploads/2022/03/2022-Michael-Love.pdf</w:t>
        </w:r>
      </w:hyperlink>
      <w:r>
        <w:t xml:space="preserve">. </w:t>
      </w:r>
    </w:p>
  </w:footnote>
  <w:footnote w:id="3">
    <w:p w14:paraId="538D8F82" w14:textId="2896757B" w:rsidR="00052128" w:rsidRDefault="00052128" w:rsidP="00052128">
      <w:pPr>
        <w:pStyle w:val="FootnoteText"/>
      </w:pPr>
      <w:r>
        <w:rPr>
          <w:rStyle w:val="FootnoteReference"/>
        </w:rPr>
        <w:footnoteRef/>
      </w:r>
      <w:r>
        <w:t xml:space="preserve"> Tax Enforcement: IRS Audit Processes Can Be Strengthened to Address a Growing Number of Large, Complex Partnerships, </w:t>
      </w:r>
      <w:bookmarkStart w:id="12" w:name="_Hlk194166105"/>
      <w:r>
        <w:t>U.S. Gov. Accountability Office</w:t>
      </w:r>
      <w:bookmarkEnd w:id="12"/>
      <w:r>
        <w:t xml:space="preserve">, GAO-23-106020, Jul 27, 2023, </w:t>
      </w:r>
      <w:hyperlink r:id="rId2" w:history="1">
        <w:r w:rsidRPr="00E30616">
          <w:rPr>
            <w:rStyle w:val="Hyperlink"/>
          </w:rPr>
          <w:t>https://www.gao.gov/products/gao-23-106020</w:t>
        </w:r>
      </w:hyperlink>
      <w:r>
        <w:t xml:space="preserve">. </w:t>
      </w:r>
    </w:p>
  </w:footnote>
  <w:footnote w:id="4">
    <w:p w14:paraId="5839D6BF" w14:textId="6D393943" w:rsidR="00052128" w:rsidRPr="00BE40F5" w:rsidRDefault="00052128" w:rsidP="00052128">
      <w:pPr>
        <w:pStyle w:val="FootnoteText"/>
      </w:pPr>
      <w:r>
        <w:rPr>
          <w:rStyle w:val="FootnoteReference"/>
        </w:rPr>
        <w:footnoteRef/>
      </w:r>
      <w:r w:rsidR="009517CF">
        <w:t xml:space="preserve"> There are separate white papers</w:t>
      </w:r>
      <w:r w:rsidRPr="00BE40F5">
        <w:t xml:space="preserve"> address</w:t>
      </w:r>
      <w:r w:rsidR="009517CF">
        <w:t>ing the</w:t>
      </w:r>
      <w:r w:rsidRPr="00BE40F5">
        <w:t xml:space="preserve"> state taxation of investment partnership income and the sourcing of certain guaranteed payments. (See those white papers on the project page above.)</w:t>
      </w:r>
    </w:p>
  </w:footnote>
  <w:footnote w:id="5">
    <w:p w14:paraId="573FE7B6" w14:textId="1EA88AEA" w:rsidR="007525CB" w:rsidRDefault="007525CB">
      <w:pPr>
        <w:pStyle w:val="FootnoteText"/>
      </w:pPr>
      <w:r>
        <w:rPr>
          <w:rStyle w:val="FootnoteReference"/>
        </w:rPr>
        <w:footnoteRef/>
      </w:r>
      <w:r>
        <w:t xml:space="preserve"> </w:t>
      </w:r>
      <w:r w:rsidRPr="007525CB">
        <w:t>See Hellerstein, Hellerstein &amp; Appleby: State Taxation, ¶</w:t>
      </w:r>
      <w:r w:rsidR="000B645B">
        <w:t xml:space="preserve">8.07-8.10 </w:t>
      </w:r>
      <w:r w:rsidRPr="007525CB">
        <w:t>(WG&amp;L).</w:t>
      </w:r>
    </w:p>
  </w:footnote>
  <w:footnote w:id="6">
    <w:p w14:paraId="18280CC3" w14:textId="1054C224" w:rsidR="00B22D31" w:rsidRDefault="00B22D31">
      <w:pPr>
        <w:pStyle w:val="FootnoteText"/>
      </w:pPr>
      <w:r>
        <w:rPr>
          <w:rStyle w:val="FootnoteReference"/>
        </w:rPr>
        <w:footnoteRef/>
      </w:r>
      <w:r>
        <w:t xml:space="preserve"> See Hellerstein supra fn. 4, </w:t>
      </w:r>
      <w:r w:rsidRPr="007525CB">
        <w:t>¶</w:t>
      </w:r>
      <w:r>
        <w:t xml:space="preserve">8.03. </w:t>
      </w:r>
    </w:p>
  </w:footnote>
  <w:footnote w:id="7">
    <w:p w14:paraId="30157C07" w14:textId="30861B0A" w:rsidR="004A626C" w:rsidRDefault="004A626C" w:rsidP="004A626C">
      <w:pPr>
        <w:pStyle w:val="FootnoteText"/>
      </w:pPr>
      <w:r>
        <w:rPr>
          <w:rStyle w:val="FootnoteReference"/>
        </w:rPr>
        <w:footnoteRef/>
      </w:r>
      <w:r>
        <w:t xml:space="preserve"> </w:t>
      </w:r>
      <w:r w:rsidR="004B6D12">
        <w:t xml:space="preserve">See “Large Partnerships: Characteristics of Population and IRS Audits,” U.S. Governmental Accountancy Office, GAO-14-379R, Apr. 17, 2014, available here: </w:t>
      </w:r>
      <w:hyperlink r:id="rId3" w:history="1">
        <w:r w:rsidR="004B6D12" w:rsidRPr="00CD60C4">
          <w:rPr>
            <w:rStyle w:val="Hyperlink"/>
          </w:rPr>
          <w:t>https://www.gao.gov/products/gao-14-379r</w:t>
        </w:r>
      </w:hyperlink>
      <w:r w:rsidR="004B6D12">
        <w:t xml:space="preserve"> ; and </w:t>
      </w:r>
      <w:r w:rsidR="004B6D12" w:rsidRPr="004B6D12">
        <w:t xml:space="preserve">Love, Michael, </w:t>
      </w:r>
      <w:r w:rsidR="004B6D12">
        <w:t>“</w:t>
      </w:r>
      <w:r w:rsidR="004B6D12" w:rsidRPr="004B6D12">
        <w:t>Who Benefits from Partnership Flexibility?</w:t>
      </w:r>
      <w:r w:rsidR="004B6D12">
        <w:t>”</w:t>
      </w:r>
      <w:r w:rsidR="004B6D12" w:rsidRPr="004B6D12">
        <w:t xml:space="preserve"> </w:t>
      </w:r>
      <w:r w:rsidR="004B6D12">
        <w:t xml:space="preserve">Columbia Law, </w:t>
      </w:r>
      <w:r w:rsidR="004B6D12" w:rsidRPr="004B6D12">
        <w:t>Oct. 2024</w:t>
      </w:r>
      <w:r w:rsidR="004B6D12">
        <w:t xml:space="preserve">, available here: </w:t>
      </w:r>
      <w:hyperlink r:id="rId4" w:history="1">
        <w:r w:rsidR="004B6D12" w:rsidRPr="00CD60C4">
          <w:rPr>
            <w:rStyle w:val="Hyperlink"/>
          </w:rPr>
          <w:t>https://papers.ssrn.com/sol3/papers.cfm?abstract_id=5014267</w:t>
        </w:r>
      </w:hyperlink>
      <w:r w:rsidR="004B6D12">
        <w:t xml:space="preserve"> .</w:t>
      </w:r>
    </w:p>
  </w:footnote>
  <w:footnote w:id="8">
    <w:p w14:paraId="66EE3CE1" w14:textId="6926466E" w:rsidR="00555503" w:rsidRDefault="00555503">
      <w:pPr>
        <w:pStyle w:val="FootnoteText"/>
      </w:pPr>
      <w:r>
        <w:rPr>
          <w:rStyle w:val="FootnoteReference"/>
        </w:rPr>
        <w:footnoteRef/>
      </w:r>
      <w:r>
        <w:t xml:space="preserve"> The Logic of Subchapter K: A Conceptual Guide to the Taxation of Partnerships, Laura E. Cunningham and No</w:t>
      </w:r>
      <w:r w:rsidR="00356E56">
        <w:t>ë</w:t>
      </w:r>
      <w:r>
        <w:t xml:space="preserve">l B. </w:t>
      </w:r>
      <w:r w:rsidR="00356E56">
        <w:t>Cunningham, West Academic Pub., 6</w:t>
      </w:r>
      <w:r w:rsidR="00356E56" w:rsidRPr="00356E56">
        <w:rPr>
          <w:vertAlign w:val="superscript"/>
        </w:rPr>
        <w:t>th</w:t>
      </w:r>
      <w:r w:rsidR="00356E56">
        <w:t xml:space="preserve"> ed., p. 1.</w:t>
      </w:r>
    </w:p>
  </w:footnote>
  <w:footnote w:id="9">
    <w:p w14:paraId="0A34CCF3" w14:textId="198231F4" w:rsidR="0009601A" w:rsidRDefault="0009601A" w:rsidP="00865F98">
      <w:pPr>
        <w:pStyle w:val="FootnoteText"/>
      </w:pPr>
      <w:r>
        <w:rPr>
          <w:rStyle w:val="FootnoteReference"/>
        </w:rPr>
        <w:footnoteRef/>
      </w:r>
      <w:r>
        <w:t xml:space="preserve"> </w:t>
      </w:r>
      <w:r w:rsidR="00B50843">
        <w:t>See Hellerstein supra fn. 4,</w:t>
      </w:r>
      <w:r w:rsidR="00865F98">
        <w:t xml:space="preserve"> ¶7.02. </w:t>
      </w:r>
    </w:p>
  </w:footnote>
  <w:footnote w:id="10">
    <w:p w14:paraId="6481A764" w14:textId="44F5896B" w:rsidR="00331735" w:rsidRDefault="00331735" w:rsidP="00331735">
      <w:pPr>
        <w:pStyle w:val="FootnoteText"/>
      </w:pPr>
      <w:r>
        <w:rPr>
          <w:rStyle w:val="FootnoteReference"/>
        </w:rPr>
        <w:footnoteRef/>
      </w:r>
      <w:r>
        <w:t xml:space="preserve"> </w:t>
      </w:r>
      <w:r w:rsidR="00205BAD" w:rsidRPr="00205BAD">
        <w:rPr>
          <w:i/>
          <w:iCs/>
        </w:rPr>
        <w:t>Loper Bright Enterprises v. Raimondo</w:t>
      </w:r>
      <w:r w:rsidR="00205BAD" w:rsidRPr="00205BAD">
        <w:t>, 603 U.S. 369, 144 S. Ct. 2244, 219 L. Ed. 2d 832 (2024)</w:t>
      </w:r>
      <w:r w:rsidR="00205BAD">
        <w:t>.</w:t>
      </w:r>
    </w:p>
  </w:footnote>
  <w:footnote w:id="11">
    <w:p w14:paraId="2A75C0C4" w14:textId="5157A6A6" w:rsidR="00BE61B6" w:rsidRDefault="00BE61B6">
      <w:pPr>
        <w:pStyle w:val="FootnoteText"/>
      </w:pPr>
      <w:r>
        <w:rPr>
          <w:rStyle w:val="FootnoteReference"/>
        </w:rPr>
        <w:footnoteRef/>
      </w:r>
      <w:r>
        <w:t xml:space="preserve"> </w:t>
      </w:r>
      <w:r w:rsidR="00205BAD">
        <w:t xml:space="preserve">Cunningham &amp; Cunningham, </w:t>
      </w:r>
      <w:r w:rsidR="00DF6ED0">
        <w:t>supra fn.7, p.</w:t>
      </w:r>
      <w:r w:rsidR="00205BAD">
        <w:t xml:space="preserve"> 1. </w:t>
      </w:r>
      <w:r>
        <w:t xml:space="preserve"> </w:t>
      </w:r>
    </w:p>
  </w:footnote>
  <w:footnote w:id="12">
    <w:p w14:paraId="746BFCD4" w14:textId="4F338652" w:rsidR="00853A76" w:rsidRDefault="00853A76" w:rsidP="00471E04">
      <w:pPr>
        <w:pStyle w:val="FootnoteText"/>
      </w:pPr>
      <w:r>
        <w:rPr>
          <w:rStyle w:val="FootnoteReference"/>
        </w:rPr>
        <w:footnoteRef/>
      </w:r>
      <w:r>
        <w:t xml:space="preserve"> </w:t>
      </w:r>
      <w:r w:rsidR="00471E04">
        <w:t xml:space="preserve">Andrea Monroe, What We Talk About When We Talk About Tax Complexity, 5 Mich. Bus. &amp; Entrepreneurial L. Rev. 193 (2016). Available at: </w:t>
      </w:r>
      <w:hyperlink r:id="rId5" w:history="1">
        <w:r w:rsidR="00471E04" w:rsidRPr="00E30616">
          <w:rPr>
            <w:rStyle w:val="Hyperlink"/>
          </w:rPr>
          <w:t>https://repository.law.umich.edu/cgi/viewcontent.cgi?article=1045&amp;context=mbelr</w:t>
        </w:r>
      </w:hyperlink>
      <w:r w:rsidR="00471E04">
        <w:t xml:space="preserve">. </w:t>
      </w:r>
    </w:p>
  </w:footnote>
  <w:footnote w:id="13">
    <w:p w14:paraId="063F2E01" w14:textId="0AD17C03" w:rsidR="00853A76" w:rsidRDefault="00853A76" w:rsidP="00853A76">
      <w:pPr>
        <w:pStyle w:val="FootnoteText"/>
      </w:pPr>
      <w:r>
        <w:rPr>
          <w:rStyle w:val="FootnoteReference"/>
        </w:rPr>
        <w:footnoteRef/>
      </w:r>
      <w:r>
        <w:t xml:space="preserve"> </w:t>
      </w:r>
      <w:r w:rsidR="009E205B" w:rsidRPr="009E205B">
        <w:t>Andrea Monroe, “What’s in a Name: Can the Partnership Anti-Abuse Rule Really Stop Partnership Tax Abuse?,” 60 Case W. Res. L. Rev. 401 (2010)</w:t>
      </w:r>
      <w:r w:rsidR="009E205B">
        <w:t xml:space="preserve">. Available at: </w:t>
      </w:r>
      <w:hyperlink r:id="rId6" w:history="1">
        <w:r w:rsidR="009E205B" w:rsidRPr="00E30616">
          <w:rPr>
            <w:rStyle w:val="Hyperlink"/>
          </w:rPr>
          <w:t>https://papers.ssrn.com/sol3/papers.cfm?abstract_id=1479609</w:t>
        </w:r>
      </w:hyperlink>
      <w:r w:rsidR="009E205B">
        <w:t xml:space="preserve">. </w:t>
      </w:r>
    </w:p>
  </w:footnote>
  <w:footnote w:id="14">
    <w:p w14:paraId="0CF2BFB2" w14:textId="1AAE9F9E" w:rsidR="00935410" w:rsidRDefault="00935410">
      <w:pPr>
        <w:pStyle w:val="FootnoteText"/>
      </w:pPr>
      <w:r>
        <w:rPr>
          <w:rStyle w:val="FootnoteReference"/>
        </w:rPr>
        <w:footnoteRef/>
      </w:r>
      <w:r>
        <w:t xml:space="preserve"> See IRC § 1361.</w:t>
      </w:r>
    </w:p>
  </w:footnote>
  <w:footnote w:id="15">
    <w:p w14:paraId="79C279CB" w14:textId="77A2F667" w:rsidR="00B00249" w:rsidRDefault="00B00249" w:rsidP="00B00249">
      <w:pPr>
        <w:pStyle w:val="FootnoteText"/>
      </w:pPr>
      <w:r>
        <w:rPr>
          <w:rStyle w:val="FootnoteReference"/>
        </w:rPr>
        <w:footnoteRef/>
      </w:r>
      <w:r>
        <w:t xml:space="preserve"> </w:t>
      </w:r>
      <w:r w:rsidR="009E205B">
        <w:t>Large Partnerships: With Growing Number of Partnerships, IRS Needs to Improve Audit Efficiency, U.S. Governmental Accountancy Office,</w:t>
      </w:r>
      <w:r w:rsidR="009E205B" w:rsidRPr="009E205B">
        <w:t xml:space="preserve"> </w:t>
      </w:r>
      <w:r w:rsidR="009E205B">
        <w:t xml:space="preserve">GAO-14-732, Sep. 18, 2014, available here: </w:t>
      </w:r>
      <w:hyperlink r:id="rId7" w:history="1">
        <w:r w:rsidR="009E205B" w:rsidRPr="00E30616">
          <w:rPr>
            <w:rStyle w:val="Hyperlink"/>
          </w:rPr>
          <w:t>https://www.gao.gov/products/gao-14-732</w:t>
        </w:r>
      </w:hyperlink>
      <w:r w:rsidR="009E205B">
        <w:t xml:space="preserve">. </w:t>
      </w:r>
    </w:p>
  </w:footnote>
  <w:footnote w:id="16">
    <w:p w14:paraId="3A30B7A6" w14:textId="266299F6" w:rsidR="00EA1D83" w:rsidRDefault="00EA1D83">
      <w:pPr>
        <w:pStyle w:val="FootnoteText"/>
      </w:pPr>
      <w:r>
        <w:rPr>
          <w:rStyle w:val="FootnoteReference"/>
        </w:rPr>
        <w:footnoteRef/>
      </w:r>
      <w:r>
        <w:t xml:space="preserve"> </w:t>
      </w:r>
      <w:r w:rsidR="005953F8">
        <w:t xml:space="preserve">See </w:t>
      </w:r>
      <w:r w:rsidR="00897907">
        <w:t>ULC Partnership Act, p. 2 – “</w:t>
      </w:r>
      <w:r w:rsidR="00897907" w:rsidRPr="00897907">
        <w:t xml:space="preserve">The Uniform Partnership Act (1994) </w:t>
      </w:r>
      <w:r w:rsidR="00897907">
        <w:t>. . .</w:t>
      </w:r>
      <w:r w:rsidR="00897907" w:rsidRPr="00897907">
        <w:t xml:space="preserve"> gives supremacy to the partnership agreement in almost all situations. The Revised Act is, therefore, largely a series of "default rules" that govern the relations among partners in situations they have not addressed in a partnership agreement.</w:t>
      </w:r>
      <w:r w:rsidR="00897907">
        <w:t>”</w:t>
      </w:r>
      <w:r w:rsidR="00897907" w:rsidRPr="00897907">
        <w:t xml:space="preserve">  </w:t>
      </w:r>
    </w:p>
  </w:footnote>
  <w:footnote w:id="17">
    <w:p w14:paraId="3F3B90C4" w14:textId="77777777" w:rsidR="006D2BB2" w:rsidRDefault="006D2BB2" w:rsidP="006D2BB2">
      <w:pPr>
        <w:pStyle w:val="FootnoteText"/>
      </w:pPr>
      <w:r>
        <w:rPr>
          <w:rStyle w:val="FootnoteReference"/>
        </w:rPr>
        <w:footnoteRef/>
      </w:r>
      <w:r>
        <w:t xml:space="preserve"> See, for example, Cunningham and Cunningham, supra fn. 7, pp. 65, and 161-163.  </w:t>
      </w:r>
    </w:p>
  </w:footnote>
  <w:footnote w:id="18">
    <w:p w14:paraId="6B2D86A4" w14:textId="77777777" w:rsidR="006D2BB2" w:rsidRDefault="006D2BB2" w:rsidP="006D2BB2">
      <w:pPr>
        <w:pStyle w:val="FootnoteText"/>
      </w:pPr>
      <w:r>
        <w:rPr>
          <w:rStyle w:val="FootnoteReference"/>
        </w:rPr>
        <w:footnoteRef/>
      </w:r>
      <w:r>
        <w:t xml:space="preserve"> See IRS Reg. 1.482-1 (a)(1); </w:t>
      </w:r>
      <w:r w:rsidRPr="008D47AE">
        <w:rPr>
          <w:i/>
          <w:iCs/>
        </w:rPr>
        <w:t>Dolese v. Commissioner</w:t>
      </w:r>
      <w:r>
        <w:t xml:space="preserve">, 811 F.2d 543 (10th Cir. 1987); and </w:t>
      </w:r>
      <w:r w:rsidRPr="00D35710">
        <w:rPr>
          <w:i/>
          <w:iCs/>
        </w:rPr>
        <w:t>Aladdin Indus., Inc. v. Commissioner</w:t>
      </w:r>
      <w:r>
        <w:t>, 41 T.C.M. (CCH) 1515, 1519 (1981).</w:t>
      </w:r>
    </w:p>
  </w:footnote>
  <w:footnote w:id="19">
    <w:p w14:paraId="4C9340CE" w14:textId="77777777" w:rsidR="006D2BB2" w:rsidRDefault="006D2BB2" w:rsidP="006D2BB2">
      <w:pPr>
        <w:pStyle w:val="FootnoteText"/>
      </w:pPr>
      <w:r>
        <w:rPr>
          <w:rStyle w:val="FootnoteReference"/>
        </w:rPr>
        <w:footnoteRef/>
      </w:r>
      <w:r>
        <w:t xml:space="preserve"> </w:t>
      </w:r>
      <w:r w:rsidRPr="00D35710">
        <w:rPr>
          <w:i/>
          <w:iCs/>
        </w:rPr>
        <w:t>Utah State Tax Comm'n v. See's Candies, Inc.</w:t>
      </w:r>
      <w:r w:rsidRPr="00D35710">
        <w:t>, 2018 UT 57, 435 P.3d 147</w:t>
      </w:r>
      <w:r>
        <w:t>.</w:t>
      </w:r>
    </w:p>
  </w:footnote>
  <w:footnote w:id="20">
    <w:p w14:paraId="482A0929" w14:textId="77777777" w:rsidR="006D2BB2" w:rsidRDefault="006D2BB2" w:rsidP="006D2BB2">
      <w:pPr>
        <w:pStyle w:val="FootnoteText"/>
      </w:pPr>
      <w:r>
        <w:rPr>
          <w:rStyle w:val="FootnoteReference"/>
        </w:rPr>
        <w:footnoteRef/>
      </w:r>
      <w:r>
        <w:t xml:space="preserve"> See, for example, Oregon Administrative Code, 2020, OAR S</w:t>
      </w:r>
      <w:r w:rsidRPr="0076370D">
        <w:t>ection 150-314-0475</w:t>
      </w:r>
      <w:r>
        <w:t>,</w:t>
      </w:r>
      <w:r w:rsidRPr="0076370D">
        <w:t xml:space="preserve"> Consistent Treatment of Partnership Items</w:t>
      </w:r>
      <w:r>
        <w:t>.</w:t>
      </w:r>
    </w:p>
  </w:footnote>
  <w:footnote w:id="21">
    <w:p w14:paraId="7964D200" w14:textId="26F1015A" w:rsidR="00C11E1F" w:rsidRPr="006D40CB" w:rsidRDefault="00C11E1F">
      <w:pPr>
        <w:pStyle w:val="FootnoteText"/>
        <w:rPr>
          <w:vertAlign w:val="subscript"/>
        </w:rPr>
      </w:pPr>
      <w:r>
        <w:rPr>
          <w:rStyle w:val="FootnoteReference"/>
        </w:rPr>
        <w:footnoteRef/>
      </w:r>
      <w:r>
        <w:t xml:space="preserve"> </w:t>
      </w:r>
      <w:r w:rsidR="00E960CB">
        <w:t xml:space="preserve">See Cunningham, supra fn. </w:t>
      </w:r>
      <w:r w:rsidR="007B0A46">
        <w:t>7</w:t>
      </w:r>
      <w:r w:rsidR="00E960CB">
        <w:t xml:space="preserve">, </w:t>
      </w:r>
      <w:r w:rsidR="00C86C9C">
        <w:t xml:space="preserve">generally and pp. 19-21. </w:t>
      </w:r>
    </w:p>
  </w:footnote>
  <w:footnote w:id="22">
    <w:p w14:paraId="3A7ED24C" w14:textId="2CA28A5A" w:rsidR="00830639" w:rsidRDefault="00830639">
      <w:pPr>
        <w:pStyle w:val="FootnoteText"/>
      </w:pPr>
      <w:r>
        <w:rPr>
          <w:rStyle w:val="FootnoteReference"/>
        </w:rPr>
        <w:footnoteRef/>
      </w:r>
      <w:r>
        <w:t xml:space="preserve"> See, for example, IRS Reg. § </w:t>
      </w:r>
      <w:r w:rsidRPr="00830639">
        <w:t>1.704-3(a)(10)</w:t>
      </w:r>
      <w:r>
        <w:t>.</w:t>
      </w:r>
    </w:p>
  </w:footnote>
  <w:footnote w:id="23">
    <w:p w14:paraId="753223D6" w14:textId="7261382D" w:rsidR="00CD5DFD" w:rsidRDefault="00CD5DFD">
      <w:pPr>
        <w:pStyle w:val="FootnoteText"/>
      </w:pPr>
      <w:r>
        <w:rPr>
          <w:rStyle w:val="FootnoteReference"/>
        </w:rPr>
        <w:footnoteRef/>
      </w:r>
      <w:r>
        <w:t xml:space="preserve"> See IRC §</w:t>
      </w:r>
      <w:r w:rsidR="00A9376A">
        <w:t xml:space="preserve"> 70</w:t>
      </w:r>
      <w:r w:rsidR="00784BC6">
        <w:t>2(b) an</w:t>
      </w:r>
      <w:r w:rsidR="0054616A">
        <w:t>d</w:t>
      </w:r>
      <w:r w:rsidR="00784BC6">
        <w:t xml:space="preserve"> rules for taking an inconsistent position under IRC §</w:t>
      </w:r>
      <w:r>
        <w:t xml:space="preserve"> 6222 and related regulations as well as IRS Form 8082.</w:t>
      </w:r>
    </w:p>
  </w:footnote>
  <w:footnote w:id="24">
    <w:p w14:paraId="0FAAFB78" w14:textId="4970EF5B" w:rsidR="0060515E" w:rsidRDefault="0060515E" w:rsidP="00655576">
      <w:pPr>
        <w:pStyle w:val="FootnoteText"/>
      </w:pPr>
      <w:r>
        <w:rPr>
          <w:rStyle w:val="FootnoteReference"/>
        </w:rPr>
        <w:footnoteRef/>
      </w:r>
      <w:r>
        <w:t xml:space="preserve"> </w:t>
      </w:r>
      <w:r w:rsidR="00655576">
        <w:t>602 U.S. 572 (2024).</w:t>
      </w:r>
    </w:p>
  </w:footnote>
  <w:footnote w:id="25">
    <w:p w14:paraId="1B36ADC7" w14:textId="2D7278FB" w:rsidR="002C13CF" w:rsidRDefault="002C13CF" w:rsidP="00FC0783">
      <w:pPr>
        <w:pStyle w:val="FootnoteText"/>
      </w:pPr>
      <w:r>
        <w:rPr>
          <w:rStyle w:val="FootnoteReference"/>
        </w:rPr>
        <w:footnoteRef/>
      </w:r>
      <w:r>
        <w:t xml:space="preserve"> </w:t>
      </w:r>
      <w:r w:rsidR="00FC0783">
        <w:t>See Hellerstein</w:t>
      </w:r>
      <w:r w:rsidR="00B1483D">
        <w:t>, supra fn. 4,</w:t>
      </w:r>
      <w:r w:rsidR="00FC0783">
        <w:t xml:space="preserve"> ¶8.09.</w:t>
      </w:r>
    </w:p>
  </w:footnote>
  <w:footnote w:id="26">
    <w:p w14:paraId="0FFB1C67" w14:textId="76D68BAD" w:rsidR="00B54CE0" w:rsidRDefault="00B54CE0">
      <w:pPr>
        <w:pStyle w:val="FootnoteText"/>
      </w:pPr>
      <w:r>
        <w:rPr>
          <w:rStyle w:val="FootnoteReference"/>
        </w:rPr>
        <w:footnoteRef/>
      </w:r>
      <w:r>
        <w:t xml:space="preserve"> See the Project Issue Outline which summarizes various cases on this issue, available here: </w:t>
      </w:r>
      <w:hyperlink r:id="rId8" w:history="1">
        <w:r w:rsidRPr="005A33CE">
          <w:rPr>
            <w:rStyle w:val="Hyperlink"/>
          </w:rPr>
          <w:t>https://www.mtc.gov/uniformity/project-on-state-taxation-of-partnerships/</w:t>
        </w:r>
      </w:hyperlink>
      <w:r>
        <w:t xml:space="preserve">. </w:t>
      </w:r>
    </w:p>
  </w:footnote>
  <w:footnote w:id="27">
    <w:p w14:paraId="581F7994" w14:textId="279A4EA9" w:rsidR="00310FB9" w:rsidRDefault="00310FB9">
      <w:pPr>
        <w:pStyle w:val="FootnoteText"/>
      </w:pPr>
      <w:r>
        <w:rPr>
          <w:rStyle w:val="FootnoteReference"/>
        </w:rPr>
        <w:footnoteRef/>
      </w:r>
      <w:r>
        <w:t xml:space="preserve"> See Hellerstein supra fn. 4, </w:t>
      </w:r>
      <w:r w:rsidR="00A72F38" w:rsidRPr="00A72F38">
        <w:t>¶20.08</w:t>
      </w:r>
      <w:r w:rsidR="00A72F38">
        <w:t xml:space="preserve">. </w:t>
      </w:r>
    </w:p>
  </w:footnote>
  <w:footnote w:id="28">
    <w:p w14:paraId="715DC526" w14:textId="1A2C9F16" w:rsidR="00CE7CBE" w:rsidRDefault="00CE7CBE">
      <w:pPr>
        <w:pStyle w:val="FootnoteText"/>
      </w:pPr>
      <w:r>
        <w:rPr>
          <w:rStyle w:val="FootnoteReference"/>
        </w:rPr>
        <w:footnoteRef/>
      </w:r>
      <w:r>
        <w:t xml:space="preserve"> See the MTC Model Statute for Combined Reporting – Joyce Method, here: </w:t>
      </w:r>
      <w:hyperlink r:id="rId9" w:history="1">
        <w:r w:rsidRPr="00CE7CBE">
          <w:rPr>
            <w:rStyle w:val="Hyperlink"/>
          </w:rPr>
          <w:t>MTC Joyce Model</w:t>
        </w:r>
      </w:hyperlink>
      <w:r>
        <w:t xml:space="preserve">. </w:t>
      </w:r>
    </w:p>
  </w:footnote>
  <w:footnote w:id="29">
    <w:p w14:paraId="26B714C4" w14:textId="3CDFBCC6" w:rsidR="006D0936" w:rsidRDefault="006D0936">
      <w:pPr>
        <w:pStyle w:val="FootnoteText"/>
      </w:pPr>
      <w:r>
        <w:rPr>
          <w:rStyle w:val="FootnoteReference"/>
        </w:rPr>
        <w:footnoteRef/>
      </w:r>
      <w:r>
        <w:t xml:space="preserve"> See the MTC Model Statute for Combined Reporting – Finnigan Method, here: </w:t>
      </w:r>
      <w:hyperlink r:id="rId10" w:history="1">
        <w:r w:rsidRPr="006D0936">
          <w:rPr>
            <w:rStyle w:val="Hyperlink"/>
          </w:rPr>
          <w:t>MTC Finnigan Model</w:t>
        </w:r>
      </w:hyperlink>
      <w:r>
        <w:t xml:space="preserve">. </w:t>
      </w:r>
    </w:p>
  </w:footnote>
  <w:footnote w:id="30">
    <w:p w14:paraId="026DE688" w14:textId="2CA2B4F7" w:rsidR="00C7211A" w:rsidRDefault="00C7211A">
      <w:pPr>
        <w:pStyle w:val="FootnoteText"/>
      </w:pPr>
      <w:r>
        <w:rPr>
          <w:rStyle w:val="FootnoteReference"/>
        </w:rPr>
        <w:footnoteRef/>
      </w:r>
      <w:r>
        <w:t xml:space="preserve"> The treatment of IRC §§ 707(a) and 707(c) transfers is also addressed in the MTC white paper on the sourcing and state tax treatment of guaranteed payments for services, available on the MTC project webpage, here: </w:t>
      </w:r>
      <w:hyperlink r:id="rId11" w:history="1">
        <w:r w:rsidRPr="00B86717">
          <w:rPr>
            <w:rStyle w:val="Hyperlink"/>
          </w:rPr>
          <w:t>MTC Guaranteed Payment White Paper</w:t>
        </w:r>
      </w:hyperlink>
      <w:r>
        <w:t xml:space="preserve">. </w:t>
      </w:r>
    </w:p>
  </w:footnote>
  <w:footnote w:id="31">
    <w:p w14:paraId="2F6C8106" w14:textId="11FD1F92" w:rsidR="006A0418" w:rsidRDefault="006A0418">
      <w:pPr>
        <w:pStyle w:val="FootnoteText"/>
      </w:pPr>
      <w:r>
        <w:rPr>
          <w:rStyle w:val="FootnoteReference"/>
        </w:rPr>
        <w:footnoteRef/>
      </w:r>
      <w:r>
        <w:t xml:space="preserve"> Hellerstein, supra fn. 4, ¶8.07.</w:t>
      </w:r>
    </w:p>
  </w:footnote>
  <w:footnote w:id="32">
    <w:p w14:paraId="1A0753A1" w14:textId="0AE6864C" w:rsidR="00F679FE" w:rsidRDefault="00F679FE">
      <w:pPr>
        <w:pStyle w:val="FootnoteText"/>
      </w:pPr>
      <w:r>
        <w:rPr>
          <w:rStyle w:val="FootnoteReference"/>
        </w:rPr>
        <w:footnoteRef/>
      </w:r>
      <w:r>
        <w:t xml:space="preserve"> But see Y</w:t>
      </w:r>
      <w:r w:rsidRPr="00F679FE">
        <w:t>AM Special Holdings, Inc. v. Commissioner, No. 9122-R, 2019 BL 446234, 2019 WL 6213168 (Minn. Tax Ct. Nov. 12, 2019)</w:t>
      </w:r>
      <w:r>
        <w:t xml:space="preserve">(upheld by the state supreme court, </w:t>
      </w:r>
      <w:r w:rsidRPr="00F679FE">
        <w:t>947 N.W.2d 438 (Minn. 2020)</w:t>
      </w:r>
      <w:r>
        <w:t>) upholding the application of the principle.</w:t>
      </w:r>
    </w:p>
  </w:footnote>
  <w:footnote w:id="33">
    <w:p w14:paraId="507E695C" w14:textId="73DB167C" w:rsidR="009B57D8" w:rsidRDefault="009B57D8">
      <w:pPr>
        <w:pStyle w:val="FootnoteText"/>
      </w:pPr>
      <w:r>
        <w:rPr>
          <w:rStyle w:val="FootnoteReference"/>
        </w:rPr>
        <w:footnoteRef/>
      </w:r>
      <w:r>
        <w:t xml:space="preserve"> </w:t>
      </w:r>
      <w:r w:rsidRPr="009B57D8">
        <w:t>463 U.S. 159, 170 (1983)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D4E"/>
    <w:multiLevelType w:val="hybridMultilevel"/>
    <w:tmpl w:val="47C6056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22D91"/>
    <w:multiLevelType w:val="hybridMultilevel"/>
    <w:tmpl w:val="C93EE4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E590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E6578F"/>
    <w:multiLevelType w:val="hybridMultilevel"/>
    <w:tmpl w:val="D3061BE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75DB4"/>
    <w:multiLevelType w:val="hybridMultilevel"/>
    <w:tmpl w:val="554A7DE4"/>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B449E0"/>
    <w:multiLevelType w:val="hybridMultilevel"/>
    <w:tmpl w:val="C436F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83EA2"/>
    <w:multiLevelType w:val="hybridMultilevel"/>
    <w:tmpl w:val="BA36527A"/>
    <w:lvl w:ilvl="0" w:tplc="0409000B">
      <w:start w:val="1"/>
      <w:numFmt w:val="bullet"/>
      <w:lvlText w:val=""/>
      <w:lvlJc w:val="left"/>
      <w:pPr>
        <w:ind w:left="-864"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576" w:hanging="360"/>
      </w:pPr>
      <w:rPr>
        <w:rFonts w:ascii="Wingdings" w:hAnsi="Wingdings" w:hint="default"/>
      </w:rPr>
    </w:lvl>
    <w:lvl w:ilvl="3" w:tplc="04090001" w:tentative="1">
      <w:start w:val="1"/>
      <w:numFmt w:val="bullet"/>
      <w:lvlText w:val=""/>
      <w:lvlJc w:val="left"/>
      <w:pPr>
        <w:ind w:left="1296" w:hanging="360"/>
      </w:pPr>
      <w:rPr>
        <w:rFonts w:ascii="Symbol" w:hAnsi="Symbol" w:hint="default"/>
      </w:rPr>
    </w:lvl>
    <w:lvl w:ilvl="4" w:tplc="04090003" w:tentative="1">
      <w:start w:val="1"/>
      <w:numFmt w:val="bullet"/>
      <w:lvlText w:val="o"/>
      <w:lvlJc w:val="left"/>
      <w:pPr>
        <w:ind w:left="2016" w:hanging="360"/>
      </w:pPr>
      <w:rPr>
        <w:rFonts w:ascii="Courier New" w:hAnsi="Courier New" w:cs="Courier New" w:hint="default"/>
      </w:rPr>
    </w:lvl>
    <w:lvl w:ilvl="5" w:tplc="04090005" w:tentative="1">
      <w:start w:val="1"/>
      <w:numFmt w:val="bullet"/>
      <w:lvlText w:val=""/>
      <w:lvlJc w:val="left"/>
      <w:pPr>
        <w:ind w:left="2736" w:hanging="360"/>
      </w:pPr>
      <w:rPr>
        <w:rFonts w:ascii="Wingdings" w:hAnsi="Wingdings" w:hint="default"/>
      </w:rPr>
    </w:lvl>
    <w:lvl w:ilvl="6" w:tplc="04090001" w:tentative="1">
      <w:start w:val="1"/>
      <w:numFmt w:val="bullet"/>
      <w:lvlText w:val=""/>
      <w:lvlJc w:val="left"/>
      <w:pPr>
        <w:ind w:left="3456" w:hanging="360"/>
      </w:pPr>
      <w:rPr>
        <w:rFonts w:ascii="Symbol" w:hAnsi="Symbol" w:hint="default"/>
      </w:rPr>
    </w:lvl>
    <w:lvl w:ilvl="7" w:tplc="04090003" w:tentative="1">
      <w:start w:val="1"/>
      <w:numFmt w:val="bullet"/>
      <w:lvlText w:val="o"/>
      <w:lvlJc w:val="left"/>
      <w:pPr>
        <w:ind w:left="4176" w:hanging="360"/>
      </w:pPr>
      <w:rPr>
        <w:rFonts w:ascii="Courier New" w:hAnsi="Courier New" w:cs="Courier New" w:hint="default"/>
      </w:rPr>
    </w:lvl>
    <w:lvl w:ilvl="8" w:tplc="04090005" w:tentative="1">
      <w:start w:val="1"/>
      <w:numFmt w:val="bullet"/>
      <w:lvlText w:val=""/>
      <w:lvlJc w:val="left"/>
      <w:pPr>
        <w:ind w:left="4896" w:hanging="360"/>
      </w:pPr>
      <w:rPr>
        <w:rFonts w:ascii="Wingdings" w:hAnsi="Wingdings" w:hint="default"/>
      </w:rPr>
    </w:lvl>
  </w:abstractNum>
  <w:abstractNum w:abstractNumId="8" w15:restartNumberingAfterBreak="0">
    <w:nsid w:val="10651A8E"/>
    <w:multiLevelType w:val="hybridMultilevel"/>
    <w:tmpl w:val="526ECBE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306C2D"/>
    <w:multiLevelType w:val="hybridMultilevel"/>
    <w:tmpl w:val="EB6AC2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32F1E"/>
    <w:multiLevelType w:val="hybridMultilevel"/>
    <w:tmpl w:val="4F6EC7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646DA6"/>
    <w:multiLevelType w:val="hybridMultilevel"/>
    <w:tmpl w:val="C41A9EC0"/>
    <w:lvl w:ilvl="0" w:tplc="FFFFFFFF">
      <w:start w:val="1"/>
      <w:numFmt w:val="decimal"/>
      <w:lvlText w:val="%1."/>
      <w:lvlJc w:val="left"/>
      <w:pPr>
        <w:ind w:left="72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2A2B8D"/>
    <w:multiLevelType w:val="hybridMultilevel"/>
    <w:tmpl w:val="85660CA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15:restartNumberingAfterBreak="0">
    <w:nsid w:val="24285581"/>
    <w:multiLevelType w:val="hybridMultilevel"/>
    <w:tmpl w:val="73CC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8" w15:restartNumberingAfterBreak="0">
    <w:nsid w:val="25E03FC3"/>
    <w:multiLevelType w:val="hybridMultilevel"/>
    <w:tmpl w:val="73587436"/>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7F10372"/>
    <w:multiLevelType w:val="hybridMultilevel"/>
    <w:tmpl w:val="F60E36E6"/>
    <w:lvl w:ilvl="0" w:tplc="BD946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242150"/>
    <w:multiLevelType w:val="hybridMultilevel"/>
    <w:tmpl w:val="A52AAB14"/>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266D1C"/>
    <w:multiLevelType w:val="hybridMultilevel"/>
    <w:tmpl w:val="7822166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0E623E9"/>
    <w:multiLevelType w:val="hybridMultilevel"/>
    <w:tmpl w:val="F5E02B84"/>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86B2C79"/>
    <w:multiLevelType w:val="hybridMultilevel"/>
    <w:tmpl w:val="187A8512"/>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DF6EE9"/>
    <w:multiLevelType w:val="hybridMultilevel"/>
    <w:tmpl w:val="A178266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961952"/>
    <w:multiLevelType w:val="hybridMultilevel"/>
    <w:tmpl w:val="FD86C4A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49C4E42"/>
    <w:multiLevelType w:val="hybridMultilevel"/>
    <w:tmpl w:val="903CD272"/>
    <w:lvl w:ilvl="0" w:tplc="2EE2D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8303A0"/>
    <w:multiLevelType w:val="hybridMultilevel"/>
    <w:tmpl w:val="A3AEF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83305C3"/>
    <w:multiLevelType w:val="hybridMultilevel"/>
    <w:tmpl w:val="524207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E70960"/>
    <w:multiLevelType w:val="hybridMultilevel"/>
    <w:tmpl w:val="0B3A0BE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A0D16AF"/>
    <w:multiLevelType w:val="hybridMultilevel"/>
    <w:tmpl w:val="1196E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0F5C37"/>
    <w:multiLevelType w:val="hybridMultilevel"/>
    <w:tmpl w:val="277C4C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2F35FA"/>
    <w:multiLevelType w:val="hybridMultilevel"/>
    <w:tmpl w:val="313A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BB723D"/>
    <w:multiLevelType w:val="hybridMultilevel"/>
    <w:tmpl w:val="A12221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4A74B33"/>
    <w:multiLevelType w:val="hybridMultilevel"/>
    <w:tmpl w:val="D694A4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786694"/>
    <w:multiLevelType w:val="hybridMultilevel"/>
    <w:tmpl w:val="888AA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C725A26"/>
    <w:multiLevelType w:val="hybridMultilevel"/>
    <w:tmpl w:val="ED2C73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FB312F7"/>
    <w:multiLevelType w:val="multilevel"/>
    <w:tmpl w:val="B5E6D6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13E539A"/>
    <w:multiLevelType w:val="hybridMultilevel"/>
    <w:tmpl w:val="93F0D9F4"/>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8" w15:restartNumberingAfterBreak="0">
    <w:nsid w:val="648D4BD2"/>
    <w:multiLevelType w:val="hybridMultilevel"/>
    <w:tmpl w:val="5B0E97E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8F8376E"/>
    <w:multiLevelType w:val="hybridMultilevel"/>
    <w:tmpl w:val="871E01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3" w15:restartNumberingAfterBreak="0">
    <w:nsid w:val="6B53302E"/>
    <w:multiLevelType w:val="hybridMultilevel"/>
    <w:tmpl w:val="508A2332"/>
    <w:lvl w:ilvl="0" w:tplc="FFFFFFFF">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4" w15:restartNumberingAfterBreak="0">
    <w:nsid w:val="6E2006FE"/>
    <w:multiLevelType w:val="hybridMultilevel"/>
    <w:tmpl w:val="B84CF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391EF3"/>
    <w:multiLevelType w:val="hybridMultilevel"/>
    <w:tmpl w:val="FF168F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3997CAC"/>
    <w:multiLevelType w:val="hybridMultilevel"/>
    <w:tmpl w:val="60425CAE"/>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59" w15:restartNumberingAfterBreak="0">
    <w:nsid w:val="77537713"/>
    <w:multiLevelType w:val="hybridMultilevel"/>
    <w:tmpl w:val="537893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5465AE"/>
    <w:multiLevelType w:val="hybridMultilevel"/>
    <w:tmpl w:val="B3E29176"/>
    <w:lvl w:ilvl="0" w:tplc="F060447C">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AB4113D"/>
    <w:multiLevelType w:val="hybridMultilevel"/>
    <w:tmpl w:val="9E7803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AF7480"/>
    <w:multiLevelType w:val="multilevel"/>
    <w:tmpl w:val="2834C8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720" w:hanging="360"/>
      </w:pPr>
    </w:lvl>
    <w:lvl w:ilvl="3">
      <w:start w:val="1"/>
      <w:numFmt w:val="decimal"/>
      <w:lvlText w:val="%4."/>
      <w:lvlJc w:val="lef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E931937"/>
    <w:multiLevelType w:val="hybridMultilevel"/>
    <w:tmpl w:val="F646620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FB51E11"/>
    <w:multiLevelType w:val="hybridMultilevel"/>
    <w:tmpl w:val="0BB4722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860697">
    <w:abstractNumId w:val="49"/>
  </w:num>
  <w:num w:numId="2" w16cid:durableId="1849641117">
    <w:abstractNumId w:val="9"/>
  </w:num>
  <w:num w:numId="3" w16cid:durableId="1754886514">
    <w:abstractNumId w:val="3"/>
  </w:num>
  <w:num w:numId="4" w16cid:durableId="1458837325">
    <w:abstractNumId w:val="59"/>
  </w:num>
  <w:num w:numId="5" w16cid:durableId="833495068">
    <w:abstractNumId w:val="11"/>
  </w:num>
  <w:num w:numId="6" w16cid:durableId="517231557">
    <w:abstractNumId w:val="43"/>
  </w:num>
  <w:num w:numId="7" w16cid:durableId="1285771579">
    <w:abstractNumId w:val="7"/>
  </w:num>
  <w:num w:numId="8" w16cid:durableId="616183594">
    <w:abstractNumId w:val="10"/>
  </w:num>
  <w:num w:numId="9" w16cid:durableId="866455624">
    <w:abstractNumId w:val="33"/>
  </w:num>
  <w:num w:numId="10" w16cid:durableId="1398825289">
    <w:abstractNumId w:val="1"/>
  </w:num>
  <w:num w:numId="11" w16cid:durableId="1802379110">
    <w:abstractNumId w:val="16"/>
  </w:num>
  <w:num w:numId="12" w16cid:durableId="2039624785">
    <w:abstractNumId w:val="30"/>
  </w:num>
  <w:num w:numId="13" w16cid:durableId="27872888">
    <w:abstractNumId w:val="8"/>
  </w:num>
  <w:num w:numId="14" w16cid:durableId="504638448">
    <w:abstractNumId w:val="22"/>
  </w:num>
  <w:num w:numId="15" w16cid:durableId="1801260629">
    <w:abstractNumId w:val="25"/>
  </w:num>
  <w:num w:numId="16" w16cid:durableId="998339279">
    <w:abstractNumId w:val="20"/>
  </w:num>
  <w:num w:numId="17" w16cid:durableId="1256286252">
    <w:abstractNumId w:val="18"/>
  </w:num>
  <w:num w:numId="18" w16cid:durableId="366295317">
    <w:abstractNumId w:val="0"/>
  </w:num>
  <w:num w:numId="19" w16cid:durableId="344484342">
    <w:abstractNumId w:val="46"/>
  </w:num>
  <w:num w:numId="20" w16cid:durableId="925572380">
    <w:abstractNumId w:val="13"/>
  </w:num>
  <w:num w:numId="21" w16cid:durableId="1127816770">
    <w:abstractNumId w:val="31"/>
  </w:num>
  <w:num w:numId="22" w16cid:durableId="961419198">
    <w:abstractNumId w:val="42"/>
  </w:num>
  <w:num w:numId="23" w16cid:durableId="178935710">
    <w:abstractNumId w:val="2"/>
  </w:num>
  <w:num w:numId="24" w16cid:durableId="630985520">
    <w:abstractNumId w:val="58"/>
  </w:num>
  <w:num w:numId="25" w16cid:durableId="704986074">
    <w:abstractNumId w:val="45"/>
  </w:num>
  <w:num w:numId="26" w16cid:durableId="26566075">
    <w:abstractNumId w:val="21"/>
  </w:num>
  <w:num w:numId="27" w16cid:durableId="1567258844">
    <w:abstractNumId w:val="12"/>
  </w:num>
  <w:num w:numId="28" w16cid:durableId="600072087">
    <w:abstractNumId w:val="57"/>
  </w:num>
  <w:num w:numId="29" w16cid:durableId="1449591553">
    <w:abstractNumId w:val="39"/>
  </w:num>
  <w:num w:numId="30" w16cid:durableId="1235357627">
    <w:abstractNumId w:val="28"/>
  </w:num>
  <w:num w:numId="31" w16cid:durableId="1694919222">
    <w:abstractNumId w:val="24"/>
  </w:num>
  <w:num w:numId="32" w16cid:durableId="2010281247">
    <w:abstractNumId w:val="50"/>
  </w:num>
  <w:num w:numId="33" w16cid:durableId="105806763">
    <w:abstractNumId w:val="34"/>
  </w:num>
  <w:num w:numId="34" w16cid:durableId="2000770785">
    <w:abstractNumId w:val="15"/>
  </w:num>
  <w:num w:numId="35" w16cid:durableId="546380070">
    <w:abstractNumId w:val="52"/>
  </w:num>
  <w:num w:numId="36" w16cid:durableId="1311053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6020803">
    <w:abstractNumId w:val="17"/>
  </w:num>
  <w:num w:numId="38" w16cid:durableId="1195580334">
    <w:abstractNumId w:val="29"/>
  </w:num>
  <w:num w:numId="39" w16cid:durableId="2057318">
    <w:abstractNumId w:val="60"/>
  </w:num>
  <w:num w:numId="40" w16cid:durableId="1862935229">
    <w:abstractNumId w:val="19"/>
  </w:num>
  <w:num w:numId="41" w16cid:durableId="1540244096">
    <w:abstractNumId w:val="23"/>
  </w:num>
  <w:num w:numId="42" w16cid:durableId="281347680">
    <w:abstractNumId w:val="61"/>
  </w:num>
  <w:num w:numId="43" w16cid:durableId="603342103">
    <w:abstractNumId w:val="36"/>
  </w:num>
  <w:num w:numId="44" w16cid:durableId="1397821896">
    <w:abstractNumId w:val="32"/>
  </w:num>
  <w:num w:numId="45" w16cid:durableId="786196682">
    <w:abstractNumId w:val="51"/>
  </w:num>
  <w:num w:numId="46" w16cid:durableId="731393730">
    <w:abstractNumId w:val="56"/>
  </w:num>
  <w:num w:numId="47" w16cid:durableId="262763040">
    <w:abstractNumId w:val="55"/>
  </w:num>
  <w:num w:numId="48" w16cid:durableId="874348332">
    <w:abstractNumId w:val="6"/>
  </w:num>
  <w:num w:numId="49" w16cid:durableId="676686947">
    <w:abstractNumId w:val="44"/>
  </w:num>
  <w:num w:numId="50" w16cid:durableId="846553616">
    <w:abstractNumId w:val="35"/>
  </w:num>
  <w:num w:numId="51" w16cid:durableId="1644891546">
    <w:abstractNumId w:val="62"/>
  </w:num>
  <w:num w:numId="52" w16cid:durableId="1549150275">
    <w:abstractNumId w:val="27"/>
  </w:num>
  <w:num w:numId="53" w16cid:durableId="417214707">
    <w:abstractNumId w:val="53"/>
  </w:num>
  <w:num w:numId="54" w16cid:durableId="1960065118">
    <w:abstractNumId w:val="48"/>
  </w:num>
  <w:num w:numId="55" w16cid:durableId="1942109342">
    <w:abstractNumId w:val="14"/>
  </w:num>
  <w:num w:numId="56" w16cid:durableId="1583830327">
    <w:abstractNumId w:val="40"/>
  </w:num>
  <w:num w:numId="57" w16cid:durableId="1834173904">
    <w:abstractNumId w:val="63"/>
  </w:num>
  <w:num w:numId="58" w16cid:durableId="1711539149">
    <w:abstractNumId w:val="4"/>
  </w:num>
  <w:num w:numId="59" w16cid:durableId="1918436977">
    <w:abstractNumId w:val="26"/>
  </w:num>
  <w:num w:numId="60" w16cid:durableId="1531643481">
    <w:abstractNumId w:val="41"/>
  </w:num>
  <w:num w:numId="61" w16cid:durableId="1711344238">
    <w:abstractNumId w:val="38"/>
  </w:num>
  <w:num w:numId="62" w16cid:durableId="1502240133">
    <w:abstractNumId w:val="64"/>
  </w:num>
  <w:num w:numId="63" w16cid:durableId="970474074">
    <w:abstractNumId w:val="37"/>
  </w:num>
  <w:num w:numId="64" w16cid:durableId="400567039">
    <w:abstractNumId w:val="5"/>
  </w:num>
  <w:num w:numId="65" w16cid:durableId="1856651367">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1"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0D1"/>
    <w:rsid w:val="00000E15"/>
    <w:rsid w:val="000010D5"/>
    <w:rsid w:val="000013DD"/>
    <w:rsid w:val="00001A51"/>
    <w:rsid w:val="00001CF4"/>
    <w:rsid w:val="000020C2"/>
    <w:rsid w:val="000024B3"/>
    <w:rsid w:val="000027BC"/>
    <w:rsid w:val="00002AB9"/>
    <w:rsid w:val="00003044"/>
    <w:rsid w:val="000043CC"/>
    <w:rsid w:val="0000446D"/>
    <w:rsid w:val="00004FD5"/>
    <w:rsid w:val="00005232"/>
    <w:rsid w:val="0000568C"/>
    <w:rsid w:val="00005AF9"/>
    <w:rsid w:val="00005FE9"/>
    <w:rsid w:val="000062C5"/>
    <w:rsid w:val="00006ABC"/>
    <w:rsid w:val="00006C05"/>
    <w:rsid w:val="00007075"/>
    <w:rsid w:val="000070E0"/>
    <w:rsid w:val="0001069C"/>
    <w:rsid w:val="00010846"/>
    <w:rsid w:val="00010A26"/>
    <w:rsid w:val="00010DB8"/>
    <w:rsid w:val="00011180"/>
    <w:rsid w:val="000113EF"/>
    <w:rsid w:val="00011516"/>
    <w:rsid w:val="000117B6"/>
    <w:rsid w:val="000119D1"/>
    <w:rsid w:val="00011B2A"/>
    <w:rsid w:val="00011C4A"/>
    <w:rsid w:val="00011E07"/>
    <w:rsid w:val="00012158"/>
    <w:rsid w:val="0001290A"/>
    <w:rsid w:val="000129F1"/>
    <w:rsid w:val="00013068"/>
    <w:rsid w:val="000130C6"/>
    <w:rsid w:val="000134CF"/>
    <w:rsid w:val="000143F4"/>
    <w:rsid w:val="00014F49"/>
    <w:rsid w:val="00014FA0"/>
    <w:rsid w:val="0001542B"/>
    <w:rsid w:val="000154DE"/>
    <w:rsid w:val="0001559E"/>
    <w:rsid w:val="00015CA0"/>
    <w:rsid w:val="00015D62"/>
    <w:rsid w:val="00015EAE"/>
    <w:rsid w:val="000163B4"/>
    <w:rsid w:val="00016592"/>
    <w:rsid w:val="000169A8"/>
    <w:rsid w:val="0001715E"/>
    <w:rsid w:val="000179D8"/>
    <w:rsid w:val="00017F62"/>
    <w:rsid w:val="00017F7E"/>
    <w:rsid w:val="0002097E"/>
    <w:rsid w:val="0002099B"/>
    <w:rsid w:val="00020CAB"/>
    <w:rsid w:val="00020CEA"/>
    <w:rsid w:val="000211CB"/>
    <w:rsid w:val="00021538"/>
    <w:rsid w:val="000215BF"/>
    <w:rsid w:val="00021908"/>
    <w:rsid w:val="000220D5"/>
    <w:rsid w:val="0002222D"/>
    <w:rsid w:val="000228EA"/>
    <w:rsid w:val="00022A83"/>
    <w:rsid w:val="0002306C"/>
    <w:rsid w:val="000235BE"/>
    <w:rsid w:val="00023D0C"/>
    <w:rsid w:val="00023F13"/>
    <w:rsid w:val="000242F1"/>
    <w:rsid w:val="000245DB"/>
    <w:rsid w:val="0002598C"/>
    <w:rsid w:val="00025F65"/>
    <w:rsid w:val="00026101"/>
    <w:rsid w:val="00026214"/>
    <w:rsid w:val="00026BD4"/>
    <w:rsid w:val="000275CC"/>
    <w:rsid w:val="00027665"/>
    <w:rsid w:val="00027DA2"/>
    <w:rsid w:val="00030244"/>
    <w:rsid w:val="0003084F"/>
    <w:rsid w:val="00030EEA"/>
    <w:rsid w:val="00030FF1"/>
    <w:rsid w:val="00031076"/>
    <w:rsid w:val="00031185"/>
    <w:rsid w:val="000315D9"/>
    <w:rsid w:val="00032473"/>
    <w:rsid w:val="00032477"/>
    <w:rsid w:val="000331A0"/>
    <w:rsid w:val="000333C5"/>
    <w:rsid w:val="00033B8B"/>
    <w:rsid w:val="0003499B"/>
    <w:rsid w:val="00035227"/>
    <w:rsid w:val="000359A0"/>
    <w:rsid w:val="000369D0"/>
    <w:rsid w:val="000369E1"/>
    <w:rsid w:val="00036C63"/>
    <w:rsid w:val="00036D40"/>
    <w:rsid w:val="00037BD0"/>
    <w:rsid w:val="00037C31"/>
    <w:rsid w:val="00037CB4"/>
    <w:rsid w:val="00037E20"/>
    <w:rsid w:val="0004029B"/>
    <w:rsid w:val="00040B38"/>
    <w:rsid w:val="00040E86"/>
    <w:rsid w:val="000411D9"/>
    <w:rsid w:val="00041C23"/>
    <w:rsid w:val="0004222E"/>
    <w:rsid w:val="000423D2"/>
    <w:rsid w:val="00043084"/>
    <w:rsid w:val="0004314D"/>
    <w:rsid w:val="00043443"/>
    <w:rsid w:val="00043B9B"/>
    <w:rsid w:val="00043E02"/>
    <w:rsid w:val="00044139"/>
    <w:rsid w:val="00044B50"/>
    <w:rsid w:val="00044D5A"/>
    <w:rsid w:val="00045442"/>
    <w:rsid w:val="000458AD"/>
    <w:rsid w:val="00045C75"/>
    <w:rsid w:val="0004621A"/>
    <w:rsid w:val="000466A5"/>
    <w:rsid w:val="0004722A"/>
    <w:rsid w:val="00047488"/>
    <w:rsid w:val="000477BB"/>
    <w:rsid w:val="00047C4A"/>
    <w:rsid w:val="00050111"/>
    <w:rsid w:val="0005070E"/>
    <w:rsid w:val="000509AA"/>
    <w:rsid w:val="00050B65"/>
    <w:rsid w:val="00050C67"/>
    <w:rsid w:val="00051020"/>
    <w:rsid w:val="00051089"/>
    <w:rsid w:val="000510F2"/>
    <w:rsid w:val="000518F3"/>
    <w:rsid w:val="00051922"/>
    <w:rsid w:val="00051998"/>
    <w:rsid w:val="00052128"/>
    <w:rsid w:val="00052664"/>
    <w:rsid w:val="000534E3"/>
    <w:rsid w:val="00053A19"/>
    <w:rsid w:val="00053B4B"/>
    <w:rsid w:val="000540B7"/>
    <w:rsid w:val="00054169"/>
    <w:rsid w:val="0005427A"/>
    <w:rsid w:val="00054B4A"/>
    <w:rsid w:val="00054BB2"/>
    <w:rsid w:val="00054D39"/>
    <w:rsid w:val="00054DAB"/>
    <w:rsid w:val="00054EE9"/>
    <w:rsid w:val="00054F0C"/>
    <w:rsid w:val="00055455"/>
    <w:rsid w:val="0005547E"/>
    <w:rsid w:val="0005558C"/>
    <w:rsid w:val="00055A7F"/>
    <w:rsid w:val="00055D42"/>
    <w:rsid w:val="00056207"/>
    <w:rsid w:val="00056242"/>
    <w:rsid w:val="000577C0"/>
    <w:rsid w:val="00060CD7"/>
    <w:rsid w:val="00060EB5"/>
    <w:rsid w:val="00061394"/>
    <w:rsid w:val="00061793"/>
    <w:rsid w:val="0006193B"/>
    <w:rsid w:val="00061B7F"/>
    <w:rsid w:val="00061CC1"/>
    <w:rsid w:val="00061EA3"/>
    <w:rsid w:val="000620AA"/>
    <w:rsid w:val="0006259D"/>
    <w:rsid w:val="00062878"/>
    <w:rsid w:val="0006320F"/>
    <w:rsid w:val="000633BF"/>
    <w:rsid w:val="0006371D"/>
    <w:rsid w:val="0006381F"/>
    <w:rsid w:val="00064165"/>
    <w:rsid w:val="000648F0"/>
    <w:rsid w:val="00064992"/>
    <w:rsid w:val="00064A66"/>
    <w:rsid w:val="00064C60"/>
    <w:rsid w:val="000650B0"/>
    <w:rsid w:val="0006523C"/>
    <w:rsid w:val="0006537E"/>
    <w:rsid w:val="000658A2"/>
    <w:rsid w:val="00066E26"/>
    <w:rsid w:val="000672D1"/>
    <w:rsid w:val="0006735E"/>
    <w:rsid w:val="0006746F"/>
    <w:rsid w:val="00067783"/>
    <w:rsid w:val="00067B8A"/>
    <w:rsid w:val="00067F5D"/>
    <w:rsid w:val="000701EA"/>
    <w:rsid w:val="00070341"/>
    <w:rsid w:val="0007087D"/>
    <w:rsid w:val="00070EAB"/>
    <w:rsid w:val="00071B00"/>
    <w:rsid w:val="00071D76"/>
    <w:rsid w:val="0007222F"/>
    <w:rsid w:val="00072234"/>
    <w:rsid w:val="00072367"/>
    <w:rsid w:val="00072ED4"/>
    <w:rsid w:val="00073262"/>
    <w:rsid w:val="00073731"/>
    <w:rsid w:val="00073898"/>
    <w:rsid w:val="000739A3"/>
    <w:rsid w:val="00073AB8"/>
    <w:rsid w:val="0007409D"/>
    <w:rsid w:val="00074553"/>
    <w:rsid w:val="00074D79"/>
    <w:rsid w:val="00075201"/>
    <w:rsid w:val="0007532E"/>
    <w:rsid w:val="0007645E"/>
    <w:rsid w:val="00077019"/>
    <w:rsid w:val="0007704F"/>
    <w:rsid w:val="000771C6"/>
    <w:rsid w:val="000778F2"/>
    <w:rsid w:val="000779C6"/>
    <w:rsid w:val="00077A40"/>
    <w:rsid w:val="00077E52"/>
    <w:rsid w:val="00080585"/>
    <w:rsid w:val="000805B1"/>
    <w:rsid w:val="00080A52"/>
    <w:rsid w:val="00080B43"/>
    <w:rsid w:val="00080F57"/>
    <w:rsid w:val="00081CEC"/>
    <w:rsid w:val="00081FE7"/>
    <w:rsid w:val="00082097"/>
    <w:rsid w:val="00082136"/>
    <w:rsid w:val="000829C5"/>
    <w:rsid w:val="0008312F"/>
    <w:rsid w:val="000831CA"/>
    <w:rsid w:val="0008344D"/>
    <w:rsid w:val="0008399F"/>
    <w:rsid w:val="00083E99"/>
    <w:rsid w:val="0008401F"/>
    <w:rsid w:val="00084513"/>
    <w:rsid w:val="0008478D"/>
    <w:rsid w:val="0008493B"/>
    <w:rsid w:val="000850C4"/>
    <w:rsid w:val="00085288"/>
    <w:rsid w:val="0008552C"/>
    <w:rsid w:val="00085F80"/>
    <w:rsid w:val="0008611F"/>
    <w:rsid w:val="0008658A"/>
    <w:rsid w:val="0008663E"/>
    <w:rsid w:val="00086E74"/>
    <w:rsid w:val="000876DE"/>
    <w:rsid w:val="00087A1F"/>
    <w:rsid w:val="00087D47"/>
    <w:rsid w:val="00087FAB"/>
    <w:rsid w:val="0009081B"/>
    <w:rsid w:val="00090834"/>
    <w:rsid w:val="00090A4C"/>
    <w:rsid w:val="00090A5F"/>
    <w:rsid w:val="00090B48"/>
    <w:rsid w:val="0009107A"/>
    <w:rsid w:val="0009164C"/>
    <w:rsid w:val="0009237B"/>
    <w:rsid w:val="00092423"/>
    <w:rsid w:val="00092861"/>
    <w:rsid w:val="00092BB5"/>
    <w:rsid w:val="00092C7A"/>
    <w:rsid w:val="00092E8D"/>
    <w:rsid w:val="00093EC5"/>
    <w:rsid w:val="0009473C"/>
    <w:rsid w:val="00094E4B"/>
    <w:rsid w:val="00094F12"/>
    <w:rsid w:val="0009523B"/>
    <w:rsid w:val="000952DC"/>
    <w:rsid w:val="000953D6"/>
    <w:rsid w:val="0009601A"/>
    <w:rsid w:val="0009604E"/>
    <w:rsid w:val="00096080"/>
    <w:rsid w:val="00096B0A"/>
    <w:rsid w:val="00096BD7"/>
    <w:rsid w:val="0009769C"/>
    <w:rsid w:val="00097A0B"/>
    <w:rsid w:val="00097E23"/>
    <w:rsid w:val="000A0096"/>
    <w:rsid w:val="000A148D"/>
    <w:rsid w:val="000A14AE"/>
    <w:rsid w:val="000A2267"/>
    <w:rsid w:val="000A2306"/>
    <w:rsid w:val="000A2357"/>
    <w:rsid w:val="000A25F4"/>
    <w:rsid w:val="000A2A20"/>
    <w:rsid w:val="000A2C08"/>
    <w:rsid w:val="000A2DCD"/>
    <w:rsid w:val="000A331F"/>
    <w:rsid w:val="000A35CE"/>
    <w:rsid w:val="000A37C8"/>
    <w:rsid w:val="000A3B30"/>
    <w:rsid w:val="000A3FEE"/>
    <w:rsid w:val="000A4093"/>
    <w:rsid w:val="000A421B"/>
    <w:rsid w:val="000A4A69"/>
    <w:rsid w:val="000A5011"/>
    <w:rsid w:val="000A5A0B"/>
    <w:rsid w:val="000A5A68"/>
    <w:rsid w:val="000A5B94"/>
    <w:rsid w:val="000A5BAB"/>
    <w:rsid w:val="000A5DEB"/>
    <w:rsid w:val="000A616E"/>
    <w:rsid w:val="000A6650"/>
    <w:rsid w:val="000A7447"/>
    <w:rsid w:val="000A76D7"/>
    <w:rsid w:val="000A79D6"/>
    <w:rsid w:val="000B01F8"/>
    <w:rsid w:val="000B021A"/>
    <w:rsid w:val="000B0634"/>
    <w:rsid w:val="000B0720"/>
    <w:rsid w:val="000B078B"/>
    <w:rsid w:val="000B07EC"/>
    <w:rsid w:val="000B0E89"/>
    <w:rsid w:val="000B10D0"/>
    <w:rsid w:val="000B1348"/>
    <w:rsid w:val="000B1CF4"/>
    <w:rsid w:val="000B1CFA"/>
    <w:rsid w:val="000B1E70"/>
    <w:rsid w:val="000B20C4"/>
    <w:rsid w:val="000B22E8"/>
    <w:rsid w:val="000B244B"/>
    <w:rsid w:val="000B2C44"/>
    <w:rsid w:val="000B34E5"/>
    <w:rsid w:val="000B3AAC"/>
    <w:rsid w:val="000B3B92"/>
    <w:rsid w:val="000B3E7F"/>
    <w:rsid w:val="000B3EDC"/>
    <w:rsid w:val="000B4244"/>
    <w:rsid w:val="000B4A85"/>
    <w:rsid w:val="000B4EAB"/>
    <w:rsid w:val="000B5367"/>
    <w:rsid w:val="000B5652"/>
    <w:rsid w:val="000B56E8"/>
    <w:rsid w:val="000B5B16"/>
    <w:rsid w:val="000B6136"/>
    <w:rsid w:val="000B645B"/>
    <w:rsid w:val="000B6E23"/>
    <w:rsid w:val="000B7884"/>
    <w:rsid w:val="000B7D52"/>
    <w:rsid w:val="000C014D"/>
    <w:rsid w:val="000C06B1"/>
    <w:rsid w:val="000C0B05"/>
    <w:rsid w:val="000C10ED"/>
    <w:rsid w:val="000C17B7"/>
    <w:rsid w:val="000C1A3F"/>
    <w:rsid w:val="000C2328"/>
    <w:rsid w:val="000C265E"/>
    <w:rsid w:val="000C2C07"/>
    <w:rsid w:val="000C2CCD"/>
    <w:rsid w:val="000C2E1D"/>
    <w:rsid w:val="000C31CD"/>
    <w:rsid w:val="000C328B"/>
    <w:rsid w:val="000C3EC0"/>
    <w:rsid w:val="000C421E"/>
    <w:rsid w:val="000C5808"/>
    <w:rsid w:val="000C5BDA"/>
    <w:rsid w:val="000C5EE4"/>
    <w:rsid w:val="000C6420"/>
    <w:rsid w:val="000C7037"/>
    <w:rsid w:val="000C70BB"/>
    <w:rsid w:val="000C70E7"/>
    <w:rsid w:val="000C74AA"/>
    <w:rsid w:val="000C7E11"/>
    <w:rsid w:val="000D0797"/>
    <w:rsid w:val="000D1277"/>
    <w:rsid w:val="000D12E5"/>
    <w:rsid w:val="000D13D1"/>
    <w:rsid w:val="000D1FD5"/>
    <w:rsid w:val="000D237E"/>
    <w:rsid w:val="000D243A"/>
    <w:rsid w:val="000D2B9F"/>
    <w:rsid w:val="000D333E"/>
    <w:rsid w:val="000D356A"/>
    <w:rsid w:val="000D35B8"/>
    <w:rsid w:val="000D3F56"/>
    <w:rsid w:val="000D3FEC"/>
    <w:rsid w:val="000D411D"/>
    <w:rsid w:val="000D41A1"/>
    <w:rsid w:val="000D46C1"/>
    <w:rsid w:val="000D492B"/>
    <w:rsid w:val="000D50D2"/>
    <w:rsid w:val="000D57A1"/>
    <w:rsid w:val="000D5870"/>
    <w:rsid w:val="000D599C"/>
    <w:rsid w:val="000D7167"/>
    <w:rsid w:val="000D7243"/>
    <w:rsid w:val="000D757A"/>
    <w:rsid w:val="000D75F2"/>
    <w:rsid w:val="000D7708"/>
    <w:rsid w:val="000E02D9"/>
    <w:rsid w:val="000E076F"/>
    <w:rsid w:val="000E098C"/>
    <w:rsid w:val="000E0BCD"/>
    <w:rsid w:val="000E0DA1"/>
    <w:rsid w:val="000E1517"/>
    <w:rsid w:val="000E160A"/>
    <w:rsid w:val="000E1822"/>
    <w:rsid w:val="000E1C20"/>
    <w:rsid w:val="000E1E36"/>
    <w:rsid w:val="000E203C"/>
    <w:rsid w:val="000E26AF"/>
    <w:rsid w:val="000E2B39"/>
    <w:rsid w:val="000E2CA4"/>
    <w:rsid w:val="000E387B"/>
    <w:rsid w:val="000E3A3E"/>
    <w:rsid w:val="000E52BE"/>
    <w:rsid w:val="000E53F6"/>
    <w:rsid w:val="000E5625"/>
    <w:rsid w:val="000E5E4D"/>
    <w:rsid w:val="000E5EF9"/>
    <w:rsid w:val="000E6DBF"/>
    <w:rsid w:val="000E731C"/>
    <w:rsid w:val="000E7443"/>
    <w:rsid w:val="000E7878"/>
    <w:rsid w:val="000F0148"/>
    <w:rsid w:val="000F022D"/>
    <w:rsid w:val="000F06F4"/>
    <w:rsid w:val="000F08D9"/>
    <w:rsid w:val="000F0B81"/>
    <w:rsid w:val="000F0BC0"/>
    <w:rsid w:val="000F13B9"/>
    <w:rsid w:val="000F15F2"/>
    <w:rsid w:val="000F18F1"/>
    <w:rsid w:val="000F1C5C"/>
    <w:rsid w:val="000F1D6B"/>
    <w:rsid w:val="000F1E03"/>
    <w:rsid w:val="000F2AEB"/>
    <w:rsid w:val="000F3A2D"/>
    <w:rsid w:val="000F3B39"/>
    <w:rsid w:val="000F3DE2"/>
    <w:rsid w:val="000F3FA5"/>
    <w:rsid w:val="000F3FDA"/>
    <w:rsid w:val="000F59EC"/>
    <w:rsid w:val="000F6379"/>
    <w:rsid w:val="000F64E5"/>
    <w:rsid w:val="000F66E3"/>
    <w:rsid w:val="000F693F"/>
    <w:rsid w:val="000F75B7"/>
    <w:rsid w:val="000F7616"/>
    <w:rsid w:val="000F78F5"/>
    <w:rsid w:val="000F7F2B"/>
    <w:rsid w:val="00102213"/>
    <w:rsid w:val="0010241B"/>
    <w:rsid w:val="0010270B"/>
    <w:rsid w:val="0010296B"/>
    <w:rsid w:val="00102F02"/>
    <w:rsid w:val="00103A47"/>
    <w:rsid w:val="00104299"/>
    <w:rsid w:val="0010448A"/>
    <w:rsid w:val="00105169"/>
    <w:rsid w:val="00105258"/>
    <w:rsid w:val="0010571F"/>
    <w:rsid w:val="00105FFC"/>
    <w:rsid w:val="00106051"/>
    <w:rsid w:val="00106685"/>
    <w:rsid w:val="0010678B"/>
    <w:rsid w:val="001067B7"/>
    <w:rsid w:val="00106B06"/>
    <w:rsid w:val="00107AC0"/>
    <w:rsid w:val="00110ED1"/>
    <w:rsid w:val="001114C9"/>
    <w:rsid w:val="00112560"/>
    <w:rsid w:val="001125FD"/>
    <w:rsid w:val="00113408"/>
    <w:rsid w:val="0011355A"/>
    <w:rsid w:val="0011378E"/>
    <w:rsid w:val="00113D59"/>
    <w:rsid w:val="00113F82"/>
    <w:rsid w:val="0011454E"/>
    <w:rsid w:val="00114F25"/>
    <w:rsid w:val="0011525D"/>
    <w:rsid w:val="001153F6"/>
    <w:rsid w:val="001157BC"/>
    <w:rsid w:val="00115DFE"/>
    <w:rsid w:val="00115EA7"/>
    <w:rsid w:val="001162A6"/>
    <w:rsid w:val="00116381"/>
    <w:rsid w:val="00116CEB"/>
    <w:rsid w:val="00117040"/>
    <w:rsid w:val="00117319"/>
    <w:rsid w:val="001174E9"/>
    <w:rsid w:val="001200EA"/>
    <w:rsid w:val="0012059D"/>
    <w:rsid w:val="00120A2A"/>
    <w:rsid w:val="00120A52"/>
    <w:rsid w:val="00120BD2"/>
    <w:rsid w:val="00120DCC"/>
    <w:rsid w:val="00120DEF"/>
    <w:rsid w:val="00120F46"/>
    <w:rsid w:val="001213EB"/>
    <w:rsid w:val="0012159A"/>
    <w:rsid w:val="001217DB"/>
    <w:rsid w:val="00121870"/>
    <w:rsid w:val="001218DC"/>
    <w:rsid w:val="00122154"/>
    <w:rsid w:val="0012260B"/>
    <w:rsid w:val="00122928"/>
    <w:rsid w:val="00122BE6"/>
    <w:rsid w:val="00122CAE"/>
    <w:rsid w:val="00122E68"/>
    <w:rsid w:val="00123467"/>
    <w:rsid w:val="00123C6D"/>
    <w:rsid w:val="00123ECE"/>
    <w:rsid w:val="001241E3"/>
    <w:rsid w:val="001242CE"/>
    <w:rsid w:val="00124F46"/>
    <w:rsid w:val="001257D0"/>
    <w:rsid w:val="0012597E"/>
    <w:rsid w:val="00125B20"/>
    <w:rsid w:val="00125B22"/>
    <w:rsid w:val="00126364"/>
    <w:rsid w:val="0012662B"/>
    <w:rsid w:val="001274BD"/>
    <w:rsid w:val="00127713"/>
    <w:rsid w:val="0012777C"/>
    <w:rsid w:val="00127B5B"/>
    <w:rsid w:val="00130081"/>
    <w:rsid w:val="0013008E"/>
    <w:rsid w:val="00130208"/>
    <w:rsid w:val="00130224"/>
    <w:rsid w:val="00130386"/>
    <w:rsid w:val="0013044A"/>
    <w:rsid w:val="00130A45"/>
    <w:rsid w:val="00130C41"/>
    <w:rsid w:val="00130D0C"/>
    <w:rsid w:val="00131A8B"/>
    <w:rsid w:val="00132040"/>
    <w:rsid w:val="00132315"/>
    <w:rsid w:val="00132531"/>
    <w:rsid w:val="00132584"/>
    <w:rsid w:val="00132C16"/>
    <w:rsid w:val="00133267"/>
    <w:rsid w:val="00133447"/>
    <w:rsid w:val="00133775"/>
    <w:rsid w:val="0013378B"/>
    <w:rsid w:val="001337B3"/>
    <w:rsid w:val="00133A87"/>
    <w:rsid w:val="0013471B"/>
    <w:rsid w:val="0013502C"/>
    <w:rsid w:val="001350A6"/>
    <w:rsid w:val="001351F0"/>
    <w:rsid w:val="001354A4"/>
    <w:rsid w:val="001354BC"/>
    <w:rsid w:val="00135760"/>
    <w:rsid w:val="00135F24"/>
    <w:rsid w:val="0013675C"/>
    <w:rsid w:val="0013691B"/>
    <w:rsid w:val="00136F83"/>
    <w:rsid w:val="00137318"/>
    <w:rsid w:val="00137591"/>
    <w:rsid w:val="00137D36"/>
    <w:rsid w:val="00137D90"/>
    <w:rsid w:val="0014031B"/>
    <w:rsid w:val="0014075C"/>
    <w:rsid w:val="00140BD1"/>
    <w:rsid w:val="00140EF2"/>
    <w:rsid w:val="001411ED"/>
    <w:rsid w:val="001413DB"/>
    <w:rsid w:val="00141A18"/>
    <w:rsid w:val="00141BB5"/>
    <w:rsid w:val="00141BB9"/>
    <w:rsid w:val="001428BA"/>
    <w:rsid w:val="00142B22"/>
    <w:rsid w:val="00142BB8"/>
    <w:rsid w:val="00142FD4"/>
    <w:rsid w:val="001430BF"/>
    <w:rsid w:val="0014317D"/>
    <w:rsid w:val="00143C71"/>
    <w:rsid w:val="00143D46"/>
    <w:rsid w:val="001440AB"/>
    <w:rsid w:val="00144257"/>
    <w:rsid w:val="0014476B"/>
    <w:rsid w:val="00144A97"/>
    <w:rsid w:val="00145CD9"/>
    <w:rsid w:val="00146C06"/>
    <w:rsid w:val="00146C4D"/>
    <w:rsid w:val="00146CAE"/>
    <w:rsid w:val="00146D3A"/>
    <w:rsid w:val="00146D6A"/>
    <w:rsid w:val="00147BFF"/>
    <w:rsid w:val="0015055E"/>
    <w:rsid w:val="00150978"/>
    <w:rsid w:val="00150A09"/>
    <w:rsid w:val="00150DA7"/>
    <w:rsid w:val="00150EDB"/>
    <w:rsid w:val="00151170"/>
    <w:rsid w:val="001512C8"/>
    <w:rsid w:val="00152761"/>
    <w:rsid w:val="00152D2A"/>
    <w:rsid w:val="0015314B"/>
    <w:rsid w:val="00153FC0"/>
    <w:rsid w:val="00154135"/>
    <w:rsid w:val="00154AF5"/>
    <w:rsid w:val="00154EC1"/>
    <w:rsid w:val="0015520E"/>
    <w:rsid w:val="00155BED"/>
    <w:rsid w:val="00155F02"/>
    <w:rsid w:val="00155F98"/>
    <w:rsid w:val="0015639A"/>
    <w:rsid w:val="001564FE"/>
    <w:rsid w:val="0015666E"/>
    <w:rsid w:val="00156825"/>
    <w:rsid w:val="001568F1"/>
    <w:rsid w:val="00157023"/>
    <w:rsid w:val="00157707"/>
    <w:rsid w:val="001579A9"/>
    <w:rsid w:val="0016073C"/>
    <w:rsid w:val="00160A0E"/>
    <w:rsid w:val="00161EC5"/>
    <w:rsid w:val="00162057"/>
    <w:rsid w:val="00162313"/>
    <w:rsid w:val="00162609"/>
    <w:rsid w:val="00162B92"/>
    <w:rsid w:val="0016318A"/>
    <w:rsid w:val="0016320F"/>
    <w:rsid w:val="00163D88"/>
    <w:rsid w:val="00163EC0"/>
    <w:rsid w:val="00164059"/>
    <w:rsid w:val="001644B1"/>
    <w:rsid w:val="00164B72"/>
    <w:rsid w:val="00164BF5"/>
    <w:rsid w:val="00164E85"/>
    <w:rsid w:val="00164EDE"/>
    <w:rsid w:val="0016511A"/>
    <w:rsid w:val="001652B2"/>
    <w:rsid w:val="0016537D"/>
    <w:rsid w:val="00165DAB"/>
    <w:rsid w:val="00165E73"/>
    <w:rsid w:val="00166104"/>
    <w:rsid w:val="00166570"/>
    <w:rsid w:val="001668E0"/>
    <w:rsid w:val="001669CF"/>
    <w:rsid w:val="0016742C"/>
    <w:rsid w:val="00167A11"/>
    <w:rsid w:val="00167C5C"/>
    <w:rsid w:val="001705D5"/>
    <w:rsid w:val="00170748"/>
    <w:rsid w:val="001707B2"/>
    <w:rsid w:val="0017087C"/>
    <w:rsid w:val="00170E03"/>
    <w:rsid w:val="001713FF"/>
    <w:rsid w:val="00171E43"/>
    <w:rsid w:val="0017218E"/>
    <w:rsid w:val="001721E6"/>
    <w:rsid w:val="00172E10"/>
    <w:rsid w:val="00172E49"/>
    <w:rsid w:val="00172F69"/>
    <w:rsid w:val="001733CE"/>
    <w:rsid w:val="001735A9"/>
    <w:rsid w:val="001735D3"/>
    <w:rsid w:val="001736B8"/>
    <w:rsid w:val="00173C56"/>
    <w:rsid w:val="00173E56"/>
    <w:rsid w:val="00174BD1"/>
    <w:rsid w:val="00174ED0"/>
    <w:rsid w:val="00174FA8"/>
    <w:rsid w:val="00175474"/>
    <w:rsid w:val="001759DA"/>
    <w:rsid w:val="00176146"/>
    <w:rsid w:val="00176B52"/>
    <w:rsid w:val="00176C28"/>
    <w:rsid w:val="00177AA8"/>
    <w:rsid w:val="00177AD5"/>
    <w:rsid w:val="00177EE2"/>
    <w:rsid w:val="001819E8"/>
    <w:rsid w:val="00181C5A"/>
    <w:rsid w:val="00183785"/>
    <w:rsid w:val="00183D41"/>
    <w:rsid w:val="00184874"/>
    <w:rsid w:val="00184D79"/>
    <w:rsid w:val="00185A41"/>
    <w:rsid w:val="00185B09"/>
    <w:rsid w:val="00185F51"/>
    <w:rsid w:val="00186166"/>
    <w:rsid w:val="00186211"/>
    <w:rsid w:val="001868DA"/>
    <w:rsid w:val="001871C7"/>
    <w:rsid w:val="00187CD5"/>
    <w:rsid w:val="00187DF9"/>
    <w:rsid w:val="00190352"/>
    <w:rsid w:val="00190881"/>
    <w:rsid w:val="00190948"/>
    <w:rsid w:val="00191781"/>
    <w:rsid w:val="00191EBB"/>
    <w:rsid w:val="0019370A"/>
    <w:rsid w:val="00193EC3"/>
    <w:rsid w:val="00194507"/>
    <w:rsid w:val="00194D72"/>
    <w:rsid w:val="00194E35"/>
    <w:rsid w:val="0019545B"/>
    <w:rsid w:val="001957BA"/>
    <w:rsid w:val="00195BA8"/>
    <w:rsid w:val="00195E11"/>
    <w:rsid w:val="00195E57"/>
    <w:rsid w:val="001962D4"/>
    <w:rsid w:val="00196366"/>
    <w:rsid w:val="0019637D"/>
    <w:rsid w:val="0019675B"/>
    <w:rsid w:val="00196A5F"/>
    <w:rsid w:val="00196F22"/>
    <w:rsid w:val="00197024"/>
    <w:rsid w:val="001979A5"/>
    <w:rsid w:val="00197EA3"/>
    <w:rsid w:val="001A0262"/>
    <w:rsid w:val="001A02A7"/>
    <w:rsid w:val="001A058A"/>
    <w:rsid w:val="001A0828"/>
    <w:rsid w:val="001A098E"/>
    <w:rsid w:val="001A0A1C"/>
    <w:rsid w:val="001A10B3"/>
    <w:rsid w:val="001A14C7"/>
    <w:rsid w:val="001A1733"/>
    <w:rsid w:val="001A1AAB"/>
    <w:rsid w:val="001A26B4"/>
    <w:rsid w:val="001A298A"/>
    <w:rsid w:val="001A29B6"/>
    <w:rsid w:val="001A31CA"/>
    <w:rsid w:val="001A34EB"/>
    <w:rsid w:val="001A3CC1"/>
    <w:rsid w:val="001A3CD0"/>
    <w:rsid w:val="001A3F1E"/>
    <w:rsid w:val="001A3F2D"/>
    <w:rsid w:val="001A4166"/>
    <w:rsid w:val="001A420C"/>
    <w:rsid w:val="001A4322"/>
    <w:rsid w:val="001A43AF"/>
    <w:rsid w:val="001A4436"/>
    <w:rsid w:val="001A56F3"/>
    <w:rsid w:val="001A64CC"/>
    <w:rsid w:val="001A70E4"/>
    <w:rsid w:val="001A7379"/>
    <w:rsid w:val="001A787B"/>
    <w:rsid w:val="001A7F09"/>
    <w:rsid w:val="001B06B0"/>
    <w:rsid w:val="001B08EA"/>
    <w:rsid w:val="001B0AA7"/>
    <w:rsid w:val="001B1B43"/>
    <w:rsid w:val="001B1F6A"/>
    <w:rsid w:val="001B22E9"/>
    <w:rsid w:val="001B27D2"/>
    <w:rsid w:val="001B2BEE"/>
    <w:rsid w:val="001B2D6E"/>
    <w:rsid w:val="001B3046"/>
    <w:rsid w:val="001B310E"/>
    <w:rsid w:val="001B3BBA"/>
    <w:rsid w:val="001B46BA"/>
    <w:rsid w:val="001B4D24"/>
    <w:rsid w:val="001B4E38"/>
    <w:rsid w:val="001B55BA"/>
    <w:rsid w:val="001B5C4A"/>
    <w:rsid w:val="001B68E1"/>
    <w:rsid w:val="001B69EC"/>
    <w:rsid w:val="001B6F00"/>
    <w:rsid w:val="001B7E4F"/>
    <w:rsid w:val="001B7F7E"/>
    <w:rsid w:val="001C01DD"/>
    <w:rsid w:val="001C0880"/>
    <w:rsid w:val="001C08C8"/>
    <w:rsid w:val="001C0ECE"/>
    <w:rsid w:val="001C0F6A"/>
    <w:rsid w:val="001C1895"/>
    <w:rsid w:val="001C1DA0"/>
    <w:rsid w:val="001C1E34"/>
    <w:rsid w:val="001C2AB3"/>
    <w:rsid w:val="001C2B4E"/>
    <w:rsid w:val="001C2EE2"/>
    <w:rsid w:val="001C305E"/>
    <w:rsid w:val="001C3756"/>
    <w:rsid w:val="001C44C5"/>
    <w:rsid w:val="001C5010"/>
    <w:rsid w:val="001C556D"/>
    <w:rsid w:val="001C5AB1"/>
    <w:rsid w:val="001C5C48"/>
    <w:rsid w:val="001C5D32"/>
    <w:rsid w:val="001C5E08"/>
    <w:rsid w:val="001C5E7B"/>
    <w:rsid w:val="001C6681"/>
    <w:rsid w:val="001C6B00"/>
    <w:rsid w:val="001C6C78"/>
    <w:rsid w:val="001C7449"/>
    <w:rsid w:val="001C79EC"/>
    <w:rsid w:val="001C7A3C"/>
    <w:rsid w:val="001C7CEF"/>
    <w:rsid w:val="001C7FB1"/>
    <w:rsid w:val="001D03C0"/>
    <w:rsid w:val="001D09FA"/>
    <w:rsid w:val="001D0EFF"/>
    <w:rsid w:val="001D111C"/>
    <w:rsid w:val="001D26B9"/>
    <w:rsid w:val="001D2EA8"/>
    <w:rsid w:val="001D338C"/>
    <w:rsid w:val="001D3AF4"/>
    <w:rsid w:val="001D3BD0"/>
    <w:rsid w:val="001D3C3D"/>
    <w:rsid w:val="001D3E9B"/>
    <w:rsid w:val="001D42B6"/>
    <w:rsid w:val="001D4729"/>
    <w:rsid w:val="001D49E9"/>
    <w:rsid w:val="001D4B0C"/>
    <w:rsid w:val="001D4F9F"/>
    <w:rsid w:val="001D51B0"/>
    <w:rsid w:val="001D5225"/>
    <w:rsid w:val="001D551A"/>
    <w:rsid w:val="001D5890"/>
    <w:rsid w:val="001D5D18"/>
    <w:rsid w:val="001D6072"/>
    <w:rsid w:val="001D6422"/>
    <w:rsid w:val="001D66D0"/>
    <w:rsid w:val="001D6AF5"/>
    <w:rsid w:val="001D6DFF"/>
    <w:rsid w:val="001D7D94"/>
    <w:rsid w:val="001D7F3E"/>
    <w:rsid w:val="001E034D"/>
    <w:rsid w:val="001E0939"/>
    <w:rsid w:val="001E09DF"/>
    <w:rsid w:val="001E0E8D"/>
    <w:rsid w:val="001E1306"/>
    <w:rsid w:val="001E1B27"/>
    <w:rsid w:val="001E1DED"/>
    <w:rsid w:val="001E25C4"/>
    <w:rsid w:val="001E260A"/>
    <w:rsid w:val="001E2801"/>
    <w:rsid w:val="001E2D94"/>
    <w:rsid w:val="001E3046"/>
    <w:rsid w:val="001E3570"/>
    <w:rsid w:val="001E36D2"/>
    <w:rsid w:val="001E4458"/>
    <w:rsid w:val="001E48BA"/>
    <w:rsid w:val="001E4994"/>
    <w:rsid w:val="001E4F4B"/>
    <w:rsid w:val="001E530E"/>
    <w:rsid w:val="001E5755"/>
    <w:rsid w:val="001E5890"/>
    <w:rsid w:val="001E5DD6"/>
    <w:rsid w:val="001E5F21"/>
    <w:rsid w:val="001E6323"/>
    <w:rsid w:val="001E65FE"/>
    <w:rsid w:val="001E6936"/>
    <w:rsid w:val="001E6BF5"/>
    <w:rsid w:val="001E6E3C"/>
    <w:rsid w:val="001E7AFF"/>
    <w:rsid w:val="001E7E47"/>
    <w:rsid w:val="001F0C79"/>
    <w:rsid w:val="001F0E32"/>
    <w:rsid w:val="001F166B"/>
    <w:rsid w:val="001F1812"/>
    <w:rsid w:val="001F18DB"/>
    <w:rsid w:val="001F1CA8"/>
    <w:rsid w:val="001F2341"/>
    <w:rsid w:val="001F2517"/>
    <w:rsid w:val="001F2930"/>
    <w:rsid w:val="001F2B27"/>
    <w:rsid w:val="001F369F"/>
    <w:rsid w:val="001F39B4"/>
    <w:rsid w:val="001F3EAD"/>
    <w:rsid w:val="001F437E"/>
    <w:rsid w:val="001F45F2"/>
    <w:rsid w:val="001F481A"/>
    <w:rsid w:val="001F48C8"/>
    <w:rsid w:val="001F4919"/>
    <w:rsid w:val="001F4CAB"/>
    <w:rsid w:val="001F5537"/>
    <w:rsid w:val="001F645E"/>
    <w:rsid w:val="001F6E5B"/>
    <w:rsid w:val="001F72F2"/>
    <w:rsid w:val="001F792B"/>
    <w:rsid w:val="001F7B0B"/>
    <w:rsid w:val="001F7B25"/>
    <w:rsid w:val="0020044B"/>
    <w:rsid w:val="0020062E"/>
    <w:rsid w:val="00200FC9"/>
    <w:rsid w:val="002011C2"/>
    <w:rsid w:val="002026A7"/>
    <w:rsid w:val="002026DE"/>
    <w:rsid w:val="00202842"/>
    <w:rsid w:val="00202845"/>
    <w:rsid w:val="0020360F"/>
    <w:rsid w:val="00203611"/>
    <w:rsid w:val="00203847"/>
    <w:rsid w:val="00204367"/>
    <w:rsid w:val="00204499"/>
    <w:rsid w:val="0020493C"/>
    <w:rsid w:val="002052DC"/>
    <w:rsid w:val="00205BAD"/>
    <w:rsid w:val="00205BC9"/>
    <w:rsid w:val="00206207"/>
    <w:rsid w:val="00206906"/>
    <w:rsid w:val="00206C2F"/>
    <w:rsid w:val="00206FD3"/>
    <w:rsid w:val="002070EA"/>
    <w:rsid w:val="0020792D"/>
    <w:rsid w:val="00207D8D"/>
    <w:rsid w:val="0021043B"/>
    <w:rsid w:val="00210929"/>
    <w:rsid w:val="00210C15"/>
    <w:rsid w:val="00210C6C"/>
    <w:rsid w:val="002111BF"/>
    <w:rsid w:val="00211B0D"/>
    <w:rsid w:val="0021202E"/>
    <w:rsid w:val="00212034"/>
    <w:rsid w:val="002122CB"/>
    <w:rsid w:val="00212343"/>
    <w:rsid w:val="002124E4"/>
    <w:rsid w:val="00212962"/>
    <w:rsid w:val="002129DA"/>
    <w:rsid w:val="00212B07"/>
    <w:rsid w:val="002134B4"/>
    <w:rsid w:val="00213C3B"/>
    <w:rsid w:val="0021403C"/>
    <w:rsid w:val="002141AC"/>
    <w:rsid w:val="00214909"/>
    <w:rsid w:val="002149DA"/>
    <w:rsid w:val="00214E93"/>
    <w:rsid w:val="00214FB5"/>
    <w:rsid w:val="00215398"/>
    <w:rsid w:val="00216079"/>
    <w:rsid w:val="0021684E"/>
    <w:rsid w:val="0021687F"/>
    <w:rsid w:val="0021708F"/>
    <w:rsid w:val="00217866"/>
    <w:rsid w:val="00220781"/>
    <w:rsid w:val="00220AE4"/>
    <w:rsid w:val="00221381"/>
    <w:rsid w:val="002218DB"/>
    <w:rsid w:val="002219A3"/>
    <w:rsid w:val="00222407"/>
    <w:rsid w:val="00222893"/>
    <w:rsid w:val="00222C83"/>
    <w:rsid w:val="00223575"/>
    <w:rsid w:val="002240D7"/>
    <w:rsid w:val="002242CE"/>
    <w:rsid w:val="0022463B"/>
    <w:rsid w:val="00224AA1"/>
    <w:rsid w:val="00224FC2"/>
    <w:rsid w:val="0022562E"/>
    <w:rsid w:val="002258E6"/>
    <w:rsid w:val="00225C49"/>
    <w:rsid w:val="00225E49"/>
    <w:rsid w:val="00225FF6"/>
    <w:rsid w:val="00226217"/>
    <w:rsid w:val="00227065"/>
    <w:rsid w:val="002272E8"/>
    <w:rsid w:val="002275BD"/>
    <w:rsid w:val="00227EB1"/>
    <w:rsid w:val="002301A0"/>
    <w:rsid w:val="00230288"/>
    <w:rsid w:val="00230506"/>
    <w:rsid w:val="00230517"/>
    <w:rsid w:val="00230A1F"/>
    <w:rsid w:val="00230A85"/>
    <w:rsid w:val="00230C63"/>
    <w:rsid w:val="00230E43"/>
    <w:rsid w:val="00231423"/>
    <w:rsid w:val="002320E0"/>
    <w:rsid w:val="00232C40"/>
    <w:rsid w:val="0023319A"/>
    <w:rsid w:val="00233E51"/>
    <w:rsid w:val="002347DB"/>
    <w:rsid w:val="00234D50"/>
    <w:rsid w:val="00236027"/>
    <w:rsid w:val="0023772D"/>
    <w:rsid w:val="00237D3A"/>
    <w:rsid w:val="00240276"/>
    <w:rsid w:val="002402C9"/>
    <w:rsid w:val="00240A41"/>
    <w:rsid w:val="00241A2C"/>
    <w:rsid w:val="00241BE4"/>
    <w:rsid w:val="00242020"/>
    <w:rsid w:val="0024214D"/>
    <w:rsid w:val="00243137"/>
    <w:rsid w:val="0024353A"/>
    <w:rsid w:val="002437A2"/>
    <w:rsid w:val="00243EA4"/>
    <w:rsid w:val="00243F83"/>
    <w:rsid w:val="00244380"/>
    <w:rsid w:val="00244387"/>
    <w:rsid w:val="0024494B"/>
    <w:rsid w:val="00244E14"/>
    <w:rsid w:val="002456A6"/>
    <w:rsid w:val="00246806"/>
    <w:rsid w:val="00246D0C"/>
    <w:rsid w:val="00246E24"/>
    <w:rsid w:val="0024741C"/>
    <w:rsid w:val="00247634"/>
    <w:rsid w:val="002478BE"/>
    <w:rsid w:val="00247AB4"/>
    <w:rsid w:val="00250059"/>
    <w:rsid w:val="00250A86"/>
    <w:rsid w:val="00250FF0"/>
    <w:rsid w:val="0025236D"/>
    <w:rsid w:val="00252F28"/>
    <w:rsid w:val="00252F30"/>
    <w:rsid w:val="00253071"/>
    <w:rsid w:val="00254070"/>
    <w:rsid w:val="0025419A"/>
    <w:rsid w:val="00254E24"/>
    <w:rsid w:val="00255A9B"/>
    <w:rsid w:val="0025666C"/>
    <w:rsid w:val="002566FC"/>
    <w:rsid w:val="00256A45"/>
    <w:rsid w:val="00256BF5"/>
    <w:rsid w:val="002570D6"/>
    <w:rsid w:val="002572B0"/>
    <w:rsid w:val="00257CF7"/>
    <w:rsid w:val="00257F36"/>
    <w:rsid w:val="0026010A"/>
    <w:rsid w:val="002603F7"/>
    <w:rsid w:val="00260BD9"/>
    <w:rsid w:val="00260D8A"/>
    <w:rsid w:val="00260E79"/>
    <w:rsid w:val="00261359"/>
    <w:rsid w:val="00261683"/>
    <w:rsid w:val="00261755"/>
    <w:rsid w:val="00262393"/>
    <w:rsid w:val="002626E1"/>
    <w:rsid w:val="00262DCD"/>
    <w:rsid w:val="00262E5B"/>
    <w:rsid w:val="00262FB8"/>
    <w:rsid w:val="00263859"/>
    <w:rsid w:val="00263950"/>
    <w:rsid w:val="00263F1F"/>
    <w:rsid w:val="002640A3"/>
    <w:rsid w:val="002643F9"/>
    <w:rsid w:val="00264D9F"/>
    <w:rsid w:val="00265432"/>
    <w:rsid w:val="00265DF3"/>
    <w:rsid w:val="002660D7"/>
    <w:rsid w:val="00266264"/>
    <w:rsid w:val="002662A0"/>
    <w:rsid w:val="00266690"/>
    <w:rsid w:val="002666D7"/>
    <w:rsid w:val="00267189"/>
    <w:rsid w:val="00267275"/>
    <w:rsid w:val="0026741B"/>
    <w:rsid w:val="00267548"/>
    <w:rsid w:val="0026755D"/>
    <w:rsid w:val="00267E75"/>
    <w:rsid w:val="00270511"/>
    <w:rsid w:val="00270E08"/>
    <w:rsid w:val="00272190"/>
    <w:rsid w:val="002732D6"/>
    <w:rsid w:val="002733A2"/>
    <w:rsid w:val="0027376A"/>
    <w:rsid w:val="00273C8F"/>
    <w:rsid w:val="00274284"/>
    <w:rsid w:val="00274D8A"/>
    <w:rsid w:val="00274DE4"/>
    <w:rsid w:val="00275D3C"/>
    <w:rsid w:val="002761F4"/>
    <w:rsid w:val="002762BC"/>
    <w:rsid w:val="002763D8"/>
    <w:rsid w:val="00276779"/>
    <w:rsid w:val="0027691F"/>
    <w:rsid w:val="00276A4D"/>
    <w:rsid w:val="00276CA5"/>
    <w:rsid w:val="002773CB"/>
    <w:rsid w:val="00277ED3"/>
    <w:rsid w:val="00280FDF"/>
    <w:rsid w:val="002814AE"/>
    <w:rsid w:val="002819B0"/>
    <w:rsid w:val="00281BCD"/>
    <w:rsid w:val="002824CA"/>
    <w:rsid w:val="00283498"/>
    <w:rsid w:val="002836DA"/>
    <w:rsid w:val="00283D73"/>
    <w:rsid w:val="002840FD"/>
    <w:rsid w:val="00284980"/>
    <w:rsid w:val="0028571F"/>
    <w:rsid w:val="002859C6"/>
    <w:rsid w:val="002860C6"/>
    <w:rsid w:val="00286526"/>
    <w:rsid w:val="00286B1B"/>
    <w:rsid w:val="00287065"/>
    <w:rsid w:val="00287780"/>
    <w:rsid w:val="002879D6"/>
    <w:rsid w:val="002879FB"/>
    <w:rsid w:val="00287FE0"/>
    <w:rsid w:val="00290004"/>
    <w:rsid w:val="002905CB"/>
    <w:rsid w:val="00290612"/>
    <w:rsid w:val="0029088D"/>
    <w:rsid w:val="002910A5"/>
    <w:rsid w:val="00291805"/>
    <w:rsid w:val="00291FEE"/>
    <w:rsid w:val="0029208D"/>
    <w:rsid w:val="00292A8E"/>
    <w:rsid w:val="002932D1"/>
    <w:rsid w:val="00293DF9"/>
    <w:rsid w:val="002947AC"/>
    <w:rsid w:val="00294B7B"/>
    <w:rsid w:val="00295BF6"/>
    <w:rsid w:val="00295DD6"/>
    <w:rsid w:val="00296041"/>
    <w:rsid w:val="00296708"/>
    <w:rsid w:val="00296856"/>
    <w:rsid w:val="002968E8"/>
    <w:rsid w:val="0029703A"/>
    <w:rsid w:val="002972EC"/>
    <w:rsid w:val="00297494"/>
    <w:rsid w:val="00297497"/>
    <w:rsid w:val="002974BD"/>
    <w:rsid w:val="00297662"/>
    <w:rsid w:val="002A0447"/>
    <w:rsid w:val="002A1235"/>
    <w:rsid w:val="002A1397"/>
    <w:rsid w:val="002A1DB5"/>
    <w:rsid w:val="002A2192"/>
    <w:rsid w:val="002A24CD"/>
    <w:rsid w:val="002A2C09"/>
    <w:rsid w:val="002A2C2A"/>
    <w:rsid w:val="002A2C2D"/>
    <w:rsid w:val="002A2D7B"/>
    <w:rsid w:val="002A43D9"/>
    <w:rsid w:val="002A47FE"/>
    <w:rsid w:val="002A4CB3"/>
    <w:rsid w:val="002A4EC9"/>
    <w:rsid w:val="002A5576"/>
    <w:rsid w:val="002A565F"/>
    <w:rsid w:val="002A5E46"/>
    <w:rsid w:val="002A6233"/>
    <w:rsid w:val="002A6341"/>
    <w:rsid w:val="002A6511"/>
    <w:rsid w:val="002A6A52"/>
    <w:rsid w:val="002A7B69"/>
    <w:rsid w:val="002A7BB3"/>
    <w:rsid w:val="002B076E"/>
    <w:rsid w:val="002B0913"/>
    <w:rsid w:val="002B0A99"/>
    <w:rsid w:val="002B0EBD"/>
    <w:rsid w:val="002B11AF"/>
    <w:rsid w:val="002B1A48"/>
    <w:rsid w:val="002B1B0B"/>
    <w:rsid w:val="002B2196"/>
    <w:rsid w:val="002B26E0"/>
    <w:rsid w:val="002B29D0"/>
    <w:rsid w:val="002B352F"/>
    <w:rsid w:val="002B366A"/>
    <w:rsid w:val="002B3D78"/>
    <w:rsid w:val="002B3DB4"/>
    <w:rsid w:val="002B4ADD"/>
    <w:rsid w:val="002B5BDD"/>
    <w:rsid w:val="002B5E02"/>
    <w:rsid w:val="002B6355"/>
    <w:rsid w:val="002B6C46"/>
    <w:rsid w:val="002B7692"/>
    <w:rsid w:val="002B7727"/>
    <w:rsid w:val="002B7780"/>
    <w:rsid w:val="002B78D0"/>
    <w:rsid w:val="002C0A4D"/>
    <w:rsid w:val="002C0D54"/>
    <w:rsid w:val="002C110D"/>
    <w:rsid w:val="002C13CF"/>
    <w:rsid w:val="002C2019"/>
    <w:rsid w:val="002C23B7"/>
    <w:rsid w:val="002C2BD0"/>
    <w:rsid w:val="002C3089"/>
    <w:rsid w:val="002C3276"/>
    <w:rsid w:val="002C366A"/>
    <w:rsid w:val="002C3965"/>
    <w:rsid w:val="002C3C3A"/>
    <w:rsid w:val="002C42B1"/>
    <w:rsid w:val="002C479D"/>
    <w:rsid w:val="002C4B6B"/>
    <w:rsid w:val="002C50A5"/>
    <w:rsid w:val="002C5417"/>
    <w:rsid w:val="002C66E4"/>
    <w:rsid w:val="002C699D"/>
    <w:rsid w:val="002C6E08"/>
    <w:rsid w:val="002C6E09"/>
    <w:rsid w:val="002C7D92"/>
    <w:rsid w:val="002D0F3E"/>
    <w:rsid w:val="002D115E"/>
    <w:rsid w:val="002D1208"/>
    <w:rsid w:val="002D1AB8"/>
    <w:rsid w:val="002D1D6E"/>
    <w:rsid w:val="002D2294"/>
    <w:rsid w:val="002D2686"/>
    <w:rsid w:val="002D3ED7"/>
    <w:rsid w:val="002D471C"/>
    <w:rsid w:val="002D4AD6"/>
    <w:rsid w:val="002D5074"/>
    <w:rsid w:val="002D6DD8"/>
    <w:rsid w:val="002D6EDD"/>
    <w:rsid w:val="002D70BE"/>
    <w:rsid w:val="002D7BD3"/>
    <w:rsid w:val="002D7C6A"/>
    <w:rsid w:val="002D7C7B"/>
    <w:rsid w:val="002E0097"/>
    <w:rsid w:val="002E00AF"/>
    <w:rsid w:val="002E096A"/>
    <w:rsid w:val="002E0A9A"/>
    <w:rsid w:val="002E0B91"/>
    <w:rsid w:val="002E0CDE"/>
    <w:rsid w:val="002E103B"/>
    <w:rsid w:val="002E144A"/>
    <w:rsid w:val="002E2315"/>
    <w:rsid w:val="002E25AB"/>
    <w:rsid w:val="002E285E"/>
    <w:rsid w:val="002E286A"/>
    <w:rsid w:val="002E28B4"/>
    <w:rsid w:val="002E2999"/>
    <w:rsid w:val="002E2C9D"/>
    <w:rsid w:val="002E3A09"/>
    <w:rsid w:val="002E3D02"/>
    <w:rsid w:val="002E4077"/>
    <w:rsid w:val="002E47FC"/>
    <w:rsid w:val="002E4CFC"/>
    <w:rsid w:val="002E58A4"/>
    <w:rsid w:val="002E5DA1"/>
    <w:rsid w:val="002E5FBD"/>
    <w:rsid w:val="002E611F"/>
    <w:rsid w:val="002E657F"/>
    <w:rsid w:val="002E66AD"/>
    <w:rsid w:val="002E68EB"/>
    <w:rsid w:val="002E72B5"/>
    <w:rsid w:val="002E7BB0"/>
    <w:rsid w:val="002F0DF2"/>
    <w:rsid w:val="002F17CE"/>
    <w:rsid w:val="002F17F3"/>
    <w:rsid w:val="002F2E8B"/>
    <w:rsid w:val="002F3294"/>
    <w:rsid w:val="002F32D8"/>
    <w:rsid w:val="002F3B4D"/>
    <w:rsid w:val="002F3EFC"/>
    <w:rsid w:val="002F3F1A"/>
    <w:rsid w:val="002F56DC"/>
    <w:rsid w:val="002F5EF8"/>
    <w:rsid w:val="002F6586"/>
    <w:rsid w:val="002F72A8"/>
    <w:rsid w:val="002F73D8"/>
    <w:rsid w:val="002F7A6A"/>
    <w:rsid w:val="002F7EB4"/>
    <w:rsid w:val="003001D3"/>
    <w:rsid w:val="00300C00"/>
    <w:rsid w:val="0030124D"/>
    <w:rsid w:val="003016AA"/>
    <w:rsid w:val="00301A7A"/>
    <w:rsid w:val="0030229E"/>
    <w:rsid w:val="0030274D"/>
    <w:rsid w:val="00302AEB"/>
    <w:rsid w:val="00302D3C"/>
    <w:rsid w:val="00302E0D"/>
    <w:rsid w:val="003034B0"/>
    <w:rsid w:val="003034F5"/>
    <w:rsid w:val="003039CD"/>
    <w:rsid w:val="003040B2"/>
    <w:rsid w:val="0030450A"/>
    <w:rsid w:val="00304B4C"/>
    <w:rsid w:val="0030526A"/>
    <w:rsid w:val="003052FC"/>
    <w:rsid w:val="003055C4"/>
    <w:rsid w:val="00305A27"/>
    <w:rsid w:val="00305D61"/>
    <w:rsid w:val="00306110"/>
    <w:rsid w:val="00306F71"/>
    <w:rsid w:val="003073B0"/>
    <w:rsid w:val="0030773A"/>
    <w:rsid w:val="00307CF7"/>
    <w:rsid w:val="00307FB2"/>
    <w:rsid w:val="0031022C"/>
    <w:rsid w:val="00310925"/>
    <w:rsid w:val="00310FB9"/>
    <w:rsid w:val="00311A43"/>
    <w:rsid w:val="00311A92"/>
    <w:rsid w:val="00312FA8"/>
    <w:rsid w:val="0031303D"/>
    <w:rsid w:val="00313471"/>
    <w:rsid w:val="0031354C"/>
    <w:rsid w:val="0031364F"/>
    <w:rsid w:val="0031371B"/>
    <w:rsid w:val="00313E5E"/>
    <w:rsid w:val="00313F5F"/>
    <w:rsid w:val="003144D6"/>
    <w:rsid w:val="00315612"/>
    <w:rsid w:val="00315A10"/>
    <w:rsid w:val="00315E6C"/>
    <w:rsid w:val="0031647F"/>
    <w:rsid w:val="0031671D"/>
    <w:rsid w:val="00316847"/>
    <w:rsid w:val="003177FD"/>
    <w:rsid w:val="003179AA"/>
    <w:rsid w:val="00317B2B"/>
    <w:rsid w:val="00317DEE"/>
    <w:rsid w:val="003204F3"/>
    <w:rsid w:val="003211AA"/>
    <w:rsid w:val="0032144B"/>
    <w:rsid w:val="003217EA"/>
    <w:rsid w:val="00321D8B"/>
    <w:rsid w:val="00321DB3"/>
    <w:rsid w:val="003229DA"/>
    <w:rsid w:val="00323128"/>
    <w:rsid w:val="0032327D"/>
    <w:rsid w:val="00323DD4"/>
    <w:rsid w:val="00324369"/>
    <w:rsid w:val="0032441A"/>
    <w:rsid w:val="003251B0"/>
    <w:rsid w:val="003255B4"/>
    <w:rsid w:val="0032645D"/>
    <w:rsid w:val="00326525"/>
    <w:rsid w:val="003268D9"/>
    <w:rsid w:val="00326B7D"/>
    <w:rsid w:val="00326D6F"/>
    <w:rsid w:val="003272AC"/>
    <w:rsid w:val="003272B2"/>
    <w:rsid w:val="003276BD"/>
    <w:rsid w:val="00330101"/>
    <w:rsid w:val="003301BF"/>
    <w:rsid w:val="003310AE"/>
    <w:rsid w:val="00331176"/>
    <w:rsid w:val="00331735"/>
    <w:rsid w:val="0033200C"/>
    <w:rsid w:val="00332AD8"/>
    <w:rsid w:val="003339F1"/>
    <w:rsid w:val="00334065"/>
    <w:rsid w:val="0033492A"/>
    <w:rsid w:val="003352CF"/>
    <w:rsid w:val="0033545F"/>
    <w:rsid w:val="00335A89"/>
    <w:rsid w:val="003363FE"/>
    <w:rsid w:val="00336DEF"/>
    <w:rsid w:val="00336E79"/>
    <w:rsid w:val="00337324"/>
    <w:rsid w:val="0033750A"/>
    <w:rsid w:val="003379A2"/>
    <w:rsid w:val="00337E97"/>
    <w:rsid w:val="00340188"/>
    <w:rsid w:val="003404D1"/>
    <w:rsid w:val="00340C81"/>
    <w:rsid w:val="00340FB5"/>
    <w:rsid w:val="00341148"/>
    <w:rsid w:val="00341227"/>
    <w:rsid w:val="0034191A"/>
    <w:rsid w:val="00341FA8"/>
    <w:rsid w:val="003421A8"/>
    <w:rsid w:val="00342A67"/>
    <w:rsid w:val="00342DE0"/>
    <w:rsid w:val="00343019"/>
    <w:rsid w:val="003430DC"/>
    <w:rsid w:val="003438FD"/>
    <w:rsid w:val="0034393C"/>
    <w:rsid w:val="00343987"/>
    <w:rsid w:val="00343E1A"/>
    <w:rsid w:val="00343F4B"/>
    <w:rsid w:val="00344256"/>
    <w:rsid w:val="003452D9"/>
    <w:rsid w:val="00345403"/>
    <w:rsid w:val="003466AA"/>
    <w:rsid w:val="00346BA5"/>
    <w:rsid w:val="00346BEB"/>
    <w:rsid w:val="00347C27"/>
    <w:rsid w:val="0035038C"/>
    <w:rsid w:val="00350B34"/>
    <w:rsid w:val="003513EF"/>
    <w:rsid w:val="0035167F"/>
    <w:rsid w:val="00351886"/>
    <w:rsid w:val="00352080"/>
    <w:rsid w:val="003521E5"/>
    <w:rsid w:val="003521FB"/>
    <w:rsid w:val="0035239D"/>
    <w:rsid w:val="00352D1C"/>
    <w:rsid w:val="0035305F"/>
    <w:rsid w:val="003535C7"/>
    <w:rsid w:val="00353BCC"/>
    <w:rsid w:val="00353DCE"/>
    <w:rsid w:val="003542CC"/>
    <w:rsid w:val="00354F90"/>
    <w:rsid w:val="003550D2"/>
    <w:rsid w:val="00355DD8"/>
    <w:rsid w:val="00355EBE"/>
    <w:rsid w:val="00356920"/>
    <w:rsid w:val="00356E56"/>
    <w:rsid w:val="00357303"/>
    <w:rsid w:val="0035748E"/>
    <w:rsid w:val="00357A91"/>
    <w:rsid w:val="00357F38"/>
    <w:rsid w:val="00357F60"/>
    <w:rsid w:val="0036056D"/>
    <w:rsid w:val="003617FF"/>
    <w:rsid w:val="00361AA1"/>
    <w:rsid w:val="00361E2E"/>
    <w:rsid w:val="003626C0"/>
    <w:rsid w:val="00362E9F"/>
    <w:rsid w:val="00363000"/>
    <w:rsid w:val="0036456E"/>
    <w:rsid w:val="00364B39"/>
    <w:rsid w:val="00364D04"/>
    <w:rsid w:val="00365886"/>
    <w:rsid w:val="00365A06"/>
    <w:rsid w:val="00365F37"/>
    <w:rsid w:val="0036619B"/>
    <w:rsid w:val="00366422"/>
    <w:rsid w:val="00366563"/>
    <w:rsid w:val="003669C3"/>
    <w:rsid w:val="00366EA3"/>
    <w:rsid w:val="00370282"/>
    <w:rsid w:val="00370DFD"/>
    <w:rsid w:val="00370FC8"/>
    <w:rsid w:val="003712A8"/>
    <w:rsid w:val="003721B8"/>
    <w:rsid w:val="003723A3"/>
    <w:rsid w:val="00372BDD"/>
    <w:rsid w:val="003736FD"/>
    <w:rsid w:val="0037565E"/>
    <w:rsid w:val="00376949"/>
    <w:rsid w:val="00376C53"/>
    <w:rsid w:val="003770F1"/>
    <w:rsid w:val="00377416"/>
    <w:rsid w:val="0038010C"/>
    <w:rsid w:val="00380325"/>
    <w:rsid w:val="003803F5"/>
    <w:rsid w:val="0038056F"/>
    <w:rsid w:val="003805EC"/>
    <w:rsid w:val="003807F1"/>
    <w:rsid w:val="00380BDC"/>
    <w:rsid w:val="00381FCB"/>
    <w:rsid w:val="0038209D"/>
    <w:rsid w:val="00382490"/>
    <w:rsid w:val="00382AC9"/>
    <w:rsid w:val="003830C0"/>
    <w:rsid w:val="00383251"/>
    <w:rsid w:val="00383C18"/>
    <w:rsid w:val="00383C2A"/>
    <w:rsid w:val="00384243"/>
    <w:rsid w:val="00384255"/>
    <w:rsid w:val="00384892"/>
    <w:rsid w:val="003849FE"/>
    <w:rsid w:val="00384BE8"/>
    <w:rsid w:val="00385759"/>
    <w:rsid w:val="00385916"/>
    <w:rsid w:val="00385969"/>
    <w:rsid w:val="00386156"/>
    <w:rsid w:val="003861BA"/>
    <w:rsid w:val="0038664F"/>
    <w:rsid w:val="0038672C"/>
    <w:rsid w:val="00386892"/>
    <w:rsid w:val="00386BCF"/>
    <w:rsid w:val="00386C0F"/>
    <w:rsid w:val="00386D45"/>
    <w:rsid w:val="003871E1"/>
    <w:rsid w:val="00387289"/>
    <w:rsid w:val="003872B0"/>
    <w:rsid w:val="00387CE2"/>
    <w:rsid w:val="003901C1"/>
    <w:rsid w:val="0039028D"/>
    <w:rsid w:val="003907D7"/>
    <w:rsid w:val="003907DE"/>
    <w:rsid w:val="00390F52"/>
    <w:rsid w:val="0039138D"/>
    <w:rsid w:val="0039153E"/>
    <w:rsid w:val="003915FF"/>
    <w:rsid w:val="0039195B"/>
    <w:rsid w:val="00391F7D"/>
    <w:rsid w:val="00391FAF"/>
    <w:rsid w:val="00391FBF"/>
    <w:rsid w:val="00392065"/>
    <w:rsid w:val="00392E65"/>
    <w:rsid w:val="00392ECA"/>
    <w:rsid w:val="00392F3C"/>
    <w:rsid w:val="00393E01"/>
    <w:rsid w:val="00394CDE"/>
    <w:rsid w:val="00395D26"/>
    <w:rsid w:val="00395E69"/>
    <w:rsid w:val="00396174"/>
    <w:rsid w:val="00396237"/>
    <w:rsid w:val="003962E5"/>
    <w:rsid w:val="00396561"/>
    <w:rsid w:val="00396907"/>
    <w:rsid w:val="00396A45"/>
    <w:rsid w:val="00396DBA"/>
    <w:rsid w:val="00396ED4"/>
    <w:rsid w:val="0039763B"/>
    <w:rsid w:val="003A05AD"/>
    <w:rsid w:val="003A07A8"/>
    <w:rsid w:val="003A16E2"/>
    <w:rsid w:val="003A1891"/>
    <w:rsid w:val="003A19B6"/>
    <w:rsid w:val="003A1C2F"/>
    <w:rsid w:val="003A1E36"/>
    <w:rsid w:val="003A2404"/>
    <w:rsid w:val="003A393F"/>
    <w:rsid w:val="003A3A57"/>
    <w:rsid w:val="003A40A3"/>
    <w:rsid w:val="003A4B4E"/>
    <w:rsid w:val="003A5090"/>
    <w:rsid w:val="003A50A1"/>
    <w:rsid w:val="003A56F9"/>
    <w:rsid w:val="003A57D3"/>
    <w:rsid w:val="003A5A8E"/>
    <w:rsid w:val="003A63FD"/>
    <w:rsid w:val="003A69AF"/>
    <w:rsid w:val="003A7CB2"/>
    <w:rsid w:val="003B0040"/>
    <w:rsid w:val="003B02C6"/>
    <w:rsid w:val="003B0A78"/>
    <w:rsid w:val="003B0B95"/>
    <w:rsid w:val="003B0DBA"/>
    <w:rsid w:val="003B108F"/>
    <w:rsid w:val="003B1217"/>
    <w:rsid w:val="003B27D2"/>
    <w:rsid w:val="003B2FB2"/>
    <w:rsid w:val="003B3671"/>
    <w:rsid w:val="003B3B72"/>
    <w:rsid w:val="003B471B"/>
    <w:rsid w:val="003B4748"/>
    <w:rsid w:val="003B4842"/>
    <w:rsid w:val="003B4A1E"/>
    <w:rsid w:val="003B4B42"/>
    <w:rsid w:val="003B4BCF"/>
    <w:rsid w:val="003B4C7D"/>
    <w:rsid w:val="003B4CE3"/>
    <w:rsid w:val="003B5496"/>
    <w:rsid w:val="003B5548"/>
    <w:rsid w:val="003B5A83"/>
    <w:rsid w:val="003B5AE7"/>
    <w:rsid w:val="003B6E08"/>
    <w:rsid w:val="003B7D6B"/>
    <w:rsid w:val="003B7F6C"/>
    <w:rsid w:val="003C008A"/>
    <w:rsid w:val="003C008E"/>
    <w:rsid w:val="003C0426"/>
    <w:rsid w:val="003C043B"/>
    <w:rsid w:val="003C05BF"/>
    <w:rsid w:val="003C1920"/>
    <w:rsid w:val="003C1F7A"/>
    <w:rsid w:val="003C2121"/>
    <w:rsid w:val="003C22C7"/>
    <w:rsid w:val="003C2531"/>
    <w:rsid w:val="003C34E4"/>
    <w:rsid w:val="003C38A8"/>
    <w:rsid w:val="003C3D1F"/>
    <w:rsid w:val="003C3DD3"/>
    <w:rsid w:val="003C3E46"/>
    <w:rsid w:val="003C40A7"/>
    <w:rsid w:val="003C47C9"/>
    <w:rsid w:val="003C4BB5"/>
    <w:rsid w:val="003C5FFB"/>
    <w:rsid w:val="003C624A"/>
    <w:rsid w:val="003C6534"/>
    <w:rsid w:val="003C6841"/>
    <w:rsid w:val="003C702E"/>
    <w:rsid w:val="003C709B"/>
    <w:rsid w:val="003C73CC"/>
    <w:rsid w:val="003C76F7"/>
    <w:rsid w:val="003C7A9A"/>
    <w:rsid w:val="003C7E7A"/>
    <w:rsid w:val="003C7EC9"/>
    <w:rsid w:val="003D10DA"/>
    <w:rsid w:val="003D1682"/>
    <w:rsid w:val="003D182B"/>
    <w:rsid w:val="003D184A"/>
    <w:rsid w:val="003D1A73"/>
    <w:rsid w:val="003D1C4E"/>
    <w:rsid w:val="003D1FF2"/>
    <w:rsid w:val="003D2AAD"/>
    <w:rsid w:val="003D2C43"/>
    <w:rsid w:val="003D2F84"/>
    <w:rsid w:val="003D3167"/>
    <w:rsid w:val="003D3484"/>
    <w:rsid w:val="003D35B6"/>
    <w:rsid w:val="003D35F1"/>
    <w:rsid w:val="003D3901"/>
    <w:rsid w:val="003D3980"/>
    <w:rsid w:val="003D3FE9"/>
    <w:rsid w:val="003D4052"/>
    <w:rsid w:val="003D43E2"/>
    <w:rsid w:val="003D4415"/>
    <w:rsid w:val="003D4A9A"/>
    <w:rsid w:val="003D50A5"/>
    <w:rsid w:val="003D5201"/>
    <w:rsid w:val="003D544C"/>
    <w:rsid w:val="003D5AFE"/>
    <w:rsid w:val="003D5C34"/>
    <w:rsid w:val="003D5D43"/>
    <w:rsid w:val="003D5D9B"/>
    <w:rsid w:val="003D6245"/>
    <w:rsid w:val="003D6384"/>
    <w:rsid w:val="003D658A"/>
    <w:rsid w:val="003D6932"/>
    <w:rsid w:val="003D69C2"/>
    <w:rsid w:val="003D6CBC"/>
    <w:rsid w:val="003D6E30"/>
    <w:rsid w:val="003D73F0"/>
    <w:rsid w:val="003D76AE"/>
    <w:rsid w:val="003D7967"/>
    <w:rsid w:val="003D7ABF"/>
    <w:rsid w:val="003D7E47"/>
    <w:rsid w:val="003E0017"/>
    <w:rsid w:val="003E0EB1"/>
    <w:rsid w:val="003E1312"/>
    <w:rsid w:val="003E13BA"/>
    <w:rsid w:val="003E16A7"/>
    <w:rsid w:val="003E16FB"/>
    <w:rsid w:val="003E1B98"/>
    <w:rsid w:val="003E3DF7"/>
    <w:rsid w:val="003E410D"/>
    <w:rsid w:val="003E452E"/>
    <w:rsid w:val="003E455B"/>
    <w:rsid w:val="003E4843"/>
    <w:rsid w:val="003E4B08"/>
    <w:rsid w:val="003E5212"/>
    <w:rsid w:val="003E58A0"/>
    <w:rsid w:val="003E5C4E"/>
    <w:rsid w:val="003E6273"/>
    <w:rsid w:val="003E6351"/>
    <w:rsid w:val="003E704F"/>
    <w:rsid w:val="003E7148"/>
    <w:rsid w:val="003F08AF"/>
    <w:rsid w:val="003F0A96"/>
    <w:rsid w:val="003F1689"/>
    <w:rsid w:val="003F1733"/>
    <w:rsid w:val="003F1942"/>
    <w:rsid w:val="003F2183"/>
    <w:rsid w:val="003F21ED"/>
    <w:rsid w:val="003F22AF"/>
    <w:rsid w:val="003F2321"/>
    <w:rsid w:val="003F2601"/>
    <w:rsid w:val="003F2633"/>
    <w:rsid w:val="003F3622"/>
    <w:rsid w:val="003F41DD"/>
    <w:rsid w:val="003F4DDF"/>
    <w:rsid w:val="003F514A"/>
    <w:rsid w:val="003F51F0"/>
    <w:rsid w:val="003F6CDE"/>
    <w:rsid w:val="003F7055"/>
    <w:rsid w:val="003F70EC"/>
    <w:rsid w:val="003F7258"/>
    <w:rsid w:val="003F752E"/>
    <w:rsid w:val="003F7C08"/>
    <w:rsid w:val="003F7D81"/>
    <w:rsid w:val="00400148"/>
    <w:rsid w:val="00400AEB"/>
    <w:rsid w:val="00400C17"/>
    <w:rsid w:val="00400E2C"/>
    <w:rsid w:val="00400EC2"/>
    <w:rsid w:val="0040186B"/>
    <w:rsid w:val="004020EF"/>
    <w:rsid w:val="0040235D"/>
    <w:rsid w:val="00402428"/>
    <w:rsid w:val="004024BE"/>
    <w:rsid w:val="00402AF9"/>
    <w:rsid w:val="00402F6A"/>
    <w:rsid w:val="00403807"/>
    <w:rsid w:val="00403999"/>
    <w:rsid w:val="004047E0"/>
    <w:rsid w:val="0040521D"/>
    <w:rsid w:val="00405772"/>
    <w:rsid w:val="00405C83"/>
    <w:rsid w:val="00405FD1"/>
    <w:rsid w:val="004061FF"/>
    <w:rsid w:val="004062CA"/>
    <w:rsid w:val="00406365"/>
    <w:rsid w:val="00406506"/>
    <w:rsid w:val="00406522"/>
    <w:rsid w:val="004072BF"/>
    <w:rsid w:val="0040740D"/>
    <w:rsid w:val="00407A58"/>
    <w:rsid w:val="00407E56"/>
    <w:rsid w:val="0041027B"/>
    <w:rsid w:val="004103EA"/>
    <w:rsid w:val="004108A3"/>
    <w:rsid w:val="00410CB5"/>
    <w:rsid w:val="004118FD"/>
    <w:rsid w:val="004121F1"/>
    <w:rsid w:val="00412E6B"/>
    <w:rsid w:val="0041381A"/>
    <w:rsid w:val="00413992"/>
    <w:rsid w:val="00413A96"/>
    <w:rsid w:val="00413BD7"/>
    <w:rsid w:val="00413E6C"/>
    <w:rsid w:val="004142DE"/>
    <w:rsid w:val="00414F05"/>
    <w:rsid w:val="004154D1"/>
    <w:rsid w:val="00415589"/>
    <w:rsid w:val="00415CEA"/>
    <w:rsid w:val="0041661E"/>
    <w:rsid w:val="004167A0"/>
    <w:rsid w:val="004167E5"/>
    <w:rsid w:val="00416B54"/>
    <w:rsid w:val="00416B73"/>
    <w:rsid w:val="00416BA9"/>
    <w:rsid w:val="0041726C"/>
    <w:rsid w:val="00417A31"/>
    <w:rsid w:val="00417A50"/>
    <w:rsid w:val="0042018F"/>
    <w:rsid w:val="00420CBF"/>
    <w:rsid w:val="004217D0"/>
    <w:rsid w:val="004218EC"/>
    <w:rsid w:val="0042190A"/>
    <w:rsid w:val="0042222F"/>
    <w:rsid w:val="00422412"/>
    <w:rsid w:val="00422CFB"/>
    <w:rsid w:val="00422FA0"/>
    <w:rsid w:val="00423208"/>
    <w:rsid w:val="00423598"/>
    <w:rsid w:val="00423D7B"/>
    <w:rsid w:val="0042429B"/>
    <w:rsid w:val="00424358"/>
    <w:rsid w:val="00424C26"/>
    <w:rsid w:val="00424DF2"/>
    <w:rsid w:val="00425001"/>
    <w:rsid w:val="00425566"/>
    <w:rsid w:val="0042559E"/>
    <w:rsid w:val="00425AA8"/>
    <w:rsid w:val="004263C9"/>
    <w:rsid w:val="0042660E"/>
    <w:rsid w:val="004268F3"/>
    <w:rsid w:val="004269E6"/>
    <w:rsid w:val="004269F6"/>
    <w:rsid w:val="00426C95"/>
    <w:rsid w:val="00426EB0"/>
    <w:rsid w:val="0042701C"/>
    <w:rsid w:val="00427961"/>
    <w:rsid w:val="00427A5B"/>
    <w:rsid w:val="00427B91"/>
    <w:rsid w:val="00430019"/>
    <w:rsid w:val="00430937"/>
    <w:rsid w:val="00430ADB"/>
    <w:rsid w:val="00430CE3"/>
    <w:rsid w:val="004312E5"/>
    <w:rsid w:val="004315B2"/>
    <w:rsid w:val="00431682"/>
    <w:rsid w:val="00431D25"/>
    <w:rsid w:val="00432A61"/>
    <w:rsid w:val="00432A82"/>
    <w:rsid w:val="00432ABB"/>
    <w:rsid w:val="00432CEA"/>
    <w:rsid w:val="00432D49"/>
    <w:rsid w:val="0043328A"/>
    <w:rsid w:val="004332D8"/>
    <w:rsid w:val="00433377"/>
    <w:rsid w:val="00434593"/>
    <w:rsid w:val="00435370"/>
    <w:rsid w:val="00435723"/>
    <w:rsid w:val="004359FF"/>
    <w:rsid w:val="00435DBA"/>
    <w:rsid w:val="004364E7"/>
    <w:rsid w:val="004367DD"/>
    <w:rsid w:val="0043692B"/>
    <w:rsid w:val="00436972"/>
    <w:rsid w:val="004369F0"/>
    <w:rsid w:val="00436DC9"/>
    <w:rsid w:val="00437E85"/>
    <w:rsid w:val="0044076C"/>
    <w:rsid w:val="00440AF9"/>
    <w:rsid w:val="004411F4"/>
    <w:rsid w:val="004420FF"/>
    <w:rsid w:val="004424D1"/>
    <w:rsid w:val="004424D6"/>
    <w:rsid w:val="0044324B"/>
    <w:rsid w:val="004434BA"/>
    <w:rsid w:val="004438B0"/>
    <w:rsid w:val="0044425F"/>
    <w:rsid w:val="0044460B"/>
    <w:rsid w:val="004446A9"/>
    <w:rsid w:val="0044519B"/>
    <w:rsid w:val="0044558C"/>
    <w:rsid w:val="00445B0E"/>
    <w:rsid w:val="004462EE"/>
    <w:rsid w:val="0044634D"/>
    <w:rsid w:val="0044651F"/>
    <w:rsid w:val="00446D41"/>
    <w:rsid w:val="00446F69"/>
    <w:rsid w:val="004473F3"/>
    <w:rsid w:val="004474DC"/>
    <w:rsid w:val="00447EE3"/>
    <w:rsid w:val="00450802"/>
    <w:rsid w:val="00450949"/>
    <w:rsid w:val="0045098D"/>
    <w:rsid w:val="00450D6F"/>
    <w:rsid w:val="00450F6A"/>
    <w:rsid w:val="00450FD5"/>
    <w:rsid w:val="004515F5"/>
    <w:rsid w:val="0045178E"/>
    <w:rsid w:val="004519A5"/>
    <w:rsid w:val="00451C41"/>
    <w:rsid w:val="00451C52"/>
    <w:rsid w:val="00451DFC"/>
    <w:rsid w:val="00451E9A"/>
    <w:rsid w:val="004522DE"/>
    <w:rsid w:val="004524CB"/>
    <w:rsid w:val="0045272A"/>
    <w:rsid w:val="004529BD"/>
    <w:rsid w:val="00452DBD"/>
    <w:rsid w:val="00452EC2"/>
    <w:rsid w:val="00453670"/>
    <w:rsid w:val="004547CC"/>
    <w:rsid w:val="00454B94"/>
    <w:rsid w:val="00454C59"/>
    <w:rsid w:val="00454FBB"/>
    <w:rsid w:val="0045505C"/>
    <w:rsid w:val="0045532D"/>
    <w:rsid w:val="004557FA"/>
    <w:rsid w:val="004558E7"/>
    <w:rsid w:val="0045597F"/>
    <w:rsid w:val="00455ED0"/>
    <w:rsid w:val="0045693F"/>
    <w:rsid w:val="0045694B"/>
    <w:rsid w:val="00456FDF"/>
    <w:rsid w:val="0045706F"/>
    <w:rsid w:val="00457184"/>
    <w:rsid w:val="00457434"/>
    <w:rsid w:val="004575CB"/>
    <w:rsid w:val="00457DEB"/>
    <w:rsid w:val="00457EAB"/>
    <w:rsid w:val="004600F2"/>
    <w:rsid w:val="00460251"/>
    <w:rsid w:val="00460436"/>
    <w:rsid w:val="004608B7"/>
    <w:rsid w:val="00460B21"/>
    <w:rsid w:val="00460C51"/>
    <w:rsid w:val="00460F07"/>
    <w:rsid w:val="00461076"/>
    <w:rsid w:val="00461543"/>
    <w:rsid w:val="00461748"/>
    <w:rsid w:val="004617CD"/>
    <w:rsid w:val="0046229F"/>
    <w:rsid w:val="00462F16"/>
    <w:rsid w:val="00463897"/>
    <w:rsid w:val="00464031"/>
    <w:rsid w:val="00464AC0"/>
    <w:rsid w:val="00464F55"/>
    <w:rsid w:val="00465525"/>
    <w:rsid w:val="00465619"/>
    <w:rsid w:val="00466267"/>
    <w:rsid w:val="0046631C"/>
    <w:rsid w:val="00467683"/>
    <w:rsid w:val="00467AC9"/>
    <w:rsid w:val="00467BDF"/>
    <w:rsid w:val="00467CC1"/>
    <w:rsid w:val="00470352"/>
    <w:rsid w:val="00470604"/>
    <w:rsid w:val="00470B97"/>
    <w:rsid w:val="004710C8"/>
    <w:rsid w:val="004715ED"/>
    <w:rsid w:val="00471899"/>
    <w:rsid w:val="00471E04"/>
    <w:rsid w:val="00472448"/>
    <w:rsid w:val="004729AE"/>
    <w:rsid w:val="00473487"/>
    <w:rsid w:val="00473799"/>
    <w:rsid w:val="00473AFF"/>
    <w:rsid w:val="0047413E"/>
    <w:rsid w:val="00474218"/>
    <w:rsid w:val="00474E65"/>
    <w:rsid w:val="00474F17"/>
    <w:rsid w:val="004751A8"/>
    <w:rsid w:val="00475E85"/>
    <w:rsid w:val="004766A6"/>
    <w:rsid w:val="004768DF"/>
    <w:rsid w:val="00476B6C"/>
    <w:rsid w:val="00477375"/>
    <w:rsid w:val="004778FF"/>
    <w:rsid w:val="00480EA4"/>
    <w:rsid w:val="00480F3C"/>
    <w:rsid w:val="004810B8"/>
    <w:rsid w:val="00481163"/>
    <w:rsid w:val="004812A8"/>
    <w:rsid w:val="00481328"/>
    <w:rsid w:val="00481443"/>
    <w:rsid w:val="00481CA9"/>
    <w:rsid w:val="0048276F"/>
    <w:rsid w:val="00483611"/>
    <w:rsid w:val="004837DE"/>
    <w:rsid w:val="00483AAB"/>
    <w:rsid w:val="004841EE"/>
    <w:rsid w:val="004843D2"/>
    <w:rsid w:val="00484465"/>
    <w:rsid w:val="004849AD"/>
    <w:rsid w:val="00484C73"/>
    <w:rsid w:val="004850FF"/>
    <w:rsid w:val="00485299"/>
    <w:rsid w:val="004854C1"/>
    <w:rsid w:val="00485850"/>
    <w:rsid w:val="00485AF8"/>
    <w:rsid w:val="00485EB0"/>
    <w:rsid w:val="004865A5"/>
    <w:rsid w:val="004867FB"/>
    <w:rsid w:val="00487542"/>
    <w:rsid w:val="004900D4"/>
    <w:rsid w:val="00490569"/>
    <w:rsid w:val="00490592"/>
    <w:rsid w:val="00490A87"/>
    <w:rsid w:val="00490F4F"/>
    <w:rsid w:val="00490FC0"/>
    <w:rsid w:val="0049120C"/>
    <w:rsid w:val="004912E0"/>
    <w:rsid w:val="00491330"/>
    <w:rsid w:val="00491369"/>
    <w:rsid w:val="004913DF"/>
    <w:rsid w:val="00491581"/>
    <w:rsid w:val="0049159A"/>
    <w:rsid w:val="0049197B"/>
    <w:rsid w:val="00492182"/>
    <w:rsid w:val="00492603"/>
    <w:rsid w:val="004934A8"/>
    <w:rsid w:val="00493CDA"/>
    <w:rsid w:val="00493EC3"/>
    <w:rsid w:val="00494419"/>
    <w:rsid w:val="00494C9A"/>
    <w:rsid w:val="00494E24"/>
    <w:rsid w:val="00495086"/>
    <w:rsid w:val="00495745"/>
    <w:rsid w:val="004960CB"/>
    <w:rsid w:val="00496160"/>
    <w:rsid w:val="004963AE"/>
    <w:rsid w:val="004968B5"/>
    <w:rsid w:val="00496F13"/>
    <w:rsid w:val="004971CE"/>
    <w:rsid w:val="00497526"/>
    <w:rsid w:val="00497663"/>
    <w:rsid w:val="00497ED2"/>
    <w:rsid w:val="004A0101"/>
    <w:rsid w:val="004A0158"/>
    <w:rsid w:val="004A08D1"/>
    <w:rsid w:val="004A10C6"/>
    <w:rsid w:val="004A1614"/>
    <w:rsid w:val="004A18BE"/>
    <w:rsid w:val="004A1FE3"/>
    <w:rsid w:val="004A2823"/>
    <w:rsid w:val="004A2E4A"/>
    <w:rsid w:val="004A35EB"/>
    <w:rsid w:val="004A3722"/>
    <w:rsid w:val="004A3D3A"/>
    <w:rsid w:val="004A3D86"/>
    <w:rsid w:val="004A43AE"/>
    <w:rsid w:val="004A44E2"/>
    <w:rsid w:val="004A534B"/>
    <w:rsid w:val="004A5ABF"/>
    <w:rsid w:val="004A5C22"/>
    <w:rsid w:val="004A5CAD"/>
    <w:rsid w:val="004A5D52"/>
    <w:rsid w:val="004A5D59"/>
    <w:rsid w:val="004A626C"/>
    <w:rsid w:val="004A674C"/>
    <w:rsid w:val="004A67D7"/>
    <w:rsid w:val="004A6944"/>
    <w:rsid w:val="004A749A"/>
    <w:rsid w:val="004A7938"/>
    <w:rsid w:val="004A7951"/>
    <w:rsid w:val="004B099A"/>
    <w:rsid w:val="004B0A39"/>
    <w:rsid w:val="004B118E"/>
    <w:rsid w:val="004B26DF"/>
    <w:rsid w:val="004B3808"/>
    <w:rsid w:val="004B3951"/>
    <w:rsid w:val="004B3AB9"/>
    <w:rsid w:val="004B3F6F"/>
    <w:rsid w:val="004B4296"/>
    <w:rsid w:val="004B43D9"/>
    <w:rsid w:val="004B4F67"/>
    <w:rsid w:val="004B5273"/>
    <w:rsid w:val="004B5D4A"/>
    <w:rsid w:val="004B6D12"/>
    <w:rsid w:val="004B72CF"/>
    <w:rsid w:val="004C0164"/>
    <w:rsid w:val="004C08D2"/>
    <w:rsid w:val="004C0EE7"/>
    <w:rsid w:val="004C0FCE"/>
    <w:rsid w:val="004C1532"/>
    <w:rsid w:val="004C1A37"/>
    <w:rsid w:val="004C25CB"/>
    <w:rsid w:val="004C28BB"/>
    <w:rsid w:val="004C2AB2"/>
    <w:rsid w:val="004C2FBF"/>
    <w:rsid w:val="004C3EFC"/>
    <w:rsid w:val="004C4282"/>
    <w:rsid w:val="004C43D4"/>
    <w:rsid w:val="004C4C17"/>
    <w:rsid w:val="004C58C3"/>
    <w:rsid w:val="004C5AF9"/>
    <w:rsid w:val="004C5B4C"/>
    <w:rsid w:val="004C5D15"/>
    <w:rsid w:val="004C5DB8"/>
    <w:rsid w:val="004C5DD0"/>
    <w:rsid w:val="004C6089"/>
    <w:rsid w:val="004C63AF"/>
    <w:rsid w:val="004C72C3"/>
    <w:rsid w:val="004C735D"/>
    <w:rsid w:val="004C77AE"/>
    <w:rsid w:val="004C7920"/>
    <w:rsid w:val="004D00C2"/>
    <w:rsid w:val="004D01E9"/>
    <w:rsid w:val="004D026C"/>
    <w:rsid w:val="004D02BC"/>
    <w:rsid w:val="004D0343"/>
    <w:rsid w:val="004D03E6"/>
    <w:rsid w:val="004D183B"/>
    <w:rsid w:val="004D2392"/>
    <w:rsid w:val="004D339D"/>
    <w:rsid w:val="004D3832"/>
    <w:rsid w:val="004D3DD1"/>
    <w:rsid w:val="004D3ECC"/>
    <w:rsid w:val="004D3FE4"/>
    <w:rsid w:val="004D40AC"/>
    <w:rsid w:val="004D4767"/>
    <w:rsid w:val="004D4AC6"/>
    <w:rsid w:val="004D4B83"/>
    <w:rsid w:val="004D58EC"/>
    <w:rsid w:val="004D5B78"/>
    <w:rsid w:val="004D5B8E"/>
    <w:rsid w:val="004D5D1F"/>
    <w:rsid w:val="004D607A"/>
    <w:rsid w:val="004D6581"/>
    <w:rsid w:val="004D67EF"/>
    <w:rsid w:val="004D68B2"/>
    <w:rsid w:val="004D6CD1"/>
    <w:rsid w:val="004D745A"/>
    <w:rsid w:val="004D7623"/>
    <w:rsid w:val="004D79FA"/>
    <w:rsid w:val="004E094E"/>
    <w:rsid w:val="004E1BFF"/>
    <w:rsid w:val="004E22BF"/>
    <w:rsid w:val="004E22D5"/>
    <w:rsid w:val="004E2330"/>
    <w:rsid w:val="004E2421"/>
    <w:rsid w:val="004E2C11"/>
    <w:rsid w:val="004E2DE3"/>
    <w:rsid w:val="004E378F"/>
    <w:rsid w:val="004E3D9D"/>
    <w:rsid w:val="004E4001"/>
    <w:rsid w:val="004E407F"/>
    <w:rsid w:val="004E4669"/>
    <w:rsid w:val="004E4BCE"/>
    <w:rsid w:val="004E4D4E"/>
    <w:rsid w:val="004E63C0"/>
    <w:rsid w:val="004E6DD5"/>
    <w:rsid w:val="004E786C"/>
    <w:rsid w:val="004E7A20"/>
    <w:rsid w:val="004E7CF7"/>
    <w:rsid w:val="004E7EBC"/>
    <w:rsid w:val="004F0449"/>
    <w:rsid w:val="004F103D"/>
    <w:rsid w:val="004F11A0"/>
    <w:rsid w:val="004F14E2"/>
    <w:rsid w:val="004F17F8"/>
    <w:rsid w:val="004F1C6A"/>
    <w:rsid w:val="004F22E9"/>
    <w:rsid w:val="004F27EE"/>
    <w:rsid w:val="004F285C"/>
    <w:rsid w:val="004F31AE"/>
    <w:rsid w:val="004F44F9"/>
    <w:rsid w:val="004F4F68"/>
    <w:rsid w:val="004F51E3"/>
    <w:rsid w:val="004F580A"/>
    <w:rsid w:val="004F59CA"/>
    <w:rsid w:val="004F6173"/>
    <w:rsid w:val="004F67A7"/>
    <w:rsid w:val="004F67BC"/>
    <w:rsid w:val="004F6AEA"/>
    <w:rsid w:val="004F6EA2"/>
    <w:rsid w:val="004F76D4"/>
    <w:rsid w:val="004F7B95"/>
    <w:rsid w:val="005001AF"/>
    <w:rsid w:val="00500209"/>
    <w:rsid w:val="005008C0"/>
    <w:rsid w:val="00501092"/>
    <w:rsid w:val="0050143D"/>
    <w:rsid w:val="00501478"/>
    <w:rsid w:val="00501699"/>
    <w:rsid w:val="00501947"/>
    <w:rsid w:val="00501ADA"/>
    <w:rsid w:val="00502054"/>
    <w:rsid w:val="00502635"/>
    <w:rsid w:val="00502AC3"/>
    <w:rsid w:val="0050368C"/>
    <w:rsid w:val="0050397F"/>
    <w:rsid w:val="00503C83"/>
    <w:rsid w:val="005043B2"/>
    <w:rsid w:val="005046E0"/>
    <w:rsid w:val="0050546A"/>
    <w:rsid w:val="0050568D"/>
    <w:rsid w:val="00505B32"/>
    <w:rsid w:val="00505F72"/>
    <w:rsid w:val="0050606E"/>
    <w:rsid w:val="005065CE"/>
    <w:rsid w:val="0050720A"/>
    <w:rsid w:val="0050759E"/>
    <w:rsid w:val="005075A4"/>
    <w:rsid w:val="00507C58"/>
    <w:rsid w:val="005103B7"/>
    <w:rsid w:val="00510CDD"/>
    <w:rsid w:val="00510E78"/>
    <w:rsid w:val="00511E7A"/>
    <w:rsid w:val="0051222A"/>
    <w:rsid w:val="0051234D"/>
    <w:rsid w:val="005123CC"/>
    <w:rsid w:val="00512665"/>
    <w:rsid w:val="00512BCE"/>
    <w:rsid w:val="00513306"/>
    <w:rsid w:val="00513845"/>
    <w:rsid w:val="00514213"/>
    <w:rsid w:val="00514660"/>
    <w:rsid w:val="0051494D"/>
    <w:rsid w:val="005154D8"/>
    <w:rsid w:val="005156A8"/>
    <w:rsid w:val="00515FBF"/>
    <w:rsid w:val="005160F3"/>
    <w:rsid w:val="005165D6"/>
    <w:rsid w:val="00517467"/>
    <w:rsid w:val="005175FF"/>
    <w:rsid w:val="00517B26"/>
    <w:rsid w:val="0052006C"/>
    <w:rsid w:val="00520D20"/>
    <w:rsid w:val="00520E0E"/>
    <w:rsid w:val="00521333"/>
    <w:rsid w:val="0052135C"/>
    <w:rsid w:val="00521971"/>
    <w:rsid w:val="00521CAB"/>
    <w:rsid w:val="00522264"/>
    <w:rsid w:val="00522903"/>
    <w:rsid w:val="00522D4B"/>
    <w:rsid w:val="00523B5D"/>
    <w:rsid w:val="00523C90"/>
    <w:rsid w:val="0052423C"/>
    <w:rsid w:val="00524706"/>
    <w:rsid w:val="005265F8"/>
    <w:rsid w:val="005266EC"/>
    <w:rsid w:val="00526C40"/>
    <w:rsid w:val="00526E4D"/>
    <w:rsid w:val="005275ED"/>
    <w:rsid w:val="0052771D"/>
    <w:rsid w:val="00527A24"/>
    <w:rsid w:val="00530621"/>
    <w:rsid w:val="005306B0"/>
    <w:rsid w:val="00530725"/>
    <w:rsid w:val="00530838"/>
    <w:rsid w:val="00530FB7"/>
    <w:rsid w:val="005311BA"/>
    <w:rsid w:val="0053160F"/>
    <w:rsid w:val="00531B1F"/>
    <w:rsid w:val="00531B68"/>
    <w:rsid w:val="00532302"/>
    <w:rsid w:val="0053241E"/>
    <w:rsid w:val="005324AC"/>
    <w:rsid w:val="00532A0F"/>
    <w:rsid w:val="00532DAC"/>
    <w:rsid w:val="00532EE5"/>
    <w:rsid w:val="00534324"/>
    <w:rsid w:val="005348A2"/>
    <w:rsid w:val="00534F2E"/>
    <w:rsid w:val="00534FC7"/>
    <w:rsid w:val="00535149"/>
    <w:rsid w:val="005354E4"/>
    <w:rsid w:val="005354E5"/>
    <w:rsid w:val="00535C60"/>
    <w:rsid w:val="00536B83"/>
    <w:rsid w:val="00537CD0"/>
    <w:rsid w:val="00540017"/>
    <w:rsid w:val="005407D2"/>
    <w:rsid w:val="00540F77"/>
    <w:rsid w:val="00541306"/>
    <w:rsid w:val="00541610"/>
    <w:rsid w:val="00541CC8"/>
    <w:rsid w:val="00541CEC"/>
    <w:rsid w:val="00541F98"/>
    <w:rsid w:val="005420CF"/>
    <w:rsid w:val="00542BE3"/>
    <w:rsid w:val="00543791"/>
    <w:rsid w:val="0054399B"/>
    <w:rsid w:val="00543B8C"/>
    <w:rsid w:val="00544BBE"/>
    <w:rsid w:val="005455C4"/>
    <w:rsid w:val="00545C7C"/>
    <w:rsid w:val="00545F7F"/>
    <w:rsid w:val="0054616A"/>
    <w:rsid w:val="0054729B"/>
    <w:rsid w:val="0054763C"/>
    <w:rsid w:val="00547EA3"/>
    <w:rsid w:val="005503B8"/>
    <w:rsid w:val="0055055C"/>
    <w:rsid w:val="00550979"/>
    <w:rsid w:val="00550B98"/>
    <w:rsid w:val="00550FDD"/>
    <w:rsid w:val="005510B7"/>
    <w:rsid w:val="005518AA"/>
    <w:rsid w:val="00551E66"/>
    <w:rsid w:val="00551EFE"/>
    <w:rsid w:val="00552586"/>
    <w:rsid w:val="005527FE"/>
    <w:rsid w:val="00552B07"/>
    <w:rsid w:val="00552BD2"/>
    <w:rsid w:val="00552D72"/>
    <w:rsid w:val="00552F07"/>
    <w:rsid w:val="00552F8D"/>
    <w:rsid w:val="00553DB8"/>
    <w:rsid w:val="00553EC5"/>
    <w:rsid w:val="005547C5"/>
    <w:rsid w:val="00555422"/>
    <w:rsid w:val="00555503"/>
    <w:rsid w:val="005558BE"/>
    <w:rsid w:val="00555F95"/>
    <w:rsid w:val="005564B0"/>
    <w:rsid w:val="005569E4"/>
    <w:rsid w:val="00556D34"/>
    <w:rsid w:val="005578E1"/>
    <w:rsid w:val="00557AB1"/>
    <w:rsid w:val="00557B9A"/>
    <w:rsid w:val="005609B9"/>
    <w:rsid w:val="0056105E"/>
    <w:rsid w:val="00561330"/>
    <w:rsid w:val="00561B90"/>
    <w:rsid w:val="00562318"/>
    <w:rsid w:val="005624BF"/>
    <w:rsid w:val="0056256C"/>
    <w:rsid w:val="00562811"/>
    <w:rsid w:val="00563182"/>
    <w:rsid w:val="00563804"/>
    <w:rsid w:val="00564451"/>
    <w:rsid w:val="005650C1"/>
    <w:rsid w:val="0056570C"/>
    <w:rsid w:val="0056571E"/>
    <w:rsid w:val="00565F87"/>
    <w:rsid w:val="0056605A"/>
    <w:rsid w:val="005660D3"/>
    <w:rsid w:val="00566288"/>
    <w:rsid w:val="0056650F"/>
    <w:rsid w:val="0056700A"/>
    <w:rsid w:val="00567102"/>
    <w:rsid w:val="00567D3B"/>
    <w:rsid w:val="0057012C"/>
    <w:rsid w:val="005703D4"/>
    <w:rsid w:val="005704E9"/>
    <w:rsid w:val="005706AB"/>
    <w:rsid w:val="00570C5D"/>
    <w:rsid w:val="00570E99"/>
    <w:rsid w:val="0057106D"/>
    <w:rsid w:val="00571ACB"/>
    <w:rsid w:val="00571E16"/>
    <w:rsid w:val="00572689"/>
    <w:rsid w:val="0057297C"/>
    <w:rsid w:val="00572B98"/>
    <w:rsid w:val="00572C6F"/>
    <w:rsid w:val="00572F51"/>
    <w:rsid w:val="00573310"/>
    <w:rsid w:val="005736D9"/>
    <w:rsid w:val="00573764"/>
    <w:rsid w:val="00573B95"/>
    <w:rsid w:val="00573E04"/>
    <w:rsid w:val="00574306"/>
    <w:rsid w:val="00574E82"/>
    <w:rsid w:val="0057541D"/>
    <w:rsid w:val="00575539"/>
    <w:rsid w:val="00575735"/>
    <w:rsid w:val="00575C41"/>
    <w:rsid w:val="00575CE0"/>
    <w:rsid w:val="00575DE9"/>
    <w:rsid w:val="00576C81"/>
    <w:rsid w:val="00576D45"/>
    <w:rsid w:val="005773A1"/>
    <w:rsid w:val="0057746E"/>
    <w:rsid w:val="00577AAB"/>
    <w:rsid w:val="00577ADB"/>
    <w:rsid w:val="0058051C"/>
    <w:rsid w:val="005807C4"/>
    <w:rsid w:val="0058090E"/>
    <w:rsid w:val="00580BE8"/>
    <w:rsid w:val="00580E3A"/>
    <w:rsid w:val="00581045"/>
    <w:rsid w:val="005810C9"/>
    <w:rsid w:val="005813CF"/>
    <w:rsid w:val="00581C40"/>
    <w:rsid w:val="0058270F"/>
    <w:rsid w:val="0058276A"/>
    <w:rsid w:val="00582E30"/>
    <w:rsid w:val="00582E7B"/>
    <w:rsid w:val="00583165"/>
    <w:rsid w:val="0058333E"/>
    <w:rsid w:val="0058440D"/>
    <w:rsid w:val="00584819"/>
    <w:rsid w:val="00584C05"/>
    <w:rsid w:val="005851CF"/>
    <w:rsid w:val="005856B2"/>
    <w:rsid w:val="00586188"/>
    <w:rsid w:val="005861C8"/>
    <w:rsid w:val="005861CC"/>
    <w:rsid w:val="005861FB"/>
    <w:rsid w:val="00586687"/>
    <w:rsid w:val="00586688"/>
    <w:rsid w:val="00586725"/>
    <w:rsid w:val="00587166"/>
    <w:rsid w:val="00587539"/>
    <w:rsid w:val="0058786D"/>
    <w:rsid w:val="00587A9C"/>
    <w:rsid w:val="005905B9"/>
    <w:rsid w:val="005907D2"/>
    <w:rsid w:val="00590A79"/>
    <w:rsid w:val="00590FE0"/>
    <w:rsid w:val="00591069"/>
    <w:rsid w:val="00591336"/>
    <w:rsid w:val="00591890"/>
    <w:rsid w:val="00591997"/>
    <w:rsid w:val="005929C8"/>
    <w:rsid w:val="005937A1"/>
    <w:rsid w:val="005937D6"/>
    <w:rsid w:val="00593856"/>
    <w:rsid w:val="00593BDE"/>
    <w:rsid w:val="0059504A"/>
    <w:rsid w:val="005950C9"/>
    <w:rsid w:val="0059526B"/>
    <w:rsid w:val="005953F8"/>
    <w:rsid w:val="005954EC"/>
    <w:rsid w:val="005955AC"/>
    <w:rsid w:val="0059572A"/>
    <w:rsid w:val="005959C0"/>
    <w:rsid w:val="00595C2F"/>
    <w:rsid w:val="00595D85"/>
    <w:rsid w:val="00595E89"/>
    <w:rsid w:val="00596C81"/>
    <w:rsid w:val="00596D4C"/>
    <w:rsid w:val="0059710E"/>
    <w:rsid w:val="00597169"/>
    <w:rsid w:val="005971B9"/>
    <w:rsid w:val="00597442"/>
    <w:rsid w:val="00597499"/>
    <w:rsid w:val="005977B9"/>
    <w:rsid w:val="00597AC1"/>
    <w:rsid w:val="00597F66"/>
    <w:rsid w:val="005A0486"/>
    <w:rsid w:val="005A07BB"/>
    <w:rsid w:val="005A0ABF"/>
    <w:rsid w:val="005A1725"/>
    <w:rsid w:val="005A2780"/>
    <w:rsid w:val="005A36AD"/>
    <w:rsid w:val="005A3795"/>
    <w:rsid w:val="005A3873"/>
    <w:rsid w:val="005A3A75"/>
    <w:rsid w:val="005A3E7F"/>
    <w:rsid w:val="005A42E2"/>
    <w:rsid w:val="005A49FF"/>
    <w:rsid w:val="005A5106"/>
    <w:rsid w:val="005A51A9"/>
    <w:rsid w:val="005A566C"/>
    <w:rsid w:val="005A570F"/>
    <w:rsid w:val="005A59C8"/>
    <w:rsid w:val="005A5CFE"/>
    <w:rsid w:val="005A5FE5"/>
    <w:rsid w:val="005A6F5F"/>
    <w:rsid w:val="005A70FC"/>
    <w:rsid w:val="005A716E"/>
    <w:rsid w:val="005A740E"/>
    <w:rsid w:val="005A7770"/>
    <w:rsid w:val="005A7D23"/>
    <w:rsid w:val="005B0D74"/>
    <w:rsid w:val="005B1363"/>
    <w:rsid w:val="005B142A"/>
    <w:rsid w:val="005B1BAE"/>
    <w:rsid w:val="005B240E"/>
    <w:rsid w:val="005B29A2"/>
    <w:rsid w:val="005B3E43"/>
    <w:rsid w:val="005B44CD"/>
    <w:rsid w:val="005B4A8D"/>
    <w:rsid w:val="005B543B"/>
    <w:rsid w:val="005B5546"/>
    <w:rsid w:val="005B57B9"/>
    <w:rsid w:val="005B5A50"/>
    <w:rsid w:val="005B613A"/>
    <w:rsid w:val="005B6161"/>
    <w:rsid w:val="005B6581"/>
    <w:rsid w:val="005B65CB"/>
    <w:rsid w:val="005B68F1"/>
    <w:rsid w:val="005B779B"/>
    <w:rsid w:val="005B7887"/>
    <w:rsid w:val="005B7A32"/>
    <w:rsid w:val="005B7C1C"/>
    <w:rsid w:val="005B7EC7"/>
    <w:rsid w:val="005C00D1"/>
    <w:rsid w:val="005C026A"/>
    <w:rsid w:val="005C03BF"/>
    <w:rsid w:val="005C20AE"/>
    <w:rsid w:val="005C233E"/>
    <w:rsid w:val="005C24BF"/>
    <w:rsid w:val="005C2A6F"/>
    <w:rsid w:val="005C2CE8"/>
    <w:rsid w:val="005C2FE7"/>
    <w:rsid w:val="005C3C7C"/>
    <w:rsid w:val="005C3CFA"/>
    <w:rsid w:val="005C3E72"/>
    <w:rsid w:val="005C3F57"/>
    <w:rsid w:val="005C40CB"/>
    <w:rsid w:val="005C4553"/>
    <w:rsid w:val="005C4878"/>
    <w:rsid w:val="005C554F"/>
    <w:rsid w:val="005C576A"/>
    <w:rsid w:val="005C584B"/>
    <w:rsid w:val="005C5AF0"/>
    <w:rsid w:val="005C5F73"/>
    <w:rsid w:val="005C65C7"/>
    <w:rsid w:val="005C6858"/>
    <w:rsid w:val="005C6AB9"/>
    <w:rsid w:val="005C72A8"/>
    <w:rsid w:val="005C7497"/>
    <w:rsid w:val="005C78EE"/>
    <w:rsid w:val="005C7B46"/>
    <w:rsid w:val="005C7D3B"/>
    <w:rsid w:val="005D01B6"/>
    <w:rsid w:val="005D04DF"/>
    <w:rsid w:val="005D1008"/>
    <w:rsid w:val="005D1169"/>
    <w:rsid w:val="005D1275"/>
    <w:rsid w:val="005D13B5"/>
    <w:rsid w:val="005D1467"/>
    <w:rsid w:val="005D1AC3"/>
    <w:rsid w:val="005D1C06"/>
    <w:rsid w:val="005D1C70"/>
    <w:rsid w:val="005D2671"/>
    <w:rsid w:val="005D26A6"/>
    <w:rsid w:val="005D2AE0"/>
    <w:rsid w:val="005D2C3C"/>
    <w:rsid w:val="005D4708"/>
    <w:rsid w:val="005D4F75"/>
    <w:rsid w:val="005D5616"/>
    <w:rsid w:val="005D5D0A"/>
    <w:rsid w:val="005D5E91"/>
    <w:rsid w:val="005D608E"/>
    <w:rsid w:val="005D725B"/>
    <w:rsid w:val="005D72CA"/>
    <w:rsid w:val="005D772A"/>
    <w:rsid w:val="005D7772"/>
    <w:rsid w:val="005D791A"/>
    <w:rsid w:val="005D7A61"/>
    <w:rsid w:val="005D7A9F"/>
    <w:rsid w:val="005D7EF7"/>
    <w:rsid w:val="005D7EF9"/>
    <w:rsid w:val="005E0362"/>
    <w:rsid w:val="005E03E6"/>
    <w:rsid w:val="005E0A55"/>
    <w:rsid w:val="005E0D32"/>
    <w:rsid w:val="005E0D67"/>
    <w:rsid w:val="005E0F6E"/>
    <w:rsid w:val="005E0FFA"/>
    <w:rsid w:val="005E216A"/>
    <w:rsid w:val="005E21E2"/>
    <w:rsid w:val="005E24CC"/>
    <w:rsid w:val="005E2AA2"/>
    <w:rsid w:val="005E32B1"/>
    <w:rsid w:val="005E3B96"/>
    <w:rsid w:val="005E3DC5"/>
    <w:rsid w:val="005E41DB"/>
    <w:rsid w:val="005E4401"/>
    <w:rsid w:val="005E45CC"/>
    <w:rsid w:val="005E5416"/>
    <w:rsid w:val="005E573B"/>
    <w:rsid w:val="005E5DD2"/>
    <w:rsid w:val="005E5E52"/>
    <w:rsid w:val="005E6301"/>
    <w:rsid w:val="005E665C"/>
    <w:rsid w:val="005E69FD"/>
    <w:rsid w:val="005E6D67"/>
    <w:rsid w:val="005E71AB"/>
    <w:rsid w:val="005E71FA"/>
    <w:rsid w:val="005E77E8"/>
    <w:rsid w:val="005E79B3"/>
    <w:rsid w:val="005E7E2A"/>
    <w:rsid w:val="005F00B1"/>
    <w:rsid w:val="005F08BF"/>
    <w:rsid w:val="005F1853"/>
    <w:rsid w:val="005F1C43"/>
    <w:rsid w:val="005F1D0B"/>
    <w:rsid w:val="005F1FD1"/>
    <w:rsid w:val="005F2FCD"/>
    <w:rsid w:val="005F3519"/>
    <w:rsid w:val="005F3EE6"/>
    <w:rsid w:val="005F3FBC"/>
    <w:rsid w:val="005F4806"/>
    <w:rsid w:val="005F4E67"/>
    <w:rsid w:val="005F54C5"/>
    <w:rsid w:val="005F58F8"/>
    <w:rsid w:val="005F6689"/>
    <w:rsid w:val="005F6796"/>
    <w:rsid w:val="005F692D"/>
    <w:rsid w:val="005F6DF1"/>
    <w:rsid w:val="005F6FCE"/>
    <w:rsid w:val="005F74F6"/>
    <w:rsid w:val="005F765A"/>
    <w:rsid w:val="005F79CB"/>
    <w:rsid w:val="005F79D2"/>
    <w:rsid w:val="005F7B48"/>
    <w:rsid w:val="005F7E25"/>
    <w:rsid w:val="005F7F13"/>
    <w:rsid w:val="00600614"/>
    <w:rsid w:val="0060094E"/>
    <w:rsid w:val="00601181"/>
    <w:rsid w:val="006016D9"/>
    <w:rsid w:val="0060271F"/>
    <w:rsid w:val="00602A83"/>
    <w:rsid w:val="00603637"/>
    <w:rsid w:val="00603645"/>
    <w:rsid w:val="00603825"/>
    <w:rsid w:val="00603F27"/>
    <w:rsid w:val="0060515E"/>
    <w:rsid w:val="0060535E"/>
    <w:rsid w:val="006059DF"/>
    <w:rsid w:val="00605B79"/>
    <w:rsid w:val="006066C8"/>
    <w:rsid w:val="00606B45"/>
    <w:rsid w:val="00606C88"/>
    <w:rsid w:val="00606EBF"/>
    <w:rsid w:val="00607006"/>
    <w:rsid w:val="00607063"/>
    <w:rsid w:val="0060713E"/>
    <w:rsid w:val="006073A9"/>
    <w:rsid w:val="0060781E"/>
    <w:rsid w:val="006079F5"/>
    <w:rsid w:val="00607D91"/>
    <w:rsid w:val="00607E91"/>
    <w:rsid w:val="00610C30"/>
    <w:rsid w:val="00610C63"/>
    <w:rsid w:val="006115B6"/>
    <w:rsid w:val="006116CF"/>
    <w:rsid w:val="00611BE5"/>
    <w:rsid w:val="00611DD0"/>
    <w:rsid w:val="00612135"/>
    <w:rsid w:val="006127B4"/>
    <w:rsid w:val="006130BC"/>
    <w:rsid w:val="006136DF"/>
    <w:rsid w:val="006136E4"/>
    <w:rsid w:val="00613E2D"/>
    <w:rsid w:val="00613FF9"/>
    <w:rsid w:val="00614512"/>
    <w:rsid w:val="00614C10"/>
    <w:rsid w:val="00614F7B"/>
    <w:rsid w:val="006153DF"/>
    <w:rsid w:val="006156A1"/>
    <w:rsid w:val="00615710"/>
    <w:rsid w:val="00615A8C"/>
    <w:rsid w:val="00616359"/>
    <w:rsid w:val="006163B7"/>
    <w:rsid w:val="006164FC"/>
    <w:rsid w:val="00616CA4"/>
    <w:rsid w:val="006171B3"/>
    <w:rsid w:val="00617AAA"/>
    <w:rsid w:val="006200BF"/>
    <w:rsid w:val="006215F3"/>
    <w:rsid w:val="00621BC3"/>
    <w:rsid w:val="006232FE"/>
    <w:rsid w:val="00623745"/>
    <w:rsid w:val="00623821"/>
    <w:rsid w:val="0062396A"/>
    <w:rsid w:val="00623BC5"/>
    <w:rsid w:val="006240F2"/>
    <w:rsid w:val="00624155"/>
    <w:rsid w:val="006243DB"/>
    <w:rsid w:val="006246CA"/>
    <w:rsid w:val="0062473E"/>
    <w:rsid w:val="00624A16"/>
    <w:rsid w:val="00624F32"/>
    <w:rsid w:val="0062564C"/>
    <w:rsid w:val="00625EAD"/>
    <w:rsid w:val="006262F9"/>
    <w:rsid w:val="006273CF"/>
    <w:rsid w:val="0062751F"/>
    <w:rsid w:val="0062767F"/>
    <w:rsid w:val="00627C2C"/>
    <w:rsid w:val="0063016B"/>
    <w:rsid w:val="00630F0A"/>
    <w:rsid w:val="00632859"/>
    <w:rsid w:val="00632B6E"/>
    <w:rsid w:val="00633061"/>
    <w:rsid w:val="00633186"/>
    <w:rsid w:val="006336F5"/>
    <w:rsid w:val="0063382C"/>
    <w:rsid w:val="00633860"/>
    <w:rsid w:val="00633942"/>
    <w:rsid w:val="00633993"/>
    <w:rsid w:val="00634102"/>
    <w:rsid w:val="00634302"/>
    <w:rsid w:val="006344BD"/>
    <w:rsid w:val="0063451C"/>
    <w:rsid w:val="006346EF"/>
    <w:rsid w:val="00634B93"/>
    <w:rsid w:val="00634D98"/>
    <w:rsid w:val="00634DA2"/>
    <w:rsid w:val="00635715"/>
    <w:rsid w:val="006363FD"/>
    <w:rsid w:val="0063692C"/>
    <w:rsid w:val="00636936"/>
    <w:rsid w:val="00636F84"/>
    <w:rsid w:val="00636F8A"/>
    <w:rsid w:val="00637011"/>
    <w:rsid w:val="00637CE2"/>
    <w:rsid w:val="0064008E"/>
    <w:rsid w:val="00640953"/>
    <w:rsid w:val="00640D01"/>
    <w:rsid w:val="0064202A"/>
    <w:rsid w:val="006421D3"/>
    <w:rsid w:val="00642C08"/>
    <w:rsid w:val="0064389B"/>
    <w:rsid w:val="0064396E"/>
    <w:rsid w:val="00643DF5"/>
    <w:rsid w:val="00643FA2"/>
    <w:rsid w:val="006441A4"/>
    <w:rsid w:val="006442C4"/>
    <w:rsid w:val="00644868"/>
    <w:rsid w:val="00644F39"/>
    <w:rsid w:val="006458E6"/>
    <w:rsid w:val="00645940"/>
    <w:rsid w:val="00645A52"/>
    <w:rsid w:val="00646445"/>
    <w:rsid w:val="0064701A"/>
    <w:rsid w:val="00647AA1"/>
    <w:rsid w:val="00647FC0"/>
    <w:rsid w:val="0065004E"/>
    <w:rsid w:val="0065046B"/>
    <w:rsid w:val="00651004"/>
    <w:rsid w:val="006511C7"/>
    <w:rsid w:val="00651886"/>
    <w:rsid w:val="00651A6A"/>
    <w:rsid w:val="00651B6A"/>
    <w:rsid w:val="00651C08"/>
    <w:rsid w:val="00652023"/>
    <w:rsid w:val="006520FD"/>
    <w:rsid w:val="00652A4B"/>
    <w:rsid w:val="00653689"/>
    <w:rsid w:val="0065381C"/>
    <w:rsid w:val="006538A9"/>
    <w:rsid w:val="0065485A"/>
    <w:rsid w:val="00654892"/>
    <w:rsid w:val="00654C59"/>
    <w:rsid w:val="00655576"/>
    <w:rsid w:val="006557B6"/>
    <w:rsid w:val="00655A66"/>
    <w:rsid w:val="0065621D"/>
    <w:rsid w:val="00656574"/>
    <w:rsid w:val="0065657B"/>
    <w:rsid w:val="006573E9"/>
    <w:rsid w:val="006576F6"/>
    <w:rsid w:val="00657A36"/>
    <w:rsid w:val="00657F87"/>
    <w:rsid w:val="0066041A"/>
    <w:rsid w:val="006604EA"/>
    <w:rsid w:val="00660AB2"/>
    <w:rsid w:val="00660AC1"/>
    <w:rsid w:val="00660BE9"/>
    <w:rsid w:val="00660DC2"/>
    <w:rsid w:val="00660E4E"/>
    <w:rsid w:val="00661956"/>
    <w:rsid w:val="00661B64"/>
    <w:rsid w:val="006625F5"/>
    <w:rsid w:val="006628E5"/>
    <w:rsid w:val="00663536"/>
    <w:rsid w:val="00663587"/>
    <w:rsid w:val="006635B0"/>
    <w:rsid w:val="006639C6"/>
    <w:rsid w:val="006645CA"/>
    <w:rsid w:val="0066468E"/>
    <w:rsid w:val="00664D3D"/>
    <w:rsid w:val="00664E01"/>
    <w:rsid w:val="0066510E"/>
    <w:rsid w:val="006652C6"/>
    <w:rsid w:val="006653B9"/>
    <w:rsid w:val="00665873"/>
    <w:rsid w:val="00666D6E"/>
    <w:rsid w:val="00666FCD"/>
    <w:rsid w:val="006673C4"/>
    <w:rsid w:val="00667E89"/>
    <w:rsid w:val="00670213"/>
    <w:rsid w:val="00670ABD"/>
    <w:rsid w:val="00670C16"/>
    <w:rsid w:val="00673A94"/>
    <w:rsid w:val="00673D85"/>
    <w:rsid w:val="00673E31"/>
    <w:rsid w:val="0067412F"/>
    <w:rsid w:val="0067450A"/>
    <w:rsid w:val="006747FB"/>
    <w:rsid w:val="006753E1"/>
    <w:rsid w:val="00675508"/>
    <w:rsid w:val="00675A26"/>
    <w:rsid w:val="00675A80"/>
    <w:rsid w:val="006763CA"/>
    <w:rsid w:val="00676673"/>
    <w:rsid w:val="00676A5D"/>
    <w:rsid w:val="00677642"/>
    <w:rsid w:val="006778D8"/>
    <w:rsid w:val="0067797D"/>
    <w:rsid w:val="00677AE2"/>
    <w:rsid w:val="00677F07"/>
    <w:rsid w:val="00680500"/>
    <w:rsid w:val="00680736"/>
    <w:rsid w:val="00680B7E"/>
    <w:rsid w:val="0068135C"/>
    <w:rsid w:val="0068172D"/>
    <w:rsid w:val="00681757"/>
    <w:rsid w:val="006817E4"/>
    <w:rsid w:val="00681976"/>
    <w:rsid w:val="00681BEC"/>
    <w:rsid w:val="00681CE5"/>
    <w:rsid w:val="00681E6A"/>
    <w:rsid w:val="0068213C"/>
    <w:rsid w:val="00682552"/>
    <w:rsid w:val="00682660"/>
    <w:rsid w:val="00683700"/>
    <w:rsid w:val="00683904"/>
    <w:rsid w:val="00683F7C"/>
    <w:rsid w:val="0068449C"/>
    <w:rsid w:val="006846E3"/>
    <w:rsid w:val="00684847"/>
    <w:rsid w:val="00684955"/>
    <w:rsid w:val="006855B8"/>
    <w:rsid w:val="00685924"/>
    <w:rsid w:val="006859C0"/>
    <w:rsid w:val="006861C6"/>
    <w:rsid w:val="0068637C"/>
    <w:rsid w:val="006864D1"/>
    <w:rsid w:val="00686CE2"/>
    <w:rsid w:val="00686FC7"/>
    <w:rsid w:val="0068745E"/>
    <w:rsid w:val="00687E2C"/>
    <w:rsid w:val="00690063"/>
    <w:rsid w:val="006901F3"/>
    <w:rsid w:val="00690A1A"/>
    <w:rsid w:val="00691096"/>
    <w:rsid w:val="00691247"/>
    <w:rsid w:val="0069191F"/>
    <w:rsid w:val="00691B4B"/>
    <w:rsid w:val="00692143"/>
    <w:rsid w:val="0069244B"/>
    <w:rsid w:val="0069266B"/>
    <w:rsid w:val="00692D15"/>
    <w:rsid w:val="0069335C"/>
    <w:rsid w:val="00693BF5"/>
    <w:rsid w:val="00693F30"/>
    <w:rsid w:val="00694D4A"/>
    <w:rsid w:val="00694ECB"/>
    <w:rsid w:val="00695012"/>
    <w:rsid w:val="00695470"/>
    <w:rsid w:val="00695E5E"/>
    <w:rsid w:val="006961B8"/>
    <w:rsid w:val="006974C3"/>
    <w:rsid w:val="00697B87"/>
    <w:rsid w:val="006A0418"/>
    <w:rsid w:val="006A043D"/>
    <w:rsid w:val="006A07B4"/>
    <w:rsid w:val="006A09A8"/>
    <w:rsid w:val="006A0C43"/>
    <w:rsid w:val="006A2786"/>
    <w:rsid w:val="006A2898"/>
    <w:rsid w:val="006A2961"/>
    <w:rsid w:val="006A2C3C"/>
    <w:rsid w:val="006A2CCD"/>
    <w:rsid w:val="006A2E1F"/>
    <w:rsid w:val="006A30B9"/>
    <w:rsid w:val="006A3D94"/>
    <w:rsid w:val="006A4500"/>
    <w:rsid w:val="006A4890"/>
    <w:rsid w:val="006A570E"/>
    <w:rsid w:val="006A5D5F"/>
    <w:rsid w:val="006A5F50"/>
    <w:rsid w:val="006A609E"/>
    <w:rsid w:val="006A619E"/>
    <w:rsid w:val="006A62B9"/>
    <w:rsid w:val="006A6726"/>
    <w:rsid w:val="006A7567"/>
    <w:rsid w:val="006A75BC"/>
    <w:rsid w:val="006A75CF"/>
    <w:rsid w:val="006A7AED"/>
    <w:rsid w:val="006A7B0A"/>
    <w:rsid w:val="006B0963"/>
    <w:rsid w:val="006B0C18"/>
    <w:rsid w:val="006B1967"/>
    <w:rsid w:val="006B1DBD"/>
    <w:rsid w:val="006B1EED"/>
    <w:rsid w:val="006B204D"/>
    <w:rsid w:val="006B2114"/>
    <w:rsid w:val="006B26CC"/>
    <w:rsid w:val="006B2700"/>
    <w:rsid w:val="006B27F5"/>
    <w:rsid w:val="006B30F9"/>
    <w:rsid w:val="006B3166"/>
    <w:rsid w:val="006B39E4"/>
    <w:rsid w:val="006B4B94"/>
    <w:rsid w:val="006B5005"/>
    <w:rsid w:val="006B547B"/>
    <w:rsid w:val="006B5567"/>
    <w:rsid w:val="006B5609"/>
    <w:rsid w:val="006B5BD6"/>
    <w:rsid w:val="006B5C13"/>
    <w:rsid w:val="006B5C5F"/>
    <w:rsid w:val="006B6293"/>
    <w:rsid w:val="006B65D7"/>
    <w:rsid w:val="006B6DA4"/>
    <w:rsid w:val="006B7704"/>
    <w:rsid w:val="006B78C8"/>
    <w:rsid w:val="006C04C9"/>
    <w:rsid w:val="006C0777"/>
    <w:rsid w:val="006C14F2"/>
    <w:rsid w:val="006C193A"/>
    <w:rsid w:val="006C2A4C"/>
    <w:rsid w:val="006C3941"/>
    <w:rsid w:val="006C3BE8"/>
    <w:rsid w:val="006C3F34"/>
    <w:rsid w:val="006C4798"/>
    <w:rsid w:val="006C47B8"/>
    <w:rsid w:val="006C4970"/>
    <w:rsid w:val="006C4D2E"/>
    <w:rsid w:val="006C4DEE"/>
    <w:rsid w:val="006C4F5B"/>
    <w:rsid w:val="006C5289"/>
    <w:rsid w:val="006C5394"/>
    <w:rsid w:val="006C550E"/>
    <w:rsid w:val="006C5BF6"/>
    <w:rsid w:val="006C649C"/>
    <w:rsid w:val="006C6936"/>
    <w:rsid w:val="006C6B23"/>
    <w:rsid w:val="006C6D61"/>
    <w:rsid w:val="006C7541"/>
    <w:rsid w:val="006D0590"/>
    <w:rsid w:val="006D0936"/>
    <w:rsid w:val="006D0AF5"/>
    <w:rsid w:val="006D0C3A"/>
    <w:rsid w:val="006D1153"/>
    <w:rsid w:val="006D21EF"/>
    <w:rsid w:val="006D2665"/>
    <w:rsid w:val="006D2BB2"/>
    <w:rsid w:val="006D2D69"/>
    <w:rsid w:val="006D30B8"/>
    <w:rsid w:val="006D385E"/>
    <w:rsid w:val="006D40CB"/>
    <w:rsid w:val="006D4682"/>
    <w:rsid w:val="006D4950"/>
    <w:rsid w:val="006D4F0F"/>
    <w:rsid w:val="006D4F89"/>
    <w:rsid w:val="006D5CFA"/>
    <w:rsid w:val="006D6996"/>
    <w:rsid w:val="006D6FCA"/>
    <w:rsid w:val="006D77C0"/>
    <w:rsid w:val="006D7B56"/>
    <w:rsid w:val="006D7D11"/>
    <w:rsid w:val="006E01C8"/>
    <w:rsid w:val="006E041A"/>
    <w:rsid w:val="006E07C4"/>
    <w:rsid w:val="006E109D"/>
    <w:rsid w:val="006E10B9"/>
    <w:rsid w:val="006E11C0"/>
    <w:rsid w:val="006E278A"/>
    <w:rsid w:val="006E2A90"/>
    <w:rsid w:val="006E3251"/>
    <w:rsid w:val="006E3381"/>
    <w:rsid w:val="006E36AB"/>
    <w:rsid w:val="006E3789"/>
    <w:rsid w:val="006E3AFA"/>
    <w:rsid w:val="006E3D10"/>
    <w:rsid w:val="006E42AF"/>
    <w:rsid w:val="006E48BD"/>
    <w:rsid w:val="006E494B"/>
    <w:rsid w:val="006E4D3C"/>
    <w:rsid w:val="006E503E"/>
    <w:rsid w:val="006E5782"/>
    <w:rsid w:val="006E5B35"/>
    <w:rsid w:val="006E6159"/>
    <w:rsid w:val="006E640D"/>
    <w:rsid w:val="006E6615"/>
    <w:rsid w:val="006E6625"/>
    <w:rsid w:val="006E669F"/>
    <w:rsid w:val="006E6A42"/>
    <w:rsid w:val="006E6D57"/>
    <w:rsid w:val="006E6EDE"/>
    <w:rsid w:val="006E790A"/>
    <w:rsid w:val="006E791A"/>
    <w:rsid w:val="006F079B"/>
    <w:rsid w:val="006F08AD"/>
    <w:rsid w:val="006F11C0"/>
    <w:rsid w:val="006F1706"/>
    <w:rsid w:val="006F19A0"/>
    <w:rsid w:val="006F1B6E"/>
    <w:rsid w:val="006F2200"/>
    <w:rsid w:val="006F231E"/>
    <w:rsid w:val="006F2470"/>
    <w:rsid w:val="006F331F"/>
    <w:rsid w:val="006F3F06"/>
    <w:rsid w:val="006F433F"/>
    <w:rsid w:val="006F43F6"/>
    <w:rsid w:val="006F4FE5"/>
    <w:rsid w:val="006F513A"/>
    <w:rsid w:val="006F53D6"/>
    <w:rsid w:val="006F565C"/>
    <w:rsid w:val="006F5C1B"/>
    <w:rsid w:val="006F6015"/>
    <w:rsid w:val="006F614E"/>
    <w:rsid w:val="006F687E"/>
    <w:rsid w:val="006F6A86"/>
    <w:rsid w:val="006F6D21"/>
    <w:rsid w:val="006F7096"/>
    <w:rsid w:val="006F7182"/>
    <w:rsid w:val="006F7390"/>
    <w:rsid w:val="006F74A5"/>
    <w:rsid w:val="006F7FEF"/>
    <w:rsid w:val="0070059E"/>
    <w:rsid w:val="00701E24"/>
    <w:rsid w:val="00701EE6"/>
    <w:rsid w:val="007020F7"/>
    <w:rsid w:val="00703128"/>
    <w:rsid w:val="00703EE6"/>
    <w:rsid w:val="0070440C"/>
    <w:rsid w:val="007047BB"/>
    <w:rsid w:val="0070511F"/>
    <w:rsid w:val="0070523B"/>
    <w:rsid w:val="007053FE"/>
    <w:rsid w:val="00705AC1"/>
    <w:rsid w:val="00705EF9"/>
    <w:rsid w:val="00706992"/>
    <w:rsid w:val="00707544"/>
    <w:rsid w:val="007079CB"/>
    <w:rsid w:val="00707D9B"/>
    <w:rsid w:val="00710F55"/>
    <w:rsid w:val="007117ED"/>
    <w:rsid w:val="007117F5"/>
    <w:rsid w:val="00711A65"/>
    <w:rsid w:val="00712CEC"/>
    <w:rsid w:val="00713406"/>
    <w:rsid w:val="00714379"/>
    <w:rsid w:val="00714666"/>
    <w:rsid w:val="00714728"/>
    <w:rsid w:val="007150DB"/>
    <w:rsid w:val="007151E2"/>
    <w:rsid w:val="00715859"/>
    <w:rsid w:val="00715874"/>
    <w:rsid w:val="00715E7D"/>
    <w:rsid w:val="00716321"/>
    <w:rsid w:val="007168C9"/>
    <w:rsid w:val="007168F5"/>
    <w:rsid w:val="00717099"/>
    <w:rsid w:val="00717A7C"/>
    <w:rsid w:val="00717AED"/>
    <w:rsid w:val="007208FE"/>
    <w:rsid w:val="00721B5C"/>
    <w:rsid w:val="00721F1B"/>
    <w:rsid w:val="00722543"/>
    <w:rsid w:val="00723226"/>
    <w:rsid w:val="0072368E"/>
    <w:rsid w:val="00723ACB"/>
    <w:rsid w:val="00723D3A"/>
    <w:rsid w:val="00723E3C"/>
    <w:rsid w:val="007242ED"/>
    <w:rsid w:val="007247E6"/>
    <w:rsid w:val="00724964"/>
    <w:rsid w:val="0072502F"/>
    <w:rsid w:val="007251D6"/>
    <w:rsid w:val="00725BAF"/>
    <w:rsid w:val="00725F97"/>
    <w:rsid w:val="00726029"/>
    <w:rsid w:val="007265B8"/>
    <w:rsid w:val="00726CA9"/>
    <w:rsid w:val="00727298"/>
    <w:rsid w:val="00727655"/>
    <w:rsid w:val="00727A3A"/>
    <w:rsid w:val="00727B9C"/>
    <w:rsid w:val="00727CAB"/>
    <w:rsid w:val="00730350"/>
    <w:rsid w:val="00730907"/>
    <w:rsid w:val="00730B13"/>
    <w:rsid w:val="00730D9C"/>
    <w:rsid w:val="00731121"/>
    <w:rsid w:val="00731192"/>
    <w:rsid w:val="0073129F"/>
    <w:rsid w:val="0073163D"/>
    <w:rsid w:val="0073192E"/>
    <w:rsid w:val="007321F5"/>
    <w:rsid w:val="0073245F"/>
    <w:rsid w:val="00732A06"/>
    <w:rsid w:val="00732C20"/>
    <w:rsid w:val="00732CB6"/>
    <w:rsid w:val="00732D8B"/>
    <w:rsid w:val="00732DE9"/>
    <w:rsid w:val="007336AD"/>
    <w:rsid w:val="00733AF3"/>
    <w:rsid w:val="00733B59"/>
    <w:rsid w:val="0073460C"/>
    <w:rsid w:val="0073476D"/>
    <w:rsid w:val="0073499E"/>
    <w:rsid w:val="00734F3A"/>
    <w:rsid w:val="00735975"/>
    <w:rsid w:val="00735ACA"/>
    <w:rsid w:val="00735AF2"/>
    <w:rsid w:val="00735BFD"/>
    <w:rsid w:val="00735D2C"/>
    <w:rsid w:val="00736CD6"/>
    <w:rsid w:val="00736FE8"/>
    <w:rsid w:val="00737083"/>
    <w:rsid w:val="0073773D"/>
    <w:rsid w:val="00737A7F"/>
    <w:rsid w:val="00737E91"/>
    <w:rsid w:val="0074020D"/>
    <w:rsid w:val="007409D0"/>
    <w:rsid w:val="00740F66"/>
    <w:rsid w:val="0074146B"/>
    <w:rsid w:val="00741696"/>
    <w:rsid w:val="007416C6"/>
    <w:rsid w:val="00742A9F"/>
    <w:rsid w:val="00742C45"/>
    <w:rsid w:val="00742DE6"/>
    <w:rsid w:val="0074427F"/>
    <w:rsid w:val="0074496D"/>
    <w:rsid w:val="0074497E"/>
    <w:rsid w:val="00744A90"/>
    <w:rsid w:val="007451DA"/>
    <w:rsid w:val="007456A3"/>
    <w:rsid w:val="00745AE1"/>
    <w:rsid w:val="007461A3"/>
    <w:rsid w:val="00746952"/>
    <w:rsid w:val="00747804"/>
    <w:rsid w:val="00747B17"/>
    <w:rsid w:val="00747D6E"/>
    <w:rsid w:val="00750156"/>
    <w:rsid w:val="00750157"/>
    <w:rsid w:val="00750712"/>
    <w:rsid w:val="007509EC"/>
    <w:rsid w:val="00751772"/>
    <w:rsid w:val="007517BD"/>
    <w:rsid w:val="00751844"/>
    <w:rsid w:val="00751954"/>
    <w:rsid w:val="00751C65"/>
    <w:rsid w:val="0075203E"/>
    <w:rsid w:val="007525CB"/>
    <w:rsid w:val="00752F1B"/>
    <w:rsid w:val="00753372"/>
    <w:rsid w:val="007534A0"/>
    <w:rsid w:val="00753C71"/>
    <w:rsid w:val="00753F81"/>
    <w:rsid w:val="0075438D"/>
    <w:rsid w:val="0075462F"/>
    <w:rsid w:val="00754875"/>
    <w:rsid w:val="00754C75"/>
    <w:rsid w:val="007557CD"/>
    <w:rsid w:val="00755A2A"/>
    <w:rsid w:val="00755CAB"/>
    <w:rsid w:val="00755F6D"/>
    <w:rsid w:val="007561B0"/>
    <w:rsid w:val="00756309"/>
    <w:rsid w:val="0075671B"/>
    <w:rsid w:val="00756FBB"/>
    <w:rsid w:val="00757465"/>
    <w:rsid w:val="007575C1"/>
    <w:rsid w:val="007576AE"/>
    <w:rsid w:val="00757A33"/>
    <w:rsid w:val="00757CBF"/>
    <w:rsid w:val="00757CF2"/>
    <w:rsid w:val="00757D27"/>
    <w:rsid w:val="00760DC5"/>
    <w:rsid w:val="00761025"/>
    <w:rsid w:val="007612D2"/>
    <w:rsid w:val="00761323"/>
    <w:rsid w:val="00761868"/>
    <w:rsid w:val="007623AE"/>
    <w:rsid w:val="0076309A"/>
    <w:rsid w:val="00763140"/>
    <w:rsid w:val="007632D8"/>
    <w:rsid w:val="0076370D"/>
    <w:rsid w:val="007637C4"/>
    <w:rsid w:val="00763D5A"/>
    <w:rsid w:val="00763E7B"/>
    <w:rsid w:val="007640F8"/>
    <w:rsid w:val="00764C40"/>
    <w:rsid w:val="007651B7"/>
    <w:rsid w:val="0076520B"/>
    <w:rsid w:val="00765482"/>
    <w:rsid w:val="00765D78"/>
    <w:rsid w:val="007662CE"/>
    <w:rsid w:val="00766A92"/>
    <w:rsid w:val="00766E7C"/>
    <w:rsid w:val="00767293"/>
    <w:rsid w:val="00767AFF"/>
    <w:rsid w:val="00767FAA"/>
    <w:rsid w:val="00770935"/>
    <w:rsid w:val="007709D7"/>
    <w:rsid w:val="00770AB8"/>
    <w:rsid w:val="007712D5"/>
    <w:rsid w:val="007720B2"/>
    <w:rsid w:val="0077230C"/>
    <w:rsid w:val="00772CD0"/>
    <w:rsid w:val="007737EF"/>
    <w:rsid w:val="00773D6F"/>
    <w:rsid w:val="007745E3"/>
    <w:rsid w:val="00775F0C"/>
    <w:rsid w:val="00776253"/>
    <w:rsid w:val="007766B6"/>
    <w:rsid w:val="0077732B"/>
    <w:rsid w:val="007779A9"/>
    <w:rsid w:val="00777E87"/>
    <w:rsid w:val="00777F71"/>
    <w:rsid w:val="00780B58"/>
    <w:rsid w:val="00781241"/>
    <w:rsid w:val="00782201"/>
    <w:rsid w:val="007825EC"/>
    <w:rsid w:val="00782796"/>
    <w:rsid w:val="007828FD"/>
    <w:rsid w:val="00783265"/>
    <w:rsid w:val="00783849"/>
    <w:rsid w:val="007838BC"/>
    <w:rsid w:val="00784BC6"/>
    <w:rsid w:val="00784C66"/>
    <w:rsid w:val="007851EC"/>
    <w:rsid w:val="00785687"/>
    <w:rsid w:val="0078570C"/>
    <w:rsid w:val="00785CBA"/>
    <w:rsid w:val="00785EEA"/>
    <w:rsid w:val="0078637A"/>
    <w:rsid w:val="0078642F"/>
    <w:rsid w:val="007865F2"/>
    <w:rsid w:val="00786964"/>
    <w:rsid w:val="00786BC3"/>
    <w:rsid w:val="00786FE7"/>
    <w:rsid w:val="0078720B"/>
    <w:rsid w:val="00787918"/>
    <w:rsid w:val="00787ECD"/>
    <w:rsid w:val="00787F23"/>
    <w:rsid w:val="00790181"/>
    <w:rsid w:val="00790246"/>
    <w:rsid w:val="00790692"/>
    <w:rsid w:val="00790CF8"/>
    <w:rsid w:val="00790E30"/>
    <w:rsid w:val="00790F5D"/>
    <w:rsid w:val="00792045"/>
    <w:rsid w:val="00792E74"/>
    <w:rsid w:val="00793433"/>
    <w:rsid w:val="00793647"/>
    <w:rsid w:val="00793B5F"/>
    <w:rsid w:val="00794104"/>
    <w:rsid w:val="00794BFC"/>
    <w:rsid w:val="00794D39"/>
    <w:rsid w:val="00795687"/>
    <w:rsid w:val="0079570E"/>
    <w:rsid w:val="00796301"/>
    <w:rsid w:val="00796B68"/>
    <w:rsid w:val="007977D5"/>
    <w:rsid w:val="00797885"/>
    <w:rsid w:val="00797D1F"/>
    <w:rsid w:val="00797F7F"/>
    <w:rsid w:val="007A0989"/>
    <w:rsid w:val="007A0ED0"/>
    <w:rsid w:val="007A10E0"/>
    <w:rsid w:val="007A1DBF"/>
    <w:rsid w:val="007A2D19"/>
    <w:rsid w:val="007A309D"/>
    <w:rsid w:val="007A32D0"/>
    <w:rsid w:val="007A3615"/>
    <w:rsid w:val="007A37F5"/>
    <w:rsid w:val="007A3D03"/>
    <w:rsid w:val="007A44A2"/>
    <w:rsid w:val="007A488B"/>
    <w:rsid w:val="007A4EEC"/>
    <w:rsid w:val="007A5080"/>
    <w:rsid w:val="007A512A"/>
    <w:rsid w:val="007A51FB"/>
    <w:rsid w:val="007A5C9C"/>
    <w:rsid w:val="007A616A"/>
    <w:rsid w:val="007A616E"/>
    <w:rsid w:val="007A66FB"/>
    <w:rsid w:val="007A6ABA"/>
    <w:rsid w:val="007A71DD"/>
    <w:rsid w:val="007A7526"/>
    <w:rsid w:val="007A7FCF"/>
    <w:rsid w:val="007B07C4"/>
    <w:rsid w:val="007B0A46"/>
    <w:rsid w:val="007B12F6"/>
    <w:rsid w:val="007B13DE"/>
    <w:rsid w:val="007B17E0"/>
    <w:rsid w:val="007B1930"/>
    <w:rsid w:val="007B2159"/>
    <w:rsid w:val="007B2D76"/>
    <w:rsid w:val="007B3471"/>
    <w:rsid w:val="007B3BC8"/>
    <w:rsid w:val="007B3E25"/>
    <w:rsid w:val="007B3E36"/>
    <w:rsid w:val="007B429D"/>
    <w:rsid w:val="007B4583"/>
    <w:rsid w:val="007B4875"/>
    <w:rsid w:val="007B4FB8"/>
    <w:rsid w:val="007B5546"/>
    <w:rsid w:val="007B59F3"/>
    <w:rsid w:val="007B5F04"/>
    <w:rsid w:val="007B6005"/>
    <w:rsid w:val="007B621E"/>
    <w:rsid w:val="007B7184"/>
    <w:rsid w:val="007B75F8"/>
    <w:rsid w:val="007B7949"/>
    <w:rsid w:val="007B7B5A"/>
    <w:rsid w:val="007C0095"/>
    <w:rsid w:val="007C02FA"/>
    <w:rsid w:val="007C03B1"/>
    <w:rsid w:val="007C1811"/>
    <w:rsid w:val="007C3124"/>
    <w:rsid w:val="007C35F5"/>
    <w:rsid w:val="007C3901"/>
    <w:rsid w:val="007C3ED2"/>
    <w:rsid w:val="007C4DEA"/>
    <w:rsid w:val="007C5498"/>
    <w:rsid w:val="007C5E46"/>
    <w:rsid w:val="007C6113"/>
    <w:rsid w:val="007C73D6"/>
    <w:rsid w:val="007C7984"/>
    <w:rsid w:val="007C7FF0"/>
    <w:rsid w:val="007D0108"/>
    <w:rsid w:val="007D0153"/>
    <w:rsid w:val="007D0160"/>
    <w:rsid w:val="007D09F2"/>
    <w:rsid w:val="007D0B6D"/>
    <w:rsid w:val="007D1A91"/>
    <w:rsid w:val="007D1D8E"/>
    <w:rsid w:val="007D23A4"/>
    <w:rsid w:val="007D24CD"/>
    <w:rsid w:val="007D353B"/>
    <w:rsid w:val="007D3647"/>
    <w:rsid w:val="007D3C40"/>
    <w:rsid w:val="007D42F8"/>
    <w:rsid w:val="007D434C"/>
    <w:rsid w:val="007D48A6"/>
    <w:rsid w:val="007D48DC"/>
    <w:rsid w:val="007D490F"/>
    <w:rsid w:val="007D4DE9"/>
    <w:rsid w:val="007D5036"/>
    <w:rsid w:val="007D5045"/>
    <w:rsid w:val="007D5397"/>
    <w:rsid w:val="007D53B2"/>
    <w:rsid w:val="007D58F8"/>
    <w:rsid w:val="007D6036"/>
    <w:rsid w:val="007D604F"/>
    <w:rsid w:val="007D63D4"/>
    <w:rsid w:val="007D684E"/>
    <w:rsid w:val="007D6D71"/>
    <w:rsid w:val="007D74CB"/>
    <w:rsid w:val="007D7E35"/>
    <w:rsid w:val="007E03DD"/>
    <w:rsid w:val="007E042E"/>
    <w:rsid w:val="007E049B"/>
    <w:rsid w:val="007E0B0C"/>
    <w:rsid w:val="007E0DCB"/>
    <w:rsid w:val="007E1C44"/>
    <w:rsid w:val="007E272D"/>
    <w:rsid w:val="007E3516"/>
    <w:rsid w:val="007E5083"/>
    <w:rsid w:val="007E5124"/>
    <w:rsid w:val="007E5B1D"/>
    <w:rsid w:val="007E64B4"/>
    <w:rsid w:val="007E664D"/>
    <w:rsid w:val="007E6BEA"/>
    <w:rsid w:val="007E7743"/>
    <w:rsid w:val="007E78C7"/>
    <w:rsid w:val="007E7DED"/>
    <w:rsid w:val="007E7F8B"/>
    <w:rsid w:val="007F0155"/>
    <w:rsid w:val="007F08FB"/>
    <w:rsid w:val="007F0E15"/>
    <w:rsid w:val="007F2652"/>
    <w:rsid w:val="007F2B18"/>
    <w:rsid w:val="007F3082"/>
    <w:rsid w:val="007F31B4"/>
    <w:rsid w:val="007F322C"/>
    <w:rsid w:val="007F326C"/>
    <w:rsid w:val="007F3739"/>
    <w:rsid w:val="007F398B"/>
    <w:rsid w:val="007F3F2E"/>
    <w:rsid w:val="007F4316"/>
    <w:rsid w:val="007F49D3"/>
    <w:rsid w:val="007F4B88"/>
    <w:rsid w:val="007F554B"/>
    <w:rsid w:val="007F6056"/>
    <w:rsid w:val="007F61B5"/>
    <w:rsid w:val="007F620E"/>
    <w:rsid w:val="007F6844"/>
    <w:rsid w:val="007F6999"/>
    <w:rsid w:val="007F6AF0"/>
    <w:rsid w:val="007F6DDC"/>
    <w:rsid w:val="007F7186"/>
    <w:rsid w:val="007F73BB"/>
    <w:rsid w:val="007F75E3"/>
    <w:rsid w:val="007F7FA1"/>
    <w:rsid w:val="008002B7"/>
    <w:rsid w:val="0080040D"/>
    <w:rsid w:val="008004D6"/>
    <w:rsid w:val="00800687"/>
    <w:rsid w:val="008009CC"/>
    <w:rsid w:val="00800ABE"/>
    <w:rsid w:val="00800E54"/>
    <w:rsid w:val="00801F21"/>
    <w:rsid w:val="008022A3"/>
    <w:rsid w:val="008025D9"/>
    <w:rsid w:val="008032AD"/>
    <w:rsid w:val="008033DD"/>
    <w:rsid w:val="008036A4"/>
    <w:rsid w:val="008039D3"/>
    <w:rsid w:val="00803B0C"/>
    <w:rsid w:val="00803C1C"/>
    <w:rsid w:val="00803E36"/>
    <w:rsid w:val="008049FF"/>
    <w:rsid w:val="00804D94"/>
    <w:rsid w:val="008051D8"/>
    <w:rsid w:val="0080524D"/>
    <w:rsid w:val="00805744"/>
    <w:rsid w:val="00805B17"/>
    <w:rsid w:val="008060C7"/>
    <w:rsid w:val="00806613"/>
    <w:rsid w:val="00806655"/>
    <w:rsid w:val="0080692D"/>
    <w:rsid w:val="00806966"/>
    <w:rsid w:val="00806FB2"/>
    <w:rsid w:val="008079A3"/>
    <w:rsid w:val="00807EEE"/>
    <w:rsid w:val="00810504"/>
    <w:rsid w:val="00811A00"/>
    <w:rsid w:val="0081225D"/>
    <w:rsid w:val="0081289D"/>
    <w:rsid w:val="00812A24"/>
    <w:rsid w:val="00812C0B"/>
    <w:rsid w:val="008139A4"/>
    <w:rsid w:val="00814100"/>
    <w:rsid w:val="0081419E"/>
    <w:rsid w:val="00814C5B"/>
    <w:rsid w:val="008157FD"/>
    <w:rsid w:val="00815EF5"/>
    <w:rsid w:val="00816007"/>
    <w:rsid w:val="00816053"/>
    <w:rsid w:val="00816484"/>
    <w:rsid w:val="008173EA"/>
    <w:rsid w:val="00817600"/>
    <w:rsid w:val="00817818"/>
    <w:rsid w:val="00817A8D"/>
    <w:rsid w:val="00817E18"/>
    <w:rsid w:val="00817F81"/>
    <w:rsid w:val="00820BC0"/>
    <w:rsid w:val="0082180E"/>
    <w:rsid w:val="00822499"/>
    <w:rsid w:val="008229E1"/>
    <w:rsid w:val="00822C28"/>
    <w:rsid w:val="00822DFA"/>
    <w:rsid w:val="0082309A"/>
    <w:rsid w:val="0082330D"/>
    <w:rsid w:val="008234A3"/>
    <w:rsid w:val="008236EB"/>
    <w:rsid w:val="008239DD"/>
    <w:rsid w:val="00823A10"/>
    <w:rsid w:val="00823CBC"/>
    <w:rsid w:val="00823CE3"/>
    <w:rsid w:val="0082443A"/>
    <w:rsid w:val="00824DF0"/>
    <w:rsid w:val="00824FCC"/>
    <w:rsid w:val="008250FF"/>
    <w:rsid w:val="008251F3"/>
    <w:rsid w:val="0082556E"/>
    <w:rsid w:val="0082584C"/>
    <w:rsid w:val="0082670D"/>
    <w:rsid w:val="008270AE"/>
    <w:rsid w:val="00827AEA"/>
    <w:rsid w:val="00830119"/>
    <w:rsid w:val="008303CA"/>
    <w:rsid w:val="008303F9"/>
    <w:rsid w:val="00830639"/>
    <w:rsid w:val="00830724"/>
    <w:rsid w:val="008309C9"/>
    <w:rsid w:val="00830EF0"/>
    <w:rsid w:val="008318C5"/>
    <w:rsid w:val="00831C6E"/>
    <w:rsid w:val="00831E33"/>
    <w:rsid w:val="00832346"/>
    <w:rsid w:val="00832ECD"/>
    <w:rsid w:val="0083313C"/>
    <w:rsid w:val="0083320D"/>
    <w:rsid w:val="0083368A"/>
    <w:rsid w:val="00833B95"/>
    <w:rsid w:val="008340FD"/>
    <w:rsid w:val="00834285"/>
    <w:rsid w:val="00834409"/>
    <w:rsid w:val="0083452D"/>
    <w:rsid w:val="00834B3A"/>
    <w:rsid w:val="00834FBD"/>
    <w:rsid w:val="00835986"/>
    <w:rsid w:val="00835BC8"/>
    <w:rsid w:val="0083631D"/>
    <w:rsid w:val="00836BA8"/>
    <w:rsid w:val="00836C21"/>
    <w:rsid w:val="0084067C"/>
    <w:rsid w:val="0084069A"/>
    <w:rsid w:val="0084079F"/>
    <w:rsid w:val="00840B9C"/>
    <w:rsid w:val="00840D12"/>
    <w:rsid w:val="0084133F"/>
    <w:rsid w:val="0084137D"/>
    <w:rsid w:val="00841983"/>
    <w:rsid w:val="00841E83"/>
    <w:rsid w:val="00843304"/>
    <w:rsid w:val="00843C87"/>
    <w:rsid w:val="00844079"/>
    <w:rsid w:val="008444D0"/>
    <w:rsid w:val="00845536"/>
    <w:rsid w:val="00845827"/>
    <w:rsid w:val="00845916"/>
    <w:rsid w:val="008461C3"/>
    <w:rsid w:val="00846205"/>
    <w:rsid w:val="0084627E"/>
    <w:rsid w:val="008463D7"/>
    <w:rsid w:val="008477DD"/>
    <w:rsid w:val="008478D5"/>
    <w:rsid w:val="00847AA5"/>
    <w:rsid w:val="008500E3"/>
    <w:rsid w:val="008502A5"/>
    <w:rsid w:val="0085040D"/>
    <w:rsid w:val="00851597"/>
    <w:rsid w:val="00851B3C"/>
    <w:rsid w:val="00851D4E"/>
    <w:rsid w:val="00851F07"/>
    <w:rsid w:val="008526BE"/>
    <w:rsid w:val="00852B73"/>
    <w:rsid w:val="0085320C"/>
    <w:rsid w:val="008532FB"/>
    <w:rsid w:val="008533AE"/>
    <w:rsid w:val="00853A76"/>
    <w:rsid w:val="00853C34"/>
    <w:rsid w:val="00853D48"/>
    <w:rsid w:val="008545E5"/>
    <w:rsid w:val="008546FC"/>
    <w:rsid w:val="00854C1F"/>
    <w:rsid w:val="00855637"/>
    <w:rsid w:val="0085585E"/>
    <w:rsid w:val="00856576"/>
    <w:rsid w:val="00856AE4"/>
    <w:rsid w:val="00856F26"/>
    <w:rsid w:val="00856FE4"/>
    <w:rsid w:val="0086014F"/>
    <w:rsid w:val="00860B60"/>
    <w:rsid w:val="00861206"/>
    <w:rsid w:val="00861293"/>
    <w:rsid w:val="008614FC"/>
    <w:rsid w:val="008616EC"/>
    <w:rsid w:val="00861828"/>
    <w:rsid w:val="0086240D"/>
    <w:rsid w:val="00862E9F"/>
    <w:rsid w:val="0086347C"/>
    <w:rsid w:val="00863600"/>
    <w:rsid w:val="00863712"/>
    <w:rsid w:val="00863785"/>
    <w:rsid w:val="00863D5D"/>
    <w:rsid w:val="00863D64"/>
    <w:rsid w:val="00863DF9"/>
    <w:rsid w:val="00864236"/>
    <w:rsid w:val="00864390"/>
    <w:rsid w:val="00865569"/>
    <w:rsid w:val="00865644"/>
    <w:rsid w:val="008657C7"/>
    <w:rsid w:val="00865C2C"/>
    <w:rsid w:val="00865F58"/>
    <w:rsid w:val="00865F98"/>
    <w:rsid w:val="00866C89"/>
    <w:rsid w:val="00866CC4"/>
    <w:rsid w:val="00866DAD"/>
    <w:rsid w:val="00866E9B"/>
    <w:rsid w:val="00866F8C"/>
    <w:rsid w:val="00867980"/>
    <w:rsid w:val="008700DC"/>
    <w:rsid w:val="008700E0"/>
    <w:rsid w:val="0087024D"/>
    <w:rsid w:val="008705AD"/>
    <w:rsid w:val="0087138B"/>
    <w:rsid w:val="0087183A"/>
    <w:rsid w:val="008718C5"/>
    <w:rsid w:val="0087338F"/>
    <w:rsid w:val="008741DC"/>
    <w:rsid w:val="00874597"/>
    <w:rsid w:val="0087536D"/>
    <w:rsid w:val="0087568F"/>
    <w:rsid w:val="008757B9"/>
    <w:rsid w:val="0087598C"/>
    <w:rsid w:val="00875B99"/>
    <w:rsid w:val="00875C04"/>
    <w:rsid w:val="00875D5F"/>
    <w:rsid w:val="008761F0"/>
    <w:rsid w:val="00876251"/>
    <w:rsid w:val="00876838"/>
    <w:rsid w:val="008768B9"/>
    <w:rsid w:val="00876C5F"/>
    <w:rsid w:val="008776B9"/>
    <w:rsid w:val="00877893"/>
    <w:rsid w:val="008778A5"/>
    <w:rsid w:val="008779BF"/>
    <w:rsid w:val="00877EF5"/>
    <w:rsid w:val="00880FA4"/>
    <w:rsid w:val="00881193"/>
    <w:rsid w:val="00881195"/>
    <w:rsid w:val="00881391"/>
    <w:rsid w:val="008813F6"/>
    <w:rsid w:val="0088150D"/>
    <w:rsid w:val="00881C72"/>
    <w:rsid w:val="00881EB0"/>
    <w:rsid w:val="0088282C"/>
    <w:rsid w:val="00882954"/>
    <w:rsid w:val="008831B3"/>
    <w:rsid w:val="008838EE"/>
    <w:rsid w:val="00883EEF"/>
    <w:rsid w:val="00883F83"/>
    <w:rsid w:val="008843EB"/>
    <w:rsid w:val="0088459B"/>
    <w:rsid w:val="0088461B"/>
    <w:rsid w:val="00884813"/>
    <w:rsid w:val="00884BA6"/>
    <w:rsid w:val="00885404"/>
    <w:rsid w:val="00885B83"/>
    <w:rsid w:val="00885D5A"/>
    <w:rsid w:val="00885D69"/>
    <w:rsid w:val="0088641C"/>
    <w:rsid w:val="008865CC"/>
    <w:rsid w:val="00886903"/>
    <w:rsid w:val="00886945"/>
    <w:rsid w:val="008879FE"/>
    <w:rsid w:val="00887A77"/>
    <w:rsid w:val="00887A94"/>
    <w:rsid w:val="00887D9A"/>
    <w:rsid w:val="00887F45"/>
    <w:rsid w:val="0089030C"/>
    <w:rsid w:val="00890477"/>
    <w:rsid w:val="008904A4"/>
    <w:rsid w:val="00890D7E"/>
    <w:rsid w:val="00890DB7"/>
    <w:rsid w:val="00890FBC"/>
    <w:rsid w:val="00891021"/>
    <w:rsid w:val="0089104D"/>
    <w:rsid w:val="008917D4"/>
    <w:rsid w:val="0089219C"/>
    <w:rsid w:val="00892524"/>
    <w:rsid w:val="00892EFA"/>
    <w:rsid w:val="008944D9"/>
    <w:rsid w:val="00894B74"/>
    <w:rsid w:val="00894C35"/>
    <w:rsid w:val="00894CC2"/>
    <w:rsid w:val="0089571E"/>
    <w:rsid w:val="0089577D"/>
    <w:rsid w:val="008957DF"/>
    <w:rsid w:val="00895816"/>
    <w:rsid w:val="00895B1E"/>
    <w:rsid w:val="00895D53"/>
    <w:rsid w:val="00896414"/>
    <w:rsid w:val="00896F5B"/>
    <w:rsid w:val="008973F8"/>
    <w:rsid w:val="00897414"/>
    <w:rsid w:val="00897814"/>
    <w:rsid w:val="00897907"/>
    <w:rsid w:val="00897E56"/>
    <w:rsid w:val="00897F78"/>
    <w:rsid w:val="008A0103"/>
    <w:rsid w:val="008A01B1"/>
    <w:rsid w:val="008A02FA"/>
    <w:rsid w:val="008A0D74"/>
    <w:rsid w:val="008A137F"/>
    <w:rsid w:val="008A13A5"/>
    <w:rsid w:val="008A196E"/>
    <w:rsid w:val="008A1A67"/>
    <w:rsid w:val="008A1C2D"/>
    <w:rsid w:val="008A312C"/>
    <w:rsid w:val="008A3F45"/>
    <w:rsid w:val="008A3FB4"/>
    <w:rsid w:val="008A43C5"/>
    <w:rsid w:val="008A447A"/>
    <w:rsid w:val="008A45E5"/>
    <w:rsid w:val="008A4C1F"/>
    <w:rsid w:val="008A4CC8"/>
    <w:rsid w:val="008A50F9"/>
    <w:rsid w:val="008A540B"/>
    <w:rsid w:val="008A550B"/>
    <w:rsid w:val="008A5B62"/>
    <w:rsid w:val="008A745C"/>
    <w:rsid w:val="008A768F"/>
    <w:rsid w:val="008B01C5"/>
    <w:rsid w:val="008B0705"/>
    <w:rsid w:val="008B0BD6"/>
    <w:rsid w:val="008B128D"/>
    <w:rsid w:val="008B1BEA"/>
    <w:rsid w:val="008B1D16"/>
    <w:rsid w:val="008B1E5A"/>
    <w:rsid w:val="008B1F40"/>
    <w:rsid w:val="008B2114"/>
    <w:rsid w:val="008B211C"/>
    <w:rsid w:val="008B2142"/>
    <w:rsid w:val="008B219E"/>
    <w:rsid w:val="008B21EB"/>
    <w:rsid w:val="008B2497"/>
    <w:rsid w:val="008B263E"/>
    <w:rsid w:val="008B2917"/>
    <w:rsid w:val="008B3175"/>
    <w:rsid w:val="008B31C0"/>
    <w:rsid w:val="008B32B5"/>
    <w:rsid w:val="008B3546"/>
    <w:rsid w:val="008B383A"/>
    <w:rsid w:val="008B48E5"/>
    <w:rsid w:val="008B4918"/>
    <w:rsid w:val="008B4A08"/>
    <w:rsid w:val="008B5836"/>
    <w:rsid w:val="008B5A81"/>
    <w:rsid w:val="008B5B71"/>
    <w:rsid w:val="008B5C3A"/>
    <w:rsid w:val="008B6404"/>
    <w:rsid w:val="008B6879"/>
    <w:rsid w:val="008B6CAC"/>
    <w:rsid w:val="008B7095"/>
    <w:rsid w:val="008B7C56"/>
    <w:rsid w:val="008B7D69"/>
    <w:rsid w:val="008C0055"/>
    <w:rsid w:val="008C0089"/>
    <w:rsid w:val="008C0161"/>
    <w:rsid w:val="008C02BF"/>
    <w:rsid w:val="008C038A"/>
    <w:rsid w:val="008C0462"/>
    <w:rsid w:val="008C0ADC"/>
    <w:rsid w:val="008C129C"/>
    <w:rsid w:val="008C1574"/>
    <w:rsid w:val="008C15B7"/>
    <w:rsid w:val="008C262D"/>
    <w:rsid w:val="008C2724"/>
    <w:rsid w:val="008C27A4"/>
    <w:rsid w:val="008C2DAA"/>
    <w:rsid w:val="008C33EF"/>
    <w:rsid w:val="008C3441"/>
    <w:rsid w:val="008C36D2"/>
    <w:rsid w:val="008C37F0"/>
    <w:rsid w:val="008C39A5"/>
    <w:rsid w:val="008C47A8"/>
    <w:rsid w:val="008C4CDA"/>
    <w:rsid w:val="008C50CF"/>
    <w:rsid w:val="008C510F"/>
    <w:rsid w:val="008C55D5"/>
    <w:rsid w:val="008C5D0D"/>
    <w:rsid w:val="008C5E1B"/>
    <w:rsid w:val="008C5F80"/>
    <w:rsid w:val="008C68E9"/>
    <w:rsid w:val="008C6986"/>
    <w:rsid w:val="008C7990"/>
    <w:rsid w:val="008C79B0"/>
    <w:rsid w:val="008C7ABE"/>
    <w:rsid w:val="008D08D6"/>
    <w:rsid w:val="008D0EBA"/>
    <w:rsid w:val="008D1160"/>
    <w:rsid w:val="008D1490"/>
    <w:rsid w:val="008D1891"/>
    <w:rsid w:val="008D18BE"/>
    <w:rsid w:val="008D1BB6"/>
    <w:rsid w:val="008D21D8"/>
    <w:rsid w:val="008D279C"/>
    <w:rsid w:val="008D2A31"/>
    <w:rsid w:val="008D3C34"/>
    <w:rsid w:val="008D3FBA"/>
    <w:rsid w:val="008D47AE"/>
    <w:rsid w:val="008D539B"/>
    <w:rsid w:val="008D53EB"/>
    <w:rsid w:val="008D559C"/>
    <w:rsid w:val="008D6AA8"/>
    <w:rsid w:val="008D743B"/>
    <w:rsid w:val="008D7B86"/>
    <w:rsid w:val="008D7C7D"/>
    <w:rsid w:val="008D7E26"/>
    <w:rsid w:val="008D7EBF"/>
    <w:rsid w:val="008D7ED4"/>
    <w:rsid w:val="008E057B"/>
    <w:rsid w:val="008E0A3E"/>
    <w:rsid w:val="008E0D11"/>
    <w:rsid w:val="008E10DD"/>
    <w:rsid w:val="008E11E2"/>
    <w:rsid w:val="008E1BD8"/>
    <w:rsid w:val="008E1D50"/>
    <w:rsid w:val="008E1D8D"/>
    <w:rsid w:val="008E209F"/>
    <w:rsid w:val="008E20FA"/>
    <w:rsid w:val="008E2113"/>
    <w:rsid w:val="008E2289"/>
    <w:rsid w:val="008E27C5"/>
    <w:rsid w:val="008E2E3E"/>
    <w:rsid w:val="008E35DD"/>
    <w:rsid w:val="008E35F5"/>
    <w:rsid w:val="008E3697"/>
    <w:rsid w:val="008E38BB"/>
    <w:rsid w:val="008E42ED"/>
    <w:rsid w:val="008E43FF"/>
    <w:rsid w:val="008E47D4"/>
    <w:rsid w:val="008E4C0A"/>
    <w:rsid w:val="008E4F41"/>
    <w:rsid w:val="008E5139"/>
    <w:rsid w:val="008E5385"/>
    <w:rsid w:val="008E5884"/>
    <w:rsid w:val="008E58C4"/>
    <w:rsid w:val="008E5BA9"/>
    <w:rsid w:val="008E63C8"/>
    <w:rsid w:val="008E647D"/>
    <w:rsid w:val="008E69A6"/>
    <w:rsid w:val="008E7017"/>
    <w:rsid w:val="008F0099"/>
    <w:rsid w:val="008F0128"/>
    <w:rsid w:val="008F0136"/>
    <w:rsid w:val="008F0239"/>
    <w:rsid w:val="008F023C"/>
    <w:rsid w:val="008F09B2"/>
    <w:rsid w:val="008F09C8"/>
    <w:rsid w:val="008F0B21"/>
    <w:rsid w:val="008F0B56"/>
    <w:rsid w:val="008F0BE6"/>
    <w:rsid w:val="008F0DE7"/>
    <w:rsid w:val="008F0E32"/>
    <w:rsid w:val="008F15D0"/>
    <w:rsid w:val="008F1675"/>
    <w:rsid w:val="008F1B53"/>
    <w:rsid w:val="008F1DEF"/>
    <w:rsid w:val="008F1E2E"/>
    <w:rsid w:val="008F2EE9"/>
    <w:rsid w:val="008F2FCD"/>
    <w:rsid w:val="008F39A9"/>
    <w:rsid w:val="008F39EE"/>
    <w:rsid w:val="008F4257"/>
    <w:rsid w:val="008F46B9"/>
    <w:rsid w:val="008F5589"/>
    <w:rsid w:val="008F56FB"/>
    <w:rsid w:val="008F5DA8"/>
    <w:rsid w:val="008F5E7C"/>
    <w:rsid w:val="008F5EFD"/>
    <w:rsid w:val="008F6579"/>
    <w:rsid w:val="008F6CCD"/>
    <w:rsid w:val="008F75CD"/>
    <w:rsid w:val="008F7830"/>
    <w:rsid w:val="008F792B"/>
    <w:rsid w:val="00900164"/>
    <w:rsid w:val="009004A8"/>
    <w:rsid w:val="009007DF"/>
    <w:rsid w:val="00900D28"/>
    <w:rsid w:val="00900DA8"/>
    <w:rsid w:val="00900FD7"/>
    <w:rsid w:val="00901431"/>
    <w:rsid w:val="0090193C"/>
    <w:rsid w:val="00901CF3"/>
    <w:rsid w:val="00901E01"/>
    <w:rsid w:val="00901F0D"/>
    <w:rsid w:val="00902031"/>
    <w:rsid w:val="009020FF"/>
    <w:rsid w:val="00902759"/>
    <w:rsid w:val="00902A7E"/>
    <w:rsid w:val="00903202"/>
    <w:rsid w:val="00903ACF"/>
    <w:rsid w:val="009041C9"/>
    <w:rsid w:val="00904489"/>
    <w:rsid w:val="009045BC"/>
    <w:rsid w:val="009048EB"/>
    <w:rsid w:val="0090492A"/>
    <w:rsid w:val="00904CD3"/>
    <w:rsid w:val="00904ECB"/>
    <w:rsid w:val="0090546D"/>
    <w:rsid w:val="00905571"/>
    <w:rsid w:val="009058E7"/>
    <w:rsid w:val="009059F2"/>
    <w:rsid w:val="00906198"/>
    <w:rsid w:val="0090665E"/>
    <w:rsid w:val="00906996"/>
    <w:rsid w:val="00906D1B"/>
    <w:rsid w:val="00907459"/>
    <w:rsid w:val="00910288"/>
    <w:rsid w:val="009117DA"/>
    <w:rsid w:val="00911AEC"/>
    <w:rsid w:val="00911E4F"/>
    <w:rsid w:val="00912456"/>
    <w:rsid w:val="00912617"/>
    <w:rsid w:val="009127DE"/>
    <w:rsid w:val="00913093"/>
    <w:rsid w:val="00913998"/>
    <w:rsid w:val="00913D59"/>
    <w:rsid w:val="009142D5"/>
    <w:rsid w:val="009142E7"/>
    <w:rsid w:val="00914326"/>
    <w:rsid w:val="00914DEE"/>
    <w:rsid w:val="00914E46"/>
    <w:rsid w:val="0091509F"/>
    <w:rsid w:val="00915A13"/>
    <w:rsid w:val="00915E99"/>
    <w:rsid w:val="0091669C"/>
    <w:rsid w:val="00916809"/>
    <w:rsid w:val="009168A5"/>
    <w:rsid w:val="00916A31"/>
    <w:rsid w:val="00916C3B"/>
    <w:rsid w:val="00916C78"/>
    <w:rsid w:val="00916D8A"/>
    <w:rsid w:val="009170A7"/>
    <w:rsid w:val="00917445"/>
    <w:rsid w:val="00917948"/>
    <w:rsid w:val="00917B1D"/>
    <w:rsid w:val="00920418"/>
    <w:rsid w:val="009204B3"/>
    <w:rsid w:val="009208D1"/>
    <w:rsid w:val="009208EA"/>
    <w:rsid w:val="00921021"/>
    <w:rsid w:val="009214EE"/>
    <w:rsid w:val="00921718"/>
    <w:rsid w:val="00921D78"/>
    <w:rsid w:val="00922451"/>
    <w:rsid w:val="0092280E"/>
    <w:rsid w:val="00923071"/>
    <w:rsid w:val="00923AAF"/>
    <w:rsid w:val="00923ABF"/>
    <w:rsid w:val="00923E05"/>
    <w:rsid w:val="00923F8C"/>
    <w:rsid w:val="00923FE6"/>
    <w:rsid w:val="0092407C"/>
    <w:rsid w:val="009241FF"/>
    <w:rsid w:val="0092457D"/>
    <w:rsid w:val="00924B5A"/>
    <w:rsid w:val="00924DB9"/>
    <w:rsid w:val="00925209"/>
    <w:rsid w:val="00925260"/>
    <w:rsid w:val="009257EC"/>
    <w:rsid w:val="0092588B"/>
    <w:rsid w:val="00925A9D"/>
    <w:rsid w:val="00925E90"/>
    <w:rsid w:val="0092629F"/>
    <w:rsid w:val="00927308"/>
    <w:rsid w:val="00927640"/>
    <w:rsid w:val="009276A6"/>
    <w:rsid w:val="00930026"/>
    <w:rsid w:val="00930270"/>
    <w:rsid w:val="009303E1"/>
    <w:rsid w:val="00932469"/>
    <w:rsid w:val="00932ECD"/>
    <w:rsid w:val="0093319E"/>
    <w:rsid w:val="009333E9"/>
    <w:rsid w:val="00933B6A"/>
    <w:rsid w:val="00933D35"/>
    <w:rsid w:val="00934202"/>
    <w:rsid w:val="0093423C"/>
    <w:rsid w:val="00934F7C"/>
    <w:rsid w:val="0093531C"/>
    <w:rsid w:val="00935410"/>
    <w:rsid w:val="00935505"/>
    <w:rsid w:val="009359C4"/>
    <w:rsid w:val="00935C48"/>
    <w:rsid w:val="00935D28"/>
    <w:rsid w:val="00935D4D"/>
    <w:rsid w:val="0093606F"/>
    <w:rsid w:val="009362F1"/>
    <w:rsid w:val="00936362"/>
    <w:rsid w:val="0093697B"/>
    <w:rsid w:val="0093700B"/>
    <w:rsid w:val="009371C1"/>
    <w:rsid w:val="009376A8"/>
    <w:rsid w:val="00940DB9"/>
    <w:rsid w:val="00940F68"/>
    <w:rsid w:val="0094117E"/>
    <w:rsid w:val="009416C1"/>
    <w:rsid w:val="0094241D"/>
    <w:rsid w:val="00942D90"/>
    <w:rsid w:val="00942EC3"/>
    <w:rsid w:val="00943353"/>
    <w:rsid w:val="00943DA0"/>
    <w:rsid w:val="00944885"/>
    <w:rsid w:val="0094558C"/>
    <w:rsid w:val="00945605"/>
    <w:rsid w:val="00946B80"/>
    <w:rsid w:val="00946BBD"/>
    <w:rsid w:val="00946CAA"/>
    <w:rsid w:val="00947987"/>
    <w:rsid w:val="00947ADE"/>
    <w:rsid w:val="00947E0E"/>
    <w:rsid w:val="00950081"/>
    <w:rsid w:val="00950953"/>
    <w:rsid w:val="00950B16"/>
    <w:rsid w:val="00951110"/>
    <w:rsid w:val="00951549"/>
    <w:rsid w:val="009517CF"/>
    <w:rsid w:val="009517E1"/>
    <w:rsid w:val="00952048"/>
    <w:rsid w:val="00952A2A"/>
    <w:rsid w:val="00952CFC"/>
    <w:rsid w:val="00952E4D"/>
    <w:rsid w:val="00953350"/>
    <w:rsid w:val="009538E7"/>
    <w:rsid w:val="00954140"/>
    <w:rsid w:val="0095484C"/>
    <w:rsid w:val="00954B6D"/>
    <w:rsid w:val="00955008"/>
    <w:rsid w:val="00956961"/>
    <w:rsid w:val="00956D31"/>
    <w:rsid w:val="00957083"/>
    <w:rsid w:val="0095751A"/>
    <w:rsid w:val="00957573"/>
    <w:rsid w:val="00957A4F"/>
    <w:rsid w:val="009603AF"/>
    <w:rsid w:val="009606AB"/>
    <w:rsid w:val="009606BE"/>
    <w:rsid w:val="009620C8"/>
    <w:rsid w:val="0096218C"/>
    <w:rsid w:val="00963277"/>
    <w:rsid w:val="00963385"/>
    <w:rsid w:val="00963450"/>
    <w:rsid w:val="009646C5"/>
    <w:rsid w:val="00964BF6"/>
    <w:rsid w:val="00964C0A"/>
    <w:rsid w:val="00964DD4"/>
    <w:rsid w:val="009659D1"/>
    <w:rsid w:val="00966439"/>
    <w:rsid w:val="00966955"/>
    <w:rsid w:val="0096790C"/>
    <w:rsid w:val="00970CF4"/>
    <w:rsid w:val="00970DF2"/>
    <w:rsid w:val="00970E31"/>
    <w:rsid w:val="00970E63"/>
    <w:rsid w:val="009715DA"/>
    <w:rsid w:val="009721B2"/>
    <w:rsid w:val="0097236A"/>
    <w:rsid w:val="0097252E"/>
    <w:rsid w:val="00972EEA"/>
    <w:rsid w:val="00973630"/>
    <w:rsid w:val="00973FDD"/>
    <w:rsid w:val="00974062"/>
    <w:rsid w:val="00975053"/>
    <w:rsid w:val="009755EF"/>
    <w:rsid w:val="009755F3"/>
    <w:rsid w:val="00975655"/>
    <w:rsid w:val="0097641C"/>
    <w:rsid w:val="009777F5"/>
    <w:rsid w:val="00977E71"/>
    <w:rsid w:val="00980276"/>
    <w:rsid w:val="00980853"/>
    <w:rsid w:val="00980983"/>
    <w:rsid w:val="00980FFE"/>
    <w:rsid w:val="00981EF8"/>
    <w:rsid w:val="00982737"/>
    <w:rsid w:val="00982D4F"/>
    <w:rsid w:val="00982DAD"/>
    <w:rsid w:val="00983208"/>
    <w:rsid w:val="009836A5"/>
    <w:rsid w:val="00983DE9"/>
    <w:rsid w:val="00984725"/>
    <w:rsid w:val="00984FD9"/>
    <w:rsid w:val="009853FA"/>
    <w:rsid w:val="00985D7C"/>
    <w:rsid w:val="0098611F"/>
    <w:rsid w:val="009871C4"/>
    <w:rsid w:val="00987365"/>
    <w:rsid w:val="009875ED"/>
    <w:rsid w:val="00987F46"/>
    <w:rsid w:val="00990033"/>
    <w:rsid w:val="009904BC"/>
    <w:rsid w:val="00991020"/>
    <w:rsid w:val="00991514"/>
    <w:rsid w:val="009918DB"/>
    <w:rsid w:val="00991D79"/>
    <w:rsid w:val="00991E20"/>
    <w:rsid w:val="00992217"/>
    <w:rsid w:val="009923F2"/>
    <w:rsid w:val="009924BA"/>
    <w:rsid w:val="009925CF"/>
    <w:rsid w:val="009926B0"/>
    <w:rsid w:val="009937DF"/>
    <w:rsid w:val="00993A72"/>
    <w:rsid w:val="00993C03"/>
    <w:rsid w:val="00993C4C"/>
    <w:rsid w:val="00993C71"/>
    <w:rsid w:val="00993E28"/>
    <w:rsid w:val="0099459C"/>
    <w:rsid w:val="0099469A"/>
    <w:rsid w:val="009948A5"/>
    <w:rsid w:val="009956AE"/>
    <w:rsid w:val="00995CE9"/>
    <w:rsid w:val="009960B9"/>
    <w:rsid w:val="00996707"/>
    <w:rsid w:val="009977A8"/>
    <w:rsid w:val="009A027F"/>
    <w:rsid w:val="009A0584"/>
    <w:rsid w:val="009A059C"/>
    <w:rsid w:val="009A177D"/>
    <w:rsid w:val="009A1924"/>
    <w:rsid w:val="009A1A12"/>
    <w:rsid w:val="009A1E04"/>
    <w:rsid w:val="009A2360"/>
    <w:rsid w:val="009A26E2"/>
    <w:rsid w:val="009A2941"/>
    <w:rsid w:val="009A3E7C"/>
    <w:rsid w:val="009A3ECA"/>
    <w:rsid w:val="009A41F5"/>
    <w:rsid w:val="009A4272"/>
    <w:rsid w:val="009A4375"/>
    <w:rsid w:val="009A4BA6"/>
    <w:rsid w:val="009A5AE0"/>
    <w:rsid w:val="009A6917"/>
    <w:rsid w:val="009A69A8"/>
    <w:rsid w:val="009A6B4D"/>
    <w:rsid w:val="009A6D40"/>
    <w:rsid w:val="009A6ED5"/>
    <w:rsid w:val="009A6EF4"/>
    <w:rsid w:val="009A7348"/>
    <w:rsid w:val="009A7CFC"/>
    <w:rsid w:val="009A7FCD"/>
    <w:rsid w:val="009B03D7"/>
    <w:rsid w:val="009B041E"/>
    <w:rsid w:val="009B1092"/>
    <w:rsid w:val="009B161D"/>
    <w:rsid w:val="009B1645"/>
    <w:rsid w:val="009B1934"/>
    <w:rsid w:val="009B1A00"/>
    <w:rsid w:val="009B1D75"/>
    <w:rsid w:val="009B2006"/>
    <w:rsid w:val="009B2064"/>
    <w:rsid w:val="009B4176"/>
    <w:rsid w:val="009B49D1"/>
    <w:rsid w:val="009B4B87"/>
    <w:rsid w:val="009B4CCA"/>
    <w:rsid w:val="009B4CEC"/>
    <w:rsid w:val="009B536D"/>
    <w:rsid w:val="009B57D8"/>
    <w:rsid w:val="009B59FD"/>
    <w:rsid w:val="009B5FD4"/>
    <w:rsid w:val="009B5FFB"/>
    <w:rsid w:val="009B629F"/>
    <w:rsid w:val="009B6767"/>
    <w:rsid w:val="009B6DD2"/>
    <w:rsid w:val="009B708C"/>
    <w:rsid w:val="009B7238"/>
    <w:rsid w:val="009B7865"/>
    <w:rsid w:val="009B797E"/>
    <w:rsid w:val="009B7D91"/>
    <w:rsid w:val="009B7FFA"/>
    <w:rsid w:val="009C0170"/>
    <w:rsid w:val="009C0A2B"/>
    <w:rsid w:val="009C0FFA"/>
    <w:rsid w:val="009C1405"/>
    <w:rsid w:val="009C19EF"/>
    <w:rsid w:val="009C22C8"/>
    <w:rsid w:val="009C23F7"/>
    <w:rsid w:val="009C29BB"/>
    <w:rsid w:val="009C2E67"/>
    <w:rsid w:val="009C3543"/>
    <w:rsid w:val="009C3B2A"/>
    <w:rsid w:val="009C3BB2"/>
    <w:rsid w:val="009C4FE6"/>
    <w:rsid w:val="009C5347"/>
    <w:rsid w:val="009C53A1"/>
    <w:rsid w:val="009C551C"/>
    <w:rsid w:val="009C5532"/>
    <w:rsid w:val="009C5AA1"/>
    <w:rsid w:val="009C5B80"/>
    <w:rsid w:val="009C5BC9"/>
    <w:rsid w:val="009C6316"/>
    <w:rsid w:val="009C688F"/>
    <w:rsid w:val="009C7827"/>
    <w:rsid w:val="009C7C57"/>
    <w:rsid w:val="009C7EAA"/>
    <w:rsid w:val="009D0412"/>
    <w:rsid w:val="009D082E"/>
    <w:rsid w:val="009D0A42"/>
    <w:rsid w:val="009D108C"/>
    <w:rsid w:val="009D1180"/>
    <w:rsid w:val="009D1491"/>
    <w:rsid w:val="009D19D1"/>
    <w:rsid w:val="009D1BFB"/>
    <w:rsid w:val="009D1FCC"/>
    <w:rsid w:val="009D2077"/>
    <w:rsid w:val="009D26C7"/>
    <w:rsid w:val="009D2D6E"/>
    <w:rsid w:val="009D30C4"/>
    <w:rsid w:val="009D31E6"/>
    <w:rsid w:val="009D3304"/>
    <w:rsid w:val="009D33EC"/>
    <w:rsid w:val="009D340D"/>
    <w:rsid w:val="009D342A"/>
    <w:rsid w:val="009D3542"/>
    <w:rsid w:val="009D3595"/>
    <w:rsid w:val="009D3674"/>
    <w:rsid w:val="009D36AA"/>
    <w:rsid w:val="009D3A49"/>
    <w:rsid w:val="009D3C61"/>
    <w:rsid w:val="009D3F6E"/>
    <w:rsid w:val="009D4169"/>
    <w:rsid w:val="009D4175"/>
    <w:rsid w:val="009D4988"/>
    <w:rsid w:val="009D4ACE"/>
    <w:rsid w:val="009D502E"/>
    <w:rsid w:val="009D50E7"/>
    <w:rsid w:val="009D56AE"/>
    <w:rsid w:val="009D61E3"/>
    <w:rsid w:val="009D63A6"/>
    <w:rsid w:val="009D6BD8"/>
    <w:rsid w:val="009D6EF5"/>
    <w:rsid w:val="009D7569"/>
    <w:rsid w:val="009D7AF1"/>
    <w:rsid w:val="009D7DAA"/>
    <w:rsid w:val="009D7F2D"/>
    <w:rsid w:val="009E01A4"/>
    <w:rsid w:val="009E0BCC"/>
    <w:rsid w:val="009E112D"/>
    <w:rsid w:val="009E191F"/>
    <w:rsid w:val="009E1A8D"/>
    <w:rsid w:val="009E1BB2"/>
    <w:rsid w:val="009E1C17"/>
    <w:rsid w:val="009E205B"/>
    <w:rsid w:val="009E210F"/>
    <w:rsid w:val="009E2E08"/>
    <w:rsid w:val="009E3049"/>
    <w:rsid w:val="009E3190"/>
    <w:rsid w:val="009E3C72"/>
    <w:rsid w:val="009E3D99"/>
    <w:rsid w:val="009E3E1E"/>
    <w:rsid w:val="009E3E2E"/>
    <w:rsid w:val="009E42B7"/>
    <w:rsid w:val="009E4BBE"/>
    <w:rsid w:val="009E50ED"/>
    <w:rsid w:val="009E5728"/>
    <w:rsid w:val="009E5944"/>
    <w:rsid w:val="009E5ED3"/>
    <w:rsid w:val="009E644A"/>
    <w:rsid w:val="009E65D1"/>
    <w:rsid w:val="009E6980"/>
    <w:rsid w:val="009E6AF6"/>
    <w:rsid w:val="009E6C4E"/>
    <w:rsid w:val="009E7843"/>
    <w:rsid w:val="009E7D30"/>
    <w:rsid w:val="009E7E52"/>
    <w:rsid w:val="009E7F86"/>
    <w:rsid w:val="009F00A3"/>
    <w:rsid w:val="009F01EC"/>
    <w:rsid w:val="009F0310"/>
    <w:rsid w:val="009F0C13"/>
    <w:rsid w:val="009F0F62"/>
    <w:rsid w:val="009F265B"/>
    <w:rsid w:val="009F28CF"/>
    <w:rsid w:val="009F2EAF"/>
    <w:rsid w:val="009F4C2C"/>
    <w:rsid w:val="009F4D72"/>
    <w:rsid w:val="009F5220"/>
    <w:rsid w:val="009F7110"/>
    <w:rsid w:val="009F74B3"/>
    <w:rsid w:val="009F7844"/>
    <w:rsid w:val="009F7A8A"/>
    <w:rsid w:val="009F7BBA"/>
    <w:rsid w:val="009F7C0E"/>
    <w:rsid w:val="009F7F96"/>
    <w:rsid w:val="00A00585"/>
    <w:rsid w:val="00A00A2B"/>
    <w:rsid w:val="00A01436"/>
    <w:rsid w:val="00A016A6"/>
    <w:rsid w:val="00A01A8C"/>
    <w:rsid w:val="00A02417"/>
    <w:rsid w:val="00A03E2C"/>
    <w:rsid w:val="00A049B9"/>
    <w:rsid w:val="00A04EE0"/>
    <w:rsid w:val="00A050D8"/>
    <w:rsid w:val="00A05E2C"/>
    <w:rsid w:val="00A06307"/>
    <w:rsid w:val="00A0682D"/>
    <w:rsid w:val="00A06D31"/>
    <w:rsid w:val="00A07230"/>
    <w:rsid w:val="00A072B0"/>
    <w:rsid w:val="00A07E10"/>
    <w:rsid w:val="00A07FB5"/>
    <w:rsid w:val="00A10062"/>
    <w:rsid w:val="00A10F86"/>
    <w:rsid w:val="00A11E37"/>
    <w:rsid w:val="00A127E2"/>
    <w:rsid w:val="00A127F0"/>
    <w:rsid w:val="00A13CBD"/>
    <w:rsid w:val="00A13E8A"/>
    <w:rsid w:val="00A142FF"/>
    <w:rsid w:val="00A1443A"/>
    <w:rsid w:val="00A14D14"/>
    <w:rsid w:val="00A14EA0"/>
    <w:rsid w:val="00A15556"/>
    <w:rsid w:val="00A15C37"/>
    <w:rsid w:val="00A1670B"/>
    <w:rsid w:val="00A17179"/>
    <w:rsid w:val="00A172B7"/>
    <w:rsid w:val="00A1736C"/>
    <w:rsid w:val="00A17D85"/>
    <w:rsid w:val="00A2019A"/>
    <w:rsid w:val="00A20274"/>
    <w:rsid w:val="00A20822"/>
    <w:rsid w:val="00A214BA"/>
    <w:rsid w:val="00A21A36"/>
    <w:rsid w:val="00A224B0"/>
    <w:rsid w:val="00A224E1"/>
    <w:rsid w:val="00A22589"/>
    <w:rsid w:val="00A23042"/>
    <w:rsid w:val="00A23483"/>
    <w:rsid w:val="00A23639"/>
    <w:rsid w:val="00A2367E"/>
    <w:rsid w:val="00A237DA"/>
    <w:rsid w:val="00A23E31"/>
    <w:rsid w:val="00A24876"/>
    <w:rsid w:val="00A2527B"/>
    <w:rsid w:val="00A25536"/>
    <w:rsid w:val="00A263AA"/>
    <w:rsid w:val="00A264D6"/>
    <w:rsid w:val="00A268FF"/>
    <w:rsid w:val="00A26E6B"/>
    <w:rsid w:val="00A2703A"/>
    <w:rsid w:val="00A270A6"/>
    <w:rsid w:val="00A27DEA"/>
    <w:rsid w:val="00A3089C"/>
    <w:rsid w:val="00A30BB8"/>
    <w:rsid w:val="00A3152F"/>
    <w:rsid w:val="00A3208E"/>
    <w:rsid w:val="00A328EB"/>
    <w:rsid w:val="00A32988"/>
    <w:rsid w:val="00A32D11"/>
    <w:rsid w:val="00A32D75"/>
    <w:rsid w:val="00A32F21"/>
    <w:rsid w:val="00A33085"/>
    <w:rsid w:val="00A330F1"/>
    <w:rsid w:val="00A3333C"/>
    <w:rsid w:val="00A33647"/>
    <w:rsid w:val="00A33664"/>
    <w:rsid w:val="00A337BF"/>
    <w:rsid w:val="00A33B66"/>
    <w:rsid w:val="00A33C30"/>
    <w:rsid w:val="00A33E03"/>
    <w:rsid w:val="00A33FBC"/>
    <w:rsid w:val="00A34285"/>
    <w:rsid w:val="00A342D4"/>
    <w:rsid w:val="00A345A7"/>
    <w:rsid w:val="00A34B7A"/>
    <w:rsid w:val="00A34EFB"/>
    <w:rsid w:val="00A356D1"/>
    <w:rsid w:val="00A36738"/>
    <w:rsid w:val="00A36EB1"/>
    <w:rsid w:val="00A371B5"/>
    <w:rsid w:val="00A37618"/>
    <w:rsid w:val="00A378D4"/>
    <w:rsid w:val="00A37C17"/>
    <w:rsid w:val="00A400D3"/>
    <w:rsid w:val="00A4092D"/>
    <w:rsid w:val="00A40D1D"/>
    <w:rsid w:val="00A40D23"/>
    <w:rsid w:val="00A40D8F"/>
    <w:rsid w:val="00A40F56"/>
    <w:rsid w:val="00A40FAD"/>
    <w:rsid w:val="00A412A7"/>
    <w:rsid w:val="00A4138E"/>
    <w:rsid w:val="00A41450"/>
    <w:rsid w:val="00A41D71"/>
    <w:rsid w:val="00A423FA"/>
    <w:rsid w:val="00A4290F"/>
    <w:rsid w:val="00A440D8"/>
    <w:rsid w:val="00A44171"/>
    <w:rsid w:val="00A44CF3"/>
    <w:rsid w:val="00A45706"/>
    <w:rsid w:val="00A45F7D"/>
    <w:rsid w:val="00A45F8E"/>
    <w:rsid w:val="00A460D7"/>
    <w:rsid w:val="00A466CA"/>
    <w:rsid w:val="00A46F6B"/>
    <w:rsid w:val="00A471A0"/>
    <w:rsid w:val="00A47F4E"/>
    <w:rsid w:val="00A5049B"/>
    <w:rsid w:val="00A50563"/>
    <w:rsid w:val="00A50D37"/>
    <w:rsid w:val="00A5130A"/>
    <w:rsid w:val="00A5187F"/>
    <w:rsid w:val="00A518AE"/>
    <w:rsid w:val="00A519C5"/>
    <w:rsid w:val="00A527D3"/>
    <w:rsid w:val="00A52C20"/>
    <w:rsid w:val="00A52E15"/>
    <w:rsid w:val="00A53C83"/>
    <w:rsid w:val="00A53CF5"/>
    <w:rsid w:val="00A53EDC"/>
    <w:rsid w:val="00A53F3E"/>
    <w:rsid w:val="00A540C0"/>
    <w:rsid w:val="00A542EC"/>
    <w:rsid w:val="00A547EC"/>
    <w:rsid w:val="00A548DE"/>
    <w:rsid w:val="00A54A0E"/>
    <w:rsid w:val="00A54AC0"/>
    <w:rsid w:val="00A55316"/>
    <w:rsid w:val="00A5544E"/>
    <w:rsid w:val="00A558A1"/>
    <w:rsid w:val="00A56DFE"/>
    <w:rsid w:val="00A56EBD"/>
    <w:rsid w:val="00A57176"/>
    <w:rsid w:val="00A57496"/>
    <w:rsid w:val="00A57AE2"/>
    <w:rsid w:val="00A57B60"/>
    <w:rsid w:val="00A57BD8"/>
    <w:rsid w:val="00A60C69"/>
    <w:rsid w:val="00A60D74"/>
    <w:rsid w:val="00A61F2E"/>
    <w:rsid w:val="00A62E1A"/>
    <w:rsid w:val="00A62F5D"/>
    <w:rsid w:val="00A634D2"/>
    <w:rsid w:val="00A63697"/>
    <w:rsid w:val="00A63AF8"/>
    <w:rsid w:val="00A63CF7"/>
    <w:rsid w:val="00A63D30"/>
    <w:rsid w:val="00A6475C"/>
    <w:rsid w:val="00A65699"/>
    <w:rsid w:val="00A65938"/>
    <w:rsid w:val="00A660A0"/>
    <w:rsid w:val="00A66114"/>
    <w:rsid w:val="00A666FE"/>
    <w:rsid w:val="00A6680B"/>
    <w:rsid w:val="00A675E4"/>
    <w:rsid w:val="00A676D3"/>
    <w:rsid w:val="00A676EE"/>
    <w:rsid w:val="00A67C95"/>
    <w:rsid w:val="00A67DCE"/>
    <w:rsid w:val="00A702C1"/>
    <w:rsid w:val="00A70B82"/>
    <w:rsid w:val="00A70DD9"/>
    <w:rsid w:val="00A71355"/>
    <w:rsid w:val="00A71518"/>
    <w:rsid w:val="00A715BC"/>
    <w:rsid w:val="00A71CE0"/>
    <w:rsid w:val="00A71D62"/>
    <w:rsid w:val="00A7239A"/>
    <w:rsid w:val="00A7254B"/>
    <w:rsid w:val="00A726DD"/>
    <w:rsid w:val="00A726DE"/>
    <w:rsid w:val="00A72F38"/>
    <w:rsid w:val="00A72FB1"/>
    <w:rsid w:val="00A73087"/>
    <w:rsid w:val="00A731B6"/>
    <w:rsid w:val="00A7382A"/>
    <w:rsid w:val="00A73A5C"/>
    <w:rsid w:val="00A73DB6"/>
    <w:rsid w:val="00A741AE"/>
    <w:rsid w:val="00A748A0"/>
    <w:rsid w:val="00A75290"/>
    <w:rsid w:val="00A75ADB"/>
    <w:rsid w:val="00A76186"/>
    <w:rsid w:val="00A7699B"/>
    <w:rsid w:val="00A77B73"/>
    <w:rsid w:val="00A77E1B"/>
    <w:rsid w:val="00A77EB2"/>
    <w:rsid w:val="00A80165"/>
    <w:rsid w:val="00A80CB9"/>
    <w:rsid w:val="00A810BA"/>
    <w:rsid w:val="00A813D7"/>
    <w:rsid w:val="00A818DA"/>
    <w:rsid w:val="00A82119"/>
    <w:rsid w:val="00A82293"/>
    <w:rsid w:val="00A825AE"/>
    <w:rsid w:val="00A832BC"/>
    <w:rsid w:val="00A83445"/>
    <w:rsid w:val="00A83A3E"/>
    <w:rsid w:val="00A84127"/>
    <w:rsid w:val="00A846E4"/>
    <w:rsid w:val="00A84850"/>
    <w:rsid w:val="00A848E4"/>
    <w:rsid w:val="00A84EB0"/>
    <w:rsid w:val="00A850AC"/>
    <w:rsid w:val="00A8512F"/>
    <w:rsid w:val="00A85447"/>
    <w:rsid w:val="00A85D6C"/>
    <w:rsid w:val="00A85E6E"/>
    <w:rsid w:val="00A85F73"/>
    <w:rsid w:val="00A86040"/>
    <w:rsid w:val="00A8626E"/>
    <w:rsid w:val="00A864D7"/>
    <w:rsid w:val="00A8663F"/>
    <w:rsid w:val="00A86692"/>
    <w:rsid w:val="00A86855"/>
    <w:rsid w:val="00A86864"/>
    <w:rsid w:val="00A86AA5"/>
    <w:rsid w:val="00A876DA"/>
    <w:rsid w:val="00A90D22"/>
    <w:rsid w:val="00A916A7"/>
    <w:rsid w:val="00A91763"/>
    <w:rsid w:val="00A9182B"/>
    <w:rsid w:val="00A91B3D"/>
    <w:rsid w:val="00A91BDF"/>
    <w:rsid w:val="00A91EB0"/>
    <w:rsid w:val="00A9282E"/>
    <w:rsid w:val="00A92913"/>
    <w:rsid w:val="00A92AAF"/>
    <w:rsid w:val="00A92F6F"/>
    <w:rsid w:val="00A93105"/>
    <w:rsid w:val="00A934F5"/>
    <w:rsid w:val="00A9372D"/>
    <w:rsid w:val="00A9376A"/>
    <w:rsid w:val="00A93A9F"/>
    <w:rsid w:val="00A93AC3"/>
    <w:rsid w:val="00A9425D"/>
    <w:rsid w:val="00A94288"/>
    <w:rsid w:val="00A9430E"/>
    <w:rsid w:val="00A9489E"/>
    <w:rsid w:val="00A95730"/>
    <w:rsid w:val="00A95A59"/>
    <w:rsid w:val="00A964C4"/>
    <w:rsid w:val="00A96853"/>
    <w:rsid w:val="00A96C72"/>
    <w:rsid w:val="00A974E1"/>
    <w:rsid w:val="00A97A92"/>
    <w:rsid w:val="00A97D21"/>
    <w:rsid w:val="00AA03AD"/>
    <w:rsid w:val="00AA0861"/>
    <w:rsid w:val="00AA0A62"/>
    <w:rsid w:val="00AA0BD8"/>
    <w:rsid w:val="00AA0F5E"/>
    <w:rsid w:val="00AA0F8A"/>
    <w:rsid w:val="00AA190A"/>
    <w:rsid w:val="00AA1AA4"/>
    <w:rsid w:val="00AA288C"/>
    <w:rsid w:val="00AA28E6"/>
    <w:rsid w:val="00AA2BE8"/>
    <w:rsid w:val="00AA3FD1"/>
    <w:rsid w:val="00AA4696"/>
    <w:rsid w:val="00AA46EC"/>
    <w:rsid w:val="00AA4930"/>
    <w:rsid w:val="00AA4A1A"/>
    <w:rsid w:val="00AA5079"/>
    <w:rsid w:val="00AA5194"/>
    <w:rsid w:val="00AA561D"/>
    <w:rsid w:val="00AA58DC"/>
    <w:rsid w:val="00AA5D3A"/>
    <w:rsid w:val="00AA5E9B"/>
    <w:rsid w:val="00AA60F9"/>
    <w:rsid w:val="00AA6241"/>
    <w:rsid w:val="00AA6524"/>
    <w:rsid w:val="00AA658A"/>
    <w:rsid w:val="00AA6774"/>
    <w:rsid w:val="00AA69B8"/>
    <w:rsid w:val="00AA76D1"/>
    <w:rsid w:val="00AB05E8"/>
    <w:rsid w:val="00AB0FC2"/>
    <w:rsid w:val="00AB1456"/>
    <w:rsid w:val="00AB21CD"/>
    <w:rsid w:val="00AB38D5"/>
    <w:rsid w:val="00AB3F01"/>
    <w:rsid w:val="00AB4E9B"/>
    <w:rsid w:val="00AB616C"/>
    <w:rsid w:val="00AB674D"/>
    <w:rsid w:val="00AB69DE"/>
    <w:rsid w:val="00AB6E4F"/>
    <w:rsid w:val="00AC0CC8"/>
    <w:rsid w:val="00AC10A3"/>
    <w:rsid w:val="00AC12BD"/>
    <w:rsid w:val="00AC198D"/>
    <w:rsid w:val="00AC1CDC"/>
    <w:rsid w:val="00AC230F"/>
    <w:rsid w:val="00AC281B"/>
    <w:rsid w:val="00AC2966"/>
    <w:rsid w:val="00AC2B40"/>
    <w:rsid w:val="00AC2D82"/>
    <w:rsid w:val="00AC2EBE"/>
    <w:rsid w:val="00AC3308"/>
    <w:rsid w:val="00AC33BA"/>
    <w:rsid w:val="00AC3B1F"/>
    <w:rsid w:val="00AC3C5C"/>
    <w:rsid w:val="00AC42FE"/>
    <w:rsid w:val="00AC44E1"/>
    <w:rsid w:val="00AC4672"/>
    <w:rsid w:val="00AC4EC0"/>
    <w:rsid w:val="00AC4F2B"/>
    <w:rsid w:val="00AC5247"/>
    <w:rsid w:val="00AC6046"/>
    <w:rsid w:val="00AC6234"/>
    <w:rsid w:val="00AC6459"/>
    <w:rsid w:val="00AC6517"/>
    <w:rsid w:val="00AC6A2B"/>
    <w:rsid w:val="00AC7102"/>
    <w:rsid w:val="00AC7682"/>
    <w:rsid w:val="00AC770A"/>
    <w:rsid w:val="00AD017A"/>
    <w:rsid w:val="00AD036F"/>
    <w:rsid w:val="00AD06E4"/>
    <w:rsid w:val="00AD0B06"/>
    <w:rsid w:val="00AD182E"/>
    <w:rsid w:val="00AD1A4B"/>
    <w:rsid w:val="00AD1D31"/>
    <w:rsid w:val="00AD1D7C"/>
    <w:rsid w:val="00AD1EEB"/>
    <w:rsid w:val="00AD20F3"/>
    <w:rsid w:val="00AD26B0"/>
    <w:rsid w:val="00AD2B28"/>
    <w:rsid w:val="00AD2C89"/>
    <w:rsid w:val="00AD34B1"/>
    <w:rsid w:val="00AD372A"/>
    <w:rsid w:val="00AD3A56"/>
    <w:rsid w:val="00AD3EE5"/>
    <w:rsid w:val="00AD424C"/>
    <w:rsid w:val="00AD4415"/>
    <w:rsid w:val="00AD4638"/>
    <w:rsid w:val="00AD4B0C"/>
    <w:rsid w:val="00AD5450"/>
    <w:rsid w:val="00AD6434"/>
    <w:rsid w:val="00AD6640"/>
    <w:rsid w:val="00AD698E"/>
    <w:rsid w:val="00AD6A94"/>
    <w:rsid w:val="00AD6B32"/>
    <w:rsid w:val="00AD7435"/>
    <w:rsid w:val="00AD772F"/>
    <w:rsid w:val="00AD7936"/>
    <w:rsid w:val="00AD7B2C"/>
    <w:rsid w:val="00AE0052"/>
    <w:rsid w:val="00AE056F"/>
    <w:rsid w:val="00AE0761"/>
    <w:rsid w:val="00AE1152"/>
    <w:rsid w:val="00AE134C"/>
    <w:rsid w:val="00AE1403"/>
    <w:rsid w:val="00AE176B"/>
    <w:rsid w:val="00AE1E9D"/>
    <w:rsid w:val="00AE226A"/>
    <w:rsid w:val="00AE234A"/>
    <w:rsid w:val="00AE2C0E"/>
    <w:rsid w:val="00AE2D78"/>
    <w:rsid w:val="00AE2F83"/>
    <w:rsid w:val="00AE32E8"/>
    <w:rsid w:val="00AE34F6"/>
    <w:rsid w:val="00AE364A"/>
    <w:rsid w:val="00AE415A"/>
    <w:rsid w:val="00AE4818"/>
    <w:rsid w:val="00AE4BA8"/>
    <w:rsid w:val="00AE57BC"/>
    <w:rsid w:val="00AE5D9D"/>
    <w:rsid w:val="00AE5DCE"/>
    <w:rsid w:val="00AE5FC0"/>
    <w:rsid w:val="00AE65A3"/>
    <w:rsid w:val="00AE6BAF"/>
    <w:rsid w:val="00AE6BB8"/>
    <w:rsid w:val="00AE6D39"/>
    <w:rsid w:val="00AE71F0"/>
    <w:rsid w:val="00AE7375"/>
    <w:rsid w:val="00AE7578"/>
    <w:rsid w:val="00AE7793"/>
    <w:rsid w:val="00AF0DB8"/>
    <w:rsid w:val="00AF10AC"/>
    <w:rsid w:val="00AF1A01"/>
    <w:rsid w:val="00AF28B3"/>
    <w:rsid w:val="00AF2A8F"/>
    <w:rsid w:val="00AF3502"/>
    <w:rsid w:val="00AF3690"/>
    <w:rsid w:val="00AF3BD8"/>
    <w:rsid w:val="00AF3BD9"/>
    <w:rsid w:val="00AF3E5B"/>
    <w:rsid w:val="00AF43DF"/>
    <w:rsid w:val="00AF48EF"/>
    <w:rsid w:val="00AF509E"/>
    <w:rsid w:val="00AF5618"/>
    <w:rsid w:val="00AF5C60"/>
    <w:rsid w:val="00AF5F07"/>
    <w:rsid w:val="00AF652E"/>
    <w:rsid w:val="00AF67E6"/>
    <w:rsid w:val="00AF69E7"/>
    <w:rsid w:val="00AF6D59"/>
    <w:rsid w:val="00AF7469"/>
    <w:rsid w:val="00B00103"/>
    <w:rsid w:val="00B00249"/>
    <w:rsid w:val="00B00D14"/>
    <w:rsid w:val="00B00EED"/>
    <w:rsid w:val="00B019AE"/>
    <w:rsid w:val="00B023B5"/>
    <w:rsid w:val="00B029C9"/>
    <w:rsid w:val="00B02E0E"/>
    <w:rsid w:val="00B0348B"/>
    <w:rsid w:val="00B03A1A"/>
    <w:rsid w:val="00B03E51"/>
    <w:rsid w:val="00B03F8B"/>
    <w:rsid w:val="00B041A0"/>
    <w:rsid w:val="00B043B8"/>
    <w:rsid w:val="00B04F5D"/>
    <w:rsid w:val="00B0547B"/>
    <w:rsid w:val="00B055FC"/>
    <w:rsid w:val="00B05BE9"/>
    <w:rsid w:val="00B06C7F"/>
    <w:rsid w:val="00B0710C"/>
    <w:rsid w:val="00B0730D"/>
    <w:rsid w:val="00B0745D"/>
    <w:rsid w:val="00B07676"/>
    <w:rsid w:val="00B07A2F"/>
    <w:rsid w:val="00B1003F"/>
    <w:rsid w:val="00B100BA"/>
    <w:rsid w:val="00B101FF"/>
    <w:rsid w:val="00B10209"/>
    <w:rsid w:val="00B1027B"/>
    <w:rsid w:val="00B104D7"/>
    <w:rsid w:val="00B10E4A"/>
    <w:rsid w:val="00B11704"/>
    <w:rsid w:val="00B11826"/>
    <w:rsid w:val="00B11F7C"/>
    <w:rsid w:val="00B12729"/>
    <w:rsid w:val="00B1396C"/>
    <w:rsid w:val="00B13D9E"/>
    <w:rsid w:val="00B146E0"/>
    <w:rsid w:val="00B1483D"/>
    <w:rsid w:val="00B14A4D"/>
    <w:rsid w:val="00B15555"/>
    <w:rsid w:val="00B157C4"/>
    <w:rsid w:val="00B161A6"/>
    <w:rsid w:val="00B163C2"/>
    <w:rsid w:val="00B16F37"/>
    <w:rsid w:val="00B171D7"/>
    <w:rsid w:val="00B175EB"/>
    <w:rsid w:val="00B20C94"/>
    <w:rsid w:val="00B21113"/>
    <w:rsid w:val="00B2115F"/>
    <w:rsid w:val="00B211EC"/>
    <w:rsid w:val="00B214D3"/>
    <w:rsid w:val="00B21CB0"/>
    <w:rsid w:val="00B22358"/>
    <w:rsid w:val="00B22C88"/>
    <w:rsid w:val="00B22D31"/>
    <w:rsid w:val="00B23167"/>
    <w:rsid w:val="00B2425D"/>
    <w:rsid w:val="00B24426"/>
    <w:rsid w:val="00B246F0"/>
    <w:rsid w:val="00B2487F"/>
    <w:rsid w:val="00B24B00"/>
    <w:rsid w:val="00B24B28"/>
    <w:rsid w:val="00B24C91"/>
    <w:rsid w:val="00B24F5E"/>
    <w:rsid w:val="00B25BF7"/>
    <w:rsid w:val="00B26D42"/>
    <w:rsid w:val="00B26F87"/>
    <w:rsid w:val="00B27726"/>
    <w:rsid w:val="00B279C2"/>
    <w:rsid w:val="00B30158"/>
    <w:rsid w:val="00B30C2E"/>
    <w:rsid w:val="00B30E6F"/>
    <w:rsid w:val="00B31724"/>
    <w:rsid w:val="00B31D4E"/>
    <w:rsid w:val="00B324D6"/>
    <w:rsid w:val="00B32636"/>
    <w:rsid w:val="00B34A96"/>
    <w:rsid w:val="00B34B83"/>
    <w:rsid w:val="00B35351"/>
    <w:rsid w:val="00B355DE"/>
    <w:rsid w:val="00B35807"/>
    <w:rsid w:val="00B35910"/>
    <w:rsid w:val="00B359E7"/>
    <w:rsid w:val="00B35A7D"/>
    <w:rsid w:val="00B3676C"/>
    <w:rsid w:val="00B37137"/>
    <w:rsid w:val="00B37297"/>
    <w:rsid w:val="00B37689"/>
    <w:rsid w:val="00B376BB"/>
    <w:rsid w:val="00B40120"/>
    <w:rsid w:val="00B404AF"/>
    <w:rsid w:val="00B409ED"/>
    <w:rsid w:val="00B4229F"/>
    <w:rsid w:val="00B4240F"/>
    <w:rsid w:val="00B43551"/>
    <w:rsid w:val="00B43D42"/>
    <w:rsid w:val="00B44576"/>
    <w:rsid w:val="00B44815"/>
    <w:rsid w:val="00B454A6"/>
    <w:rsid w:val="00B4569C"/>
    <w:rsid w:val="00B45843"/>
    <w:rsid w:val="00B45A3A"/>
    <w:rsid w:val="00B45A8E"/>
    <w:rsid w:val="00B4627C"/>
    <w:rsid w:val="00B463A1"/>
    <w:rsid w:val="00B46495"/>
    <w:rsid w:val="00B468B2"/>
    <w:rsid w:val="00B46BFC"/>
    <w:rsid w:val="00B46C75"/>
    <w:rsid w:val="00B46E89"/>
    <w:rsid w:val="00B46E94"/>
    <w:rsid w:val="00B4702D"/>
    <w:rsid w:val="00B47144"/>
    <w:rsid w:val="00B47BD8"/>
    <w:rsid w:val="00B47C47"/>
    <w:rsid w:val="00B47E12"/>
    <w:rsid w:val="00B47F0B"/>
    <w:rsid w:val="00B50843"/>
    <w:rsid w:val="00B51509"/>
    <w:rsid w:val="00B525F6"/>
    <w:rsid w:val="00B52858"/>
    <w:rsid w:val="00B528FF"/>
    <w:rsid w:val="00B537B8"/>
    <w:rsid w:val="00B53913"/>
    <w:rsid w:val="00B5429A"/>
    <w:rsid w:val="00B54510"/>
    <w:rsid w:val="00B5459F"/>
    <w:rsid w:val="00B5499B"/>
    <w:rsid w:val="00B54B7C"/>
    <w:rsid w:val="00B54CE0"/>
    <w:rsid w:val="00B55328"/>
    <w:rsid w:val="00B5559D"/>
    <w:rsid w:val="00B55640"/>
    <w:rsid w:val="00B558B8"/>
    <w:rsid w:val="00B55F8B"/>
    <w:rsid w:val="00B5622F"/>
    <w:rsid w:val="00B56455"/>
    <w:rsid w:val="00B5768D"/>
    <w:rsid w:val="00B57DBF"/>
    <w:rsid w:val="00B57F0D"/>
    <w:rsid w:val="00B60C4C"/>
    <w:rsid w:val="00B60D5F"/>
    <w:rsid w:val="00B60F5D"/>
    <w:rsid w:val="00B615A5"/>
    <w:rsid w:val="00B6258A"/>
    <w:rsid w:val="00B62727"/>
    <w:rsid w:val="00B63C08"/>
    <w:rsid w:val="00B63C83"/>
    <w:rsid w:val="00B63C9C"/>
    <w:rsid w:val="00B645DF"/>
    <w:rsid w:val="00B64654"/>
    <w:rsid w:val="00B64A49"/>
    <w:rsid w:val="00B64BDC"/>
    <w:rsid w:val="00B64BEA"/>
    <w:rsid w:val="00B6586F"/>
    <w:rsid w:val="00B661EF"/>
    <w:rsid w:val="00B67732"/>
    <w:rsid w:val="00B70168"/>
    <w:rsid w:val="00B70267"/>
    <w:rsid w:val="00B702AC"/>
    <w:rsid w:val="00B703A9"/>
    <w:rsid w:val="00B704E2"/>
    <w:rsid w:val="00B7098F"/>
    <w:rsid w:val="00B70CC1"/>
    <w:rsid w:val="00B71521"/>
    <w:rsid w:val="00B717B8"/>
    <w:rsid w:val="00B71861"/>
    <w:rsid w:val="00B71AC5"/>
    <w:rsid w:val="00B71B90"/>
    <w:rsid w:val="00B71BA7"/>
    <w:rsid w:val="00B724F9"/>
    <w:rsid w:val="00B73A32"/>
    <w:rsid w:val="00B73C2E"/>
    <w:rsid w:val="00B73FC4"/>
    <w:rsid w:val="00B74108"/>
    <w:rsid w:val="00B74521"/>
    <w:rsid w:val="00B74841"/>
    <w:rsid w:val="00B7507E"/>
    <w:rsid w:val="00B757FE"/>
    <w:rsid w:val="00B758CE"/>
    <w:rsid w:val="00B75BB5"/>
    <w:rsid w:val="00B76477"/>
    <w:rsid w:val="00B76571"/>
    <w:rsid w:val="00B76A7D"/>
    <w:rsid w:val="00B76EA9"/>
    <w:rsid w:val="00B77366"/>
    <w:rsid w:val="00B7741D"/>
    <w:rsid w:val="00B77FFC"/>
    <w:rsid w:val="00B80A10"/>
    <w:rsid w:val="00B80FE8"/>
    <w:rsid w:val="00B8195B"/>
    <w:rsid w:val="00B826F6"/>
    <w:rsid w:val="00B8284B"/>
    <w:rsid w:val="00B82B75"/>
    <w:rsid w:val="00B82C45"/>
    <w:rsid w:val="00B83275"/>
    <w:rsid w:val="00B83565"/>
    <w:rsid w:val="00B837B7"/>
    <w:rsid w:val="00B843ED"/>
    <w:rsid w:val="00B848CB"/>
    <w:rsid w:val="00B8495A"/>
    <w:rsid w:val="00B85485"/>
    <w:rsid w:val="00B86105"/>
    <w:rsid w:val="00B86717"/>
    <w:rsid w:val="00B8764E"/>
    <w:rsid w:val="00B87DE0"/>
    <w:rsid w:val="00B9009D"/>
    <w:rsid w:val="00B90324"/>
    <w:rsid w:val="00B9040D"/>
    <w:rsid w:val="00B90735"/>
    <w:rsid w:val="00B90A64"/>
    <w:rsid w:val="00B90F08"/>
    <w:rsid w:val="00B91433"/>
    <w:rsid w:val="00B91614"/>
    <w:rsid w:val="00B91F47"/>
    <w:rsid w:val="00B920CF"/>
    <w:rsid w:val="00B928F7"/>
    <w:rsid w:val="00B92EF5"/>
    <w:rsid w:val="00B93A68"/>
    <w:rsid w:val="00B93E74"/>
    <w:rsid w:val="00B9413D"/>
    <w:rsid w:val="00B943A5"/>
    <w:rsid w:val="00B94783"/>
    <w:rsid w:val="00B94A58"/>
    <w:rsid w:val="00B94DB3"/>
    <w:rsid w:val="00B95672"/>
    <w:rsid w:val="00B95C17"/>
    <w:rsid w:val="00B95EC7"/>
    <w:rsid w:val="00B9629A"/>
    <w:rsid w:val="00B96694"/>
    <w:rsid w:val="00B96BD3"/>
    <w:rsid w:val="00B97544"/>
    <w:rsid w:val="00BA036E"/>
    <w:rsid w:val="00BA08FA"/>
    <w:rsid w:val="00BA0D08"/>
    <w:rsid w:val="00BA0D2D"/>
    <w:rsid w:val="00BA13D0"/>
    <w:rsid w:val="00BA14E9"/>
    <w:rsid w:val="00BA1515"/>
    <w:rsid w:val="00BA17FB"/>
    <w:rsid w:val="00BA1AC4"/>
    <w:rsid w:val="00BA1B12"/>
    <w:rsid w:val="00BA2087"/>
    <w:rsid w:val="00BA30AC"/>
    <w:rsid w:val="00BA3A7E"/>
    <w:rsid w:val="00BA403B"/>
    <w:rsid w:val="00BA5313"/>
    <w:rsid w:val="00BA55DF"/>
    <w:rsid w:val="00BA5DB4"/>
    <w:rsid w:val="00BA5F36"/>
    <w:rsid w:val="00BA654E"/>
    <w:rsid w:val="00BA6582"/>
    <w:rsid w:val="00BA70AC"/>
    <w:rsid w:val="00BA72C1"/>
    <w:rsid w:val="00BA75CD"/>
    <w:rsid w:val="00BA7865"/>
    <w:rsid w:val="00BA7FEC"/>
    <w:rsid w:val="00BB02C1"/>
    <w:rsid w:val="00BB0BE7"/>
    <w:rsid w:val="00BB1510"/>
    <w:rsid w:val="00BB1D32"/>
    <w:rsid w:val="00BB2005"/>
    <w:rsid w:val="00BB21DD"/>
    <w:rsid w:val="00BB29AE"/>
    <w:rsid w:val="00BB29EF"/>
    <w:rsid w:val="00BB3602"/>
    <w:rsid w:val="00BB373B"/>
    <w:rsid w:val="00BB3F42"/>
    <w:rsid w:val="00BB423C"/>
    <w:rsid w:val="00BB4351"/>
    <w:rsid w:val="00BB4E8D"/>
    <w:rsid w:val="00BB4F9C"/>
    <w:rsid w:val="00BB5185"/>
    <w:rsid w:val="00BB576D"/>
    <w:rsid w:val="00BB5E0D"/>
    <w:rsid w:val="00BB7014"/>
    <w:rsid w:val="00BB702B"/>
    <w:rsid w:val="00BB7350"/>
    <w:rsid w:val="00BB7FDE"/>
    <w:rsid w:val="00BC0448"/>
    <w:rsid w:val="00BC0F19"/>
    <w:rsid w:val="00BC1193"/>
    <w:rsid w:val="00BC1618"/>
    <w:rsid w:val="00BC19F0"/>
    <w:rsid w:val="00BC207E"/>
    <w:rsid w:val="00BC20B1"/>
    <w:rsid w:val="00BC230C"/>
    <w:rsid w:val="00BC275E"/>
    <w:rsid w:val="00BC2A98"/>
    <w:rsid w:val="00BC2BD5"/>
    <w:rsid w:val="00BC2E84"/>
    <w:rsid w:val="00BC2EE4"/>
    <w:rsid w:val="00BC3425"/>
    <w:rsid w:val="00BC3495"/>
    <w:rsid w:val="00BC3E05"/>
    <w:rsid w:val="00BC43F5"/>
    <w:rsid w:val="00BC4D70"/>
    <w:rsid w:val="00BC4FA8"/>
    <w:rsid w:val="00BC5512"/>
    <w:rsid w:val="00BC5B43"/>
    <w:rsid w:val="00BC5C23"/>
    <w:rsid w:val="00BC5F30"/>
    <w:rsid w:val="00BC6DFA"/>
    <w:rsid w:val="00BC7069"/>
    <w:rsid w:val="00BC7168"/>
    <w:rsid w:val="00BC742D"/>
    <w:rsid w:val="00BC748E"/>
    <w:rsid w:val="00BC79AA"/>
    <w:rsid w:val="00BC7BB4"/>
    <w:rsid w:val="00BD1218"/>
    <w:rsid w:val="00BD1526"/>
    <w:rsid w:val="00BD16A2"/>
    <w:rsid w:val="00BD17A7"/>
    <w:rsid w:val="00BD27FB"/>
    <w:rsid w:val="00BD2AFB"/>
    <w:rsid w:val="00BD3A73"/>
    <w:rsid w:val="00BD5A58"/>
    <w:rsid w:val="00BD5EE0"/>
    <w:rsid w:val="00BD6457"/>
    <w:rsid w:val="00BD74E9"/>
    <w:rsid w:val="00BD7EA7"/>
    <w:rsid w:val="00BE01DA"/>
    <w:rsid w:val="00BE02E2"/>
    <w:rsid w:val="00BE0AD7"/>
    <w:rsid w:val="00BE1307"/>
    <w:rsid w:val="00BE1A11"/>
    <w:rsid w:val="00BE2004"/>
    <w:rsid w:val="00BE209E"/>
    <w:rsid w:val="00BE2315"/>
    <w:rsid w:val="00BE25C2"/>
    <w:rsid w:val="00BE3408"/>
    <w:rsid w:val="00BE3707"/>
    <w:rsid w:val="00BE3C59"/>
    <w:rsid w:val="00BE3C6D"/>
    <w:rsid w:val="00BE3D99"/>
    <w:rsid w:val="00BE3DAE"/>
    <w:rsid w:val="00BE3E3B"/>
    <w:rsid w:val="00BE40F5"/>
    <w:rsid w:val="00BE4640"/>
    <w:rsid w:val="00BE46F8"/>
    <w:rsid w:val="00BE4888"/>
    <w:rsid w:val="00BE50F2"/>
    <w:rsid w:val="00BE5146"/>
    <w:rsid w:val="00BE54F2"/>
    <w:rsid w:val="00BE5713"/>
    <w:rsid w:val="00BE5A6A"/>
    <w:rsid w:val="00BE5BCB"/>
    <w:rsid w:val="00BE61B6"/>
    <w:rsid w:val="00BE61CB"/>
    <w:rsid w:val="00BE7771"/>
    <w:rsid w:val="00BE78B1"/>
    <w:rsid w:val="00BE7B52"/>
    <w:rsid w:val="00BE7E14"/>
    <w:rsid w:val="00BF0558"/>
    <w:rsid w:val="00BF076A"/>
    <w:rsid w:val="00BF0C69"/>
    <w:rsid w:val="00BF130F"/>
    <w:rsid w:val="00BF14E4"/>
    <w:rsid w:val="00BF1BC6"/>
    <w:rsid w:val="00BF1EF0"/>
    <w:rsid w:val="00BF25A6"/>
    <w:rsid w:val="00BF25FC"/>
    <w:rsid w:val="00BF2C08"/>
    <w:rsid w:val="00BF2EB9"/>
    <w:rsid w:val="00BF38D3"/>
    <w:rsid w:val="00BF3A6A"/>
    <w:rsid w:val="00BF3AFA"/>
    <w:rsid w:val="00BF3AFF"/>
    <w:rsid w:val="00BF3D83"/>
    <w:rsid w:val="00BF4066"/>
    <w:rsid w:val="00BF4113"/>
    <w:rsid w:val="00BF4FC0"/>
    <w:rsid w:val="00BF512A"/>
    <w:rsid w:val="00BF56B2"/>
    <w:rsid w:val="00BF5915"/>
    <w:rsid w:val="00BF5C90"/>
    <w:rsid w:val="00BF5D4C"/>
    <w:rsid w:val="00BF5D57"/>
    <w:rsid w:val="00BF5E49"/>
    <w:rsid w:val="00BF5F5B"/>
    <w:rsid w:val="00BF692B"/>
    <w:rsid w:val="00BF6EA9"/>
    <w:rsid w:val="00BF6F45"/>
    <w:rsid w:val="00BF7015"/>
    <w:rsid w:val="00BF7447"/>
    <w:rsid w:val="00BF7593"/>
    <w:rsid w:val="00BF7620"/>
    <w:rsid w:val="00BF7804"/>
    <w:rsid w:val="00C0012D"/>
    <w:rsid w:val="00C00896"/>
    <w:rsid w:val="00C00A03"/>
    <w:rsid w:val="00C00BFA"/>
    <w:rsid w:val="00C00E8D"/>
    <w:rsid w:val="00C010E3"/>
    <w:rsid w:val="00C01264"/>
    <w:rsid w:val="00C01B1D"/>
    <w:rsid w:val="00C01DE8"/>
    <w:rsid w:val="00C01F87"/>
    <w:rsid w:val="00C02339"/>
    <w:rsid w:val="00C02981"/>
    <w:rsid w:val="00C02B15"/>
    <w:rsid w:val="00C02C58"/>
    <w:rsid w:val="00C02DEB"/>
    <w:rsid w:val="00C02EAF"/>
    <w:rsid w:val="00C030CD"/>
    <w:rsid w:val="00C03E67"/>
    <w:rsid w:val="00C03F56"/>
    <w:rsid w:val="00C04EC7"/>
    <w:rsid w:val="00C052CD"/>
    <w:rsid w:val="00C05300"/>
    <w:rsid w:val="00C056D2"/>
    <w:rsid w:val="00C06005"/>
    <w:rsid w:val="00C0693E"/>
    <w:rsid w:val="00C06A60"/>
    <w:rsid w:val="00C0703E"/>
    <w:rsid w:val="00C07095"/>
    <w:rsid w:val="00C071A7"/>
    <w:rsid w:val="00C075B5"/>
    <w:rsid w:val="00C077C3"/>
    <w:rsid w:val="00C07A4E"/>
    <w:rsid w:val="00C07E4B"/>
    <w:rsid w:val="00C106AE"/>
    <w:rsid w:val="00C10BA1"/>
    <w:rsid w:val="00C10C73"/>
    <w:rsid w:val="00C10FEF"/>
    <w:rsid w:val="00C11E1F"/>
    <w:rsid w:val="00C11EBF"/>
    <w:rsid w:val="00C1211F"/>
    <w:rsid w:val="00C126C9"/>
    <w:rsid w:val="00C12992"/>
    <w:rsid w:val="00C12A1A"/>
    <w:rsid w:val="00C12C88"/>
    <w:rsid w:val="00C12FA0"/>
    <w:rsid w:val="00C13A8F"/>
    <w:rsid w:val="00C13C23"/>
    <w:rsid w:val="00C13E6A"/>
    <w:rsid w:val="00C13FEB"/>
    <w:rsid w:val="00C146D0"/>
    <w:rsid w:val="00C14D7E"/>
    <w:rsid w:val="00C15790"/>
    <w:rsid w:val="00C15B76"/>
    <w:rsid w:val="00C15CB1"/>
    <w:rsid w:val="00C162A0"/>
    <w:rsid w:val="00C16757"/>
    <w:rsid w:val="00C16828"/>
    <w:rsid w:val="00C16882"/>
    <w:rsid w:val="00C16FC4"/>
    <w:rsid w:val="00C17562"/>
    <w:rsid w:val="00C1799C"/>
    <w:rsid w:val="00C20003"/>
    <w:rsid w:val="00C202F4"/>
    <w:rsid w:val="00C20349"/>
    <w:rsid w:val="00C20B11"/>
    <w:rsid w:val="00C2117D"/>
    <w:rsid w:val="00C21392"/>
    <w:rsid w:val="00C21510"/>
    <w:rsid w:val="00C21624"/>
    <w:rsid w:val="00C2185A"/>
    <w:rsid w:val="00C21D97"/>
    <w:rsid w:val="00C229F2"/>
    <w:rsid w:val="00C22F0C"/>
    <w:rsid w:val="00C2318D"/>
    <w:rsid w:val="00C23413"/>
    <w:rsid w:val="00C23505"/>
    <w:rsid w:val="00C238CE"/>
    <w:rsid w:val="00C245DF"/>
    <w:rsid w:val="00C24655"/>
    <w:rsid w:val="00C249ED"/>
    <w:rsid w:val="00C24D9E"/>
    <w:rsid w:val="00C24F9F"/>
    <w:rsid w:val="00C254AD"/>
    <w:rsid w:val="00C25A1C"/>
    <w:rsid w:val="00C25AA2"/>
    <w:rsid w:val="00C25AAD"/>
    <w:rsid w:val="00C25AF9"/>
    <w:rsid w:val="00C25D83"/>
    <w:rsid w:val="00C2640E"/>
    <w:rsid w:val="00C266A7"/>
    <w:rsid w:val="00C268E2"/>
    <w:rsid w:val="00C26F28"/>
    <w:rsid w:val="00C2724C"/>
    <w:rsid w:val="00C278A3"/>
    <w:rsid w:val="00C278C8"/>
    <w:rsid w:val="00C30189"/>
    <w:rsid w:val="00C308AA"/>
    <w:rsid w:val="00C318A1"/>
    <w:rsid w:val="00C31A59"/>
    <w:rsid w:val="00C31C05"/>
    <w:rsid w:val="00C31D1A"/>
    <w:rsid w:val="00C32571"/>
    <w:rsid w:val="00C328A5"/>
    <w:rsid w:val="00C32E90"/>
    <w:rsid w:val="00C330B1"/>
    <w:rsid w:val="00C33CE9"/>
    <w:rsid w:val="00C34076"/>
    <w:rsid w:val="00C34284"/>
    <w:rsid w:val="00C343B9"/>
    <w:rsid w:val="00C348D8"/>
    <w:rsid w:val="00C34B8B"/>
    <w:rsid w:val="00C34ED8"/>
    <w:rsid w:val="00C352EA"/>
    <w:rsid w:val="00C35ECD"/>
    <w:rsid w:val="00C368D9"/>
    <w:rsid w:val="00C36A52"/>
    <w:rsid w:val="00C36C2C"/>
    <w:rsid w:val="00C36CA0"/>
    <w:rsid w:val="00C37041"/>
    <w:rsid w:val="00C4096A"/>
    <w:rsid w:val="00C40D1E"/>
    <w:rsid w:val="00C41010"/>
    <w:rsid w:val="00C4195F"/>
    <w:rsid w:val="00C41F44"/>
    <w:rsid w:val="00C422B0"/>
    <w:rsid w:val="00C424E9"/>
    <w:rsid w:val="00C42A8A"/>
    <w:rsid w:val="00C43653"/>
    <w:rsid w:val="00C436A8"/>
    <w:rsid w:val="00C439F1"/>
    <w:rsid w:val="00C43E09"/>
    <w:rsid w:val="00C43F84"/>
    <w:rsid w:val="00C43F94"/>
    <w:rsid w:val="00C441D1"/>
    <w:rsid w:val="00C4459A"/>
    <w:rsid w:val="00C44F6B"/>
    <w:rsid w:val="00C450E4"/>
    <w:rsid w:val="00C4542D"/>
    <w:rsid w:val="00C4596C"/>
    <w:rsid w:val="00C45C31"/>
    <w:rsid w:val="00C46145"/>
    <w:rsid w:val="00C46BF7"/>
    <w:rsid w:val="00C46CE3"/>
    <w:rsid w:val="00C46DE0"/>
    <w:rsid w:val="00C47B2C"/>
    <w:rsid w:val="00C5117B"/>
    <w:rsid w:val="00C513C1"/>
    <w:rsid w:val="00C519D3"/>
    <w:rsid w:val="00C51EA3"/>
    <w:rsid w:val="00C52063"/>
    <w:rsid w:val="00C5218A"/>
    <w:rsid w:val="00C529AE"/>
    <w:rsid w:val="00C52A79"/>
    <w:rsid w:val="00C52CC6"/>
    <w:rsid w:val="00C53218"/>
    <w:rsid w:val="00C532DC"/>
    <w:rsid w:val="00C53483"/>
    <w:rsid w:val="00C534D4"/>
    <w:rsid w:val="00C535EA"/>
    <w:rsid w:val="00C5365F"/>
    <w:rsid w:val="00C536E2"/>
    <w:rsid w:val="00C5458B"/>
    <w:rsid w:val="00C54882"/>
    <w:rsid w:val="00C54BD4"/>
    <w:rsid w:val="00C55486"/>
    <w:rsid w:val="00C55D2D"/>
    <w:rsid w:val="00C56748"/>
    <w:rsid w:val="00C5698E"/>
    <w:rsid w:val="00C569AB"/>
    <w:rsid w:val="00C56FB6"/>
    <w:rsid w:val="00C57B24"/>
    <w:rsid w:val="00C60C16"/>
    <w:rsid w:val="00C60DF9"/>
    <w:rsid w:val="00C60E5E"/>
    <w:rsid w:val="00C614B8"/>
    <w:rsid w:val="00C61820"/>
    <w:rsid w:val="00C62290"/>
    <w:rsid w:val="00C62A50"/>
    <w:rsid w:val="00C62A7B"/>
    <w:rsid w:val="00C62E2A"/>
    <w:rsid w:val="00C62F0F"/>
    <w:rsid w:val="00C62FF8"/>
    <w:rsid w:val="00C631EB"/>
    <w:rsid w:val="00C64091"/>
    <w:rsid w:val="00C65320"/>
    <w:rsid w:val="00C65F8A"/>
    <w:rsid w:val="00C6638E"/>
    <w:rsid w:val="00C664CA"/>
    <w:rsid w:val="00C668D3"/>
    <w:rsid w:val="00C669A8"/>
    <w:rsid w:val="00C669D7"/>
    <w:rsid w:val="00C66B7F"/>
    <w:rsid w:val="00C66C84"/>
    <w:rsid w:val="00C67282"/>
    <w:rsid w:val="00C677B6"/>
    <w:rsid w:val="00C67B34"/>
    <w:rsid w:val="00C67EAE"/>
    <w:rsid w:val="00C707CE"/>
    <w:rsid w:val="00C70BAA"/>
    <w:rsid w:val="00C70F17"/>
    <w:rsid w:val="00C7146C"/>
    <w:rsid w:val="00C71E57"/>
    <w:rsid w:val="00C7211A"/>
    <w:rsid w:val="00C7219C"/>
    <w:rsid w:val="00C725D6"/>
    <w:rsid w:val="00C72618"/>
    <w:rsid w:val="00C72792"/>
    <w:rsid w:val="00C72828"/>
    <w:rsid w:val="00C72941"/>
    <w:rsid w:val="00C73591"/>
    <w:rsid w:val="00C73892"/>
    <w:rsid w:val="00C73EB1"/>
    <w:rsid w:val="00C74423"/>
    <w:rsid w:val="00C74487"/>
    <w:rsid w:val="00C74780"/>
    <w:rsid w:val="00C74815"/>
    <w:rsid w:val="00C7539B"/>
    <w:rsid w:val="00C754E8"/>
    <w:rsid w:val="00C76347"/>
    <w:rsid w:val="00C7673F"/>
    <w:rsid w:val="00C7694C"/>
    <w:rsid w:val="00C76C30"/>
    <w:rsid w:val="00C7708A"/>
    <w:rsid w:val="00C7789C"/>
    <w:rsid w:val="00C778F0"/>
    <w:rsid w:val="00C77DED"/>
    <w:rsid w:val="00C77F81"/>
    <w:rsid w:val="00C80270"/>
    <w:rsid w:val="00C80EB0"/>
    <w:rsid w:val="00C815CB"/>
    <w:rsid w:val="00C81698"/>
    <w:rsid w:val="00C819B1"/>
    <w:rsid w:val="00C81CF3"/>
    <w:rsid w:val="00C82C44"/>
    <w:rsid w:val="00C82D8B"/>
    <w:rsid w:val="00C83527"/>
    <w:rsid w:val="00C83835"/>
    <w:rsid w:val="00C839F3"/>
    <w:rsid w:val="00C84052"/>
    <w:rsid w:val="00C8500C"/>
    <w:rsid w:val="00C85393"/>
    <w:rsid w:val="00C85C73"/>
    <w:rsid w:val="00C8603C"/>
    <w:rsid w:val="00C86136"/>
    <w:rsid w:val="00C8617A"/>
    <w:rsid w:val="00C863F9"/>
    <w:rsid w:val="00C866A2"/>
    <w:rsid w:val="00C866B1"/>
    <w:rsid w:val="00C8681D"/>
    <w:rsid w:val="00C8690B"/>
    <w:rsid w:val="00C86C9C"/>
    <w:rsid w:val="00C86EBD"/>
    <w:rsid w:val="00C87557"/>
    <w:rsid w:val="00C875B4"/>
    <w:rsid w:val="00C87C60"/>
    <w:rsid w:val="00C902DF"/>
    <w:rsid w:val="00C90445"/>
    <w:rsid w:val="00C9047C"/>
    <w:rsid w:val="00C906E1"/>
    <w:rsid w:val="00C9117B"/>
    <w:rsid w:val="00C9134B"/>
    <w:rsid w:val="00C913C6"/>
    <w:rsid w:val="00C91464"/>
    <w:rsid w:val="00C91830"/>
    <w:rsid w:val="00C91AF9"/>
    <w:rsid w:val="00C92161"/>
    <w:rsid w:val="00C922D2"/>
    <w:rsid w:val="00C92B81"/>
    <w:rsid w:val="00C92D7C"/>
    <w:rsid w:val="00C93290"/>
    <w:rsid w:val="00C936B0"/>
    <w:rsid w:val="00C93CE0"/>
    <w:rsid w:val="00C93F6B"/>
    <w:rsid w:val="00C94775"/>
    <w:rsid w:val="00C95199"/>
    <w:rsid w:val="00C95273"/>
    <w:rsid w:val="00C95374"/>
    <w:rsid w:val="00C95AD8"/>
    <w:rsid w:val="00C95B9C"/>
    <w:rsid w:val="00C95E47"/>
    <w:rsid w:val="00C96984"/>
    <w:rsid w:val="00C96A18"/>
    <w:rsid w:val="00C96C69"/>
    <w:rsid w:val="00C9787A"/>
    <w:rsid w:val="00CA0806"/>
    <w:rsid w:val="00CA0B0F"/>
    <w:rsid w:val="00CA0B32"/>
    <w:rsid w:val="00CA0ED8"/>
    <w:rsid w:val="00CA1146"/>
    <w:rsid w:val="00CA116E"/>
    <w:rsid w:val="00CA153C"/>
    <w:rsid w:val="00CA1B71"/>
    <w:rsid w:val="00CA1CE3"/>
    <w:rsid w:val="00CA213B"/>
    <w:rsid w:val="00CA22DE"/>
    <w:rsid w:val="00CA297B"/>
    <w:rsid w:val="00CA2D9B"/>
    <w:rsid w:val="00CA31DD"/>
    <w:rsid w:val="00CA3997"/>
    <w:rsid w:val="00CA4310"/>
    <w:rsid w:val="00CA44E5"/>
    <w:rsid w:val="00CA4CF1"/>
    <w:rsid w:val="00CA562C"/>
    <w:rsid w:val="00CA5824"/>
    <w:rsid w:val="00CA5B49"/>
    <w:rsid w:val="00CA5BEB"/>
    <w:rsid w:val="00CA5F85"/>
    <w:rsid w:val="00CA6338"/>
    <w:rsid w:val="00CA6A20"/>
    <w:rsid w:val="00CA7039"/>
    <w:rsid w:val="00CA7730"/>
    <w:rsid w:val="00CB0761"/>
    <w:rsid w:val="00CB0B2A"/>
    <w:rsid w:val="00CB2000"/>
    <w:rsid w:val="00CB2006"/>
    <w:rsid w:val="00CB235A"/>
    <w:rsid w:val="00CB30F5"/>
    <w:rsid w:val="00CB386A"/>
    <w:rsid w:val="00CB3C18"/>
    <w:rsid w:val="00CB3D23"/>
    <w:rsid w:val="00CB3FF4"/>
    <w:rsid w:val="00CB46BE"/>
    <w:rsid w:val="00CB48B9"/>
    <w:rsid w:val="00CB4D61"/>
    <w:rsid w:val="00CB4EAD"/>
    <w:rsid w:val="00CB4F6C"/>
    <w:rsid w:val="00CB5231"/>
    <w:rsid w:val="00CB5BEA"/>
    <w:rsid w:val="00CB6E42"/>
    <w:rsid w:val="00CB7523"/>
    <w:rsid w:val="00CB7F94"/>
    <w:rsid w:val="00CC008E"/>
    <w:rsid w:val="00CC11AA"/>
    <w:rsid w:val="00CC12D5"/>
    <w:rsid w:val="00CC18E8"/>
    <w:rsid w:val="00CC1C85"/>
    <w:rsid w:val="00CC23AE"/>
    <w:rsid w:val="00CC2A6E"/>
    <w:rsid w:val="00CC3025"/>
    <w:rsid w:val="00CC323F"/>
    <w:rsid w:val="00CC366C"/>
    <w:rsid w:val="00CC3793"/>
    <w:rsid w:val="00CC3F41"/>
    <w:rsid w:val="00CC56BD"/>
    <w:rsid w:val="00CC5EFF"/>
    <w:rsid w:val="00CC66E4"/>
    <w:rsid w:val="00CC69FE"/>
    <w:rsid w:val="00CC6E96"/>
    <w:rsid w:val="00CC74C3"/>
    <w:rsid w:val="00CC7ED1"/>
    <w:rsid w:val="00CC7FF2"/>
    <w:rsid w:val="00CD0305"/>
    <w:rsid w:val="00CD06F0"/>
    <w:rsid w:val="00CD11CF"/>
    <w:rsid w:val="00CD1604"/>
    <w:rsid w:val="00CD1BEB"/>
    <w:rsid w:val="00CD1F9F"/>
    <w:rsid w:val="00CD1FA4"/>
    <w:rsid w:val="00CD1FA8"/>
    <w:rsid w:val="00CD2F3B"/>
    <w:rsid w:val="00CD33B5"/>
    <w:rsid w:val="00CD378D"/>
    <w:rsid w:val="00CD431D"/>
    <w:rsid w:val="00CD47FF"/>
    <w:rsid w:val="00CD5C6D"/>
    <w:rsid w:val="00CD5DFD"/>
    <w:rsid w:val="00CD5FAB"/>
    <w:rsid w:val="00CD6436"/>
    <w:rsid w:val="00CD65B4"/>
    <w:rsid w:val="00CD76F1"/>
    <w:rsid w:val="00CD775F"/>
    <w:rsid w:val="00CD7B3B"/>
    <w:rsid w:val="00CE03AF"/>
    <w:rsid w:val="00CE04F3"/>
    <w:rsid w:val="00CE094E"/>
    <w:rsid w:val="00CE0A69"/>
    <w:rsid w:val="00CE1EEC"/>
    <w:rsid w:val="00CE250E"/>
    <w:rsid w:val="00CE2B95"/>
    <w:rsid w:val="00CE2D18"/>
    <w:rsid w:val="00CE2D2B"/>
    <w:rsid w:val="00CE2EBE"/>
    <w:rsid w:val="00CE416B"/>
    <w:rsid w:val="00CE4C88"/>
    <w:rsid w:val="00CE4E49"/>
    <w:rsid w:val="00CE4E8C"/>
    <w:rsid w:val="00CE5874"/>
    <w:rsid w:val="00CE599F"/>
    <w:rsid w:val="00CE5D55"/>
    <w:rsid w:val="00CE5F8C"/>
    <w:rsid w:val="00CE608F"/>
    <w:rsid w:val="00CE62D9"/>
    <w:rsid w:val="00CE6445"/>
    <w:rsid w:val="00CE66A4"/>
    <w:rsid w:val="00CE7B06"/>
    <w:rsid w:val="00CE7CBE"/>
    <w:rsid w:val="00CE7FD2"/>
    <w:rsid w:val="00CF0436"/>
    <w:rsid w:val="00CF0BB7"/>
    <w:rsid w:val="00CF0E52"/>
    <w:rsid w:val="00CF114D"/>
    <w:rsid w:val="00CF2332"/>
    <w:rsid w:val="00CF29FB"/>
    <w:rsid w:val="00CF2E3C"/>
    <w:rsid w:val="00CF356D"/>
    <w:rsid w:val="00CF398A"/>
    <w:rsid w:val="00CF3B69"/>
    <w:rsid w:val="00CF41F3"/>
    <w:rsid w:val="00CF44E2"/>
    <w:rsid w:val="00CF49AC"/>
    <w:rsid w:val="00CF4ABD"/>
    <w:rsid w:val="00CF4C6F"/>
    <w:rsid w:val="00CF4CD8"/>
    <w:rsid w:val="00CF4DE8"/>
    <w:rsid w:val="00CF4F8B"/>
    <w:rsid w:val="00CF521F"/>
    <w:rsid w:val="00CF567E"/>
    <w:rsid w:val="00CF5ACD"/>
    <w:rsid w:val="00CF5CD2"/>
    <w:rsid w:val="00CF659A"/>
    <w:rsid w:val="00CF722D"/>
    <w:rsid w:val="00CF7896"/>
    <w:rsid w:val="00CF7E55"/>
    <w:rsid w:val="00D00384"/>
    <w:rsid w:val="00D0060D"/>
    <w:rsid w:val="00D006AD"/>
    <w:rsid w:val="00D0083B"/>
    <w:rsid w:val="00D00B2A"/>
    <w:rsid w:val="00D00E4C"/>
    <w:rsid w:val="00D011B7"/>
    <w:rsid w:val="00D02103"/>
    <w:rsid w:val="00D025A7"/>
    <w:rsid w:val="00D02BB9"/>
    <w:rsid w:val="00D03796"/>
    <w:rsid w:val="00D038EB"/>
    <w:rsid w:val="00D03A1E"/>
    <w:rsid w:val="00D03B06"/>
    <w:rsid w:val="00D049FD"/>
    <w:rsid w:val="00D04C4F"/>
    <w:rsid w:val="00D0515A"/>
    <w:rsid w:val="00D05333"/>
    <w:rsid w:val="00D053C0"/>
    <w:rsid w:val="00D058A4"/>
    <w:rsid w:val="00D0601C"/>
    <w:rsid w:val="00D074F7"/>
    <w:rsid w:val="00D0794E"/>
    <w:rsid w:val="00D07FE8"/>
    <w:rsid w:val="00D10A55"/>
    <w:rsid w:val="00D10A62"/>
    <w:rsid w:val="00D1113E"/>
    <w:rsid w:val="00D11646"/>
    <w:rsid w:val="00D11FDD"/>
    <w:rsid w:val="00D124E8"/>
    <w:rsid w:val="00D1263C"/>
    <w:rsid w:val="00D127F8"/>
    <w:rsid w:val="00D128EE"/>
    <w:rsid w:val="00D1366D"/>
    <w:rsid w:val="00D13CB4"/>
    <w:rsid w:val="00D13DC3"/>
    <w:rsid w:val="00D14157"/>
    <w:rsid w:val="00D15078"/>
    <w:rsid w:val="00D15B24"/>
    <w:rsid w:val="00D16BFB"/>
    <w:rsid w:val="00D16E4F"/>
    <w:rsid w:val="00D175D7"/>
    <w:rsid w:val="00D1785A"/>
    <w:rsid w:val="00D17E7E"/>
    <w:rsid w:val="00D17FB7"/>
    <w:rsid w:val="00D201D1"/>
    <w:rsid w:val="00D20318"/>
    <w:rsid w:val="00D206CD"/>
    <w:rsid w:val="00D2110A"/>
    <w:rsid w:val="00D218F1"/>
    <w:rsid w:val="00D21970"/>
    <w:rsid w:val="00D21B20"/>
    <w:rsid w:val="00D21EB3"/>
    <w:rsid w:val="00D2223F"/>
    <w:rsid w:val="00D22663"/>
    <w:rsid w:val="00D227BF"/>
    <w:rsid w:val="00D22DB3"/>
    <w:rsid w:val="00D22EA4"/>
    <w:rsid w:val="00D23623"/>
    <w:rsid w:val="00D23658"/>
    <w:rsid w:val="00D2380F"/>
    <w:rsid w:val="00D239BD"/>
    <w:rsid w:val="00D243D8"/>
    <w:rsid w:val="00D24626"/>
    <w:rsid w:val="00D24CCA"/>
    <w:rsid w:val="00D25687"/>
    <w:rsid w:val="00D26105"/>
    <w:rsid w:val="00D26387"/>
    <w:rsid w:val="00D26602"/>
    <w:rsid w:val="00D2667E"/>
    <w:rsid w:val="00D26FF0"/>
    <w:rsid w:val="00D27038"/>
    <w:rsid w:val="00D2764C"/>
    <w:rsid w:val="00D30205"/>
    <w:rsid w:val="00D307FC"/>
    <w:rsid w:val="00D309E7"/>
    <w:rsid w:val="00D315AC"/>
    <w:rsid w:val="00D31DF1"/>
    <w:rsid w:val="00D31F40"/>
    <w:rsid w:val="00D322CB"/>
    <w:rsid w:val="00D32ABB"/>
    <w:rsid w:val="00D32D8F"/>
    <w:rsid w:val="00D33BC0"/>
    <w:rsid w:val="00D34150"/>
    <w:rsid w:val="00D3468C"/>
    <w:rsid w:val="00D34965"/>
    <w:rsid w:val="00D350D4"/>
    <w:rsid w:val="00D35710"/>
    <w:rsid w:val="00D35D09"/>
    <w:rsid w:val="00D360BC"/>
    <w:rsid w:val="00D361B3"/>
    <w:rsid w:val="00D365C0"/>
    <w:rsid w:val="00D36FDE"/>
    <w:rsid w:val="00D37115"/>
    <w:rsid w:val="00D3718B"/>
    <w:rsid w:val="00D37805"/>
    <w:rsid w:val="00D37AE6"/>
    <w:rsid w:val="00D37B79"/>
    <w:rsid w:val="00D40787"/>
    <w:rsid w:val="00D40B9A"/>
    <w:rsid w:val="00D41B19"/>
    <w:rsid w:val="00D41B30"/>
    <w:rsid w:val="00D41BCB"/>
    <w:rsid w:val="00D41F22"/>
    <w:rsid w:val="00D421E7"/>
    <w:rsid w:val="00D42476"/>
    <w:rsid w:val="00D428E3"/>
    <w:rsid w:val="00D42CB9"/>
    <w:rsid w:val="00D42DB3"/>
    <w:rsid w:val="00D43257"/>
    <w:rsid w:val="00D43290"/>
    <w:rsid w:val="00D43660"/>
    <w:rsid w:val="00D43666"/>
    <w:rsid w:val="00D4407B"/>
    <w:rsid w:val="00D44692"/>
    <w:rsid w:val="00D446A5"/>
    <w:rsid w:val="00D44A1A"/>
    <w:rsid w:val="00D45A8C"/>
    <w:rsid w:val="00D45AEF"/>
    <w:rsid w:val="00D45EAA"/>
    <w:rsid w:val="00D46078"/>
    <w:rsid w:val="00D46337"/>
    <w:rsid w:val="00D4641D"/>
    <w:rsid w:val="00D4697E"/>
    <w:rsid w:val="00D478CC"/>
    <w:rsid w:val="00D479AD"/>
    <w:rsid w:val="00D50445"/>
    <w:rsid w:val="00D50792"/>
    <w:rsid w:val="00D51106"/>
    <w:rsid w:val="00D5118A"/>
    <w:rsid w:val="00D5119C"/>
    <w:rsid w:val="00D5131D"/>
    <w:rsid w:val="00D5140E"/>
    <w:rsid w:val="00D516A6"/>
    <w:rsid w:val="00D518ED"/>
    <w:rsid w:val="00D521E2"/>
    <w:rsid w:val="00D52513"/>
    <w:rsid w:val="00D5252B"/>
    <w:rsid w:val="00D526EA"/>
    <w:rsid w:val="00D52E37"/>
    <w:rsid w:val="00D530E5"/>
    <w:rsid w:val="00D5381E"/>
    <w:rsid w:val="00D54650"/>
    <w:rsid w:val="00D5488E"/>
    <w:rsid w:val="00D54911"/>
    <w:rsid w:val="00D54D8D"/>
    <w:rsid w:val="00D55145"/>
    <w:rsid w:val="00D55CA4"/>
    <w:rsid w:val="00D55D8A"/>
    <w:rsid w:val="00D55FDF"/>
    <w:rsid w:val="00D566A8"/>
    <w:rsid w:val="00D57046"/>
    <w:rsid w:val="00D570CE"/>
    <w:rsid w:val="00D573CB"/>
    <w:rsid w:val="00D6014F"/>
    <w:rsid w:val="00D601D9"/>
    <w:rsid w:val="00D6031B"/>
    <w:rsid w:val="00D603CD"/>
    <w:rsid w:val="00D60631"/>
    <w:rsid w:val="00D61267"/>
    <w:rsid w:val="00D6185E"/>
    <w:rsid w:val="00D61BAD"/>
    <w:rsid w:val="00D62BA5"/>
    <w:rsid w:val="00D62EE1"/>
    <w:rsid w:val="00D63576"/>
    <w:rsid w:val="00D63755"/>
    <w:rsid w:val="00D63895"/>
    <w:rsid w:val="00D63EB4"/>
    <w:rsid w:val="00D644A8"/>
    <w:rsid w:val="00D646C6"/>
    <w:rsid w:val="00D64A89"/>
    <w:rsid w:val="00D65FD9"/>
    <w:rsid w:val="00D66491"/>
    <w:rsid w:val="00D66848"/>
    <w:rsid w:val="00D66D6C"/>
    <w:rsid w:val="00D66D70"/>
    <w:rsid w:val="00D66E88"/>
    <w:rsid w:val="00D673D1"/>
    <w:rsid w:val="00D6778E"/>
    <w:rsid w:val="00D7061B"/>
    <w:rsid w:val="00D70C85"/>
    <w:rsid w:val="00D710F0"/>
    <w:rsid w:val="00D718F5"/>
    <w:rsid w:val="00D71AA3"/>
    <w:rsid w:val="00D71B3E"/>
    <w:rsid w:val="00D72883"/>
    <w:rsid w:val="00D73067"/>
    <w:rsid w:val="00D737D6"/>
    <w:rsid w:val="00D73C11"/>
    <w:rsid w:val="00D7493B"/>
    <w:rsid w:val="00D74A7D"/>
    <w:rsid w:val="00D75169"/>
    <w:rsid w:val="00D761B4"/>
    <w:rsid w:val="00D76238"/>
    <w:rsid w:val="00D76433"/>
    <w:rsid w:val="00D769BF"/>
    <w:rsid w:val="00D76F9B"/>
    <w:rsid w:val="00D773E6"/>
    <w:rsid w:val="00D774B9"/>
    <w:rsid w:val="00D774DE"/>
    <w:rsid w:val="00D77576"/>
    <w:rsid w:val="00D778B8"/>
    <w:rsid w:val="00D805CD"/>
    <w:rsid w:val="00D80B6A"/>
    <w:rsid w:val="00D812AD"/>
    <w:rsid w:val="00D81437"/>
    <w:rsid w:val="00D8150C"/>
    <w:rsid w:val="00D82730"/>
    <w:rsid w:val="00D82E95"/>
    <w:rsid w:val="00D82FE4"/>
    <w:rsid w:val="00D8321D"/>
    <w:rsid w:val="00D8330F"/>
    <w:rsid w:val="00D83393"/>
    <w:rsid w:val="00D83850"/>
    <w:rsid w:val="00D84351"/>
    <w:rsid w:val="00D84AE6"/>
    <w:rsid w:val="00D84D39"/>
    <w:rsid w:val="00D85518"/>
    <w:rsid w:val="00D85753"/>
    <w:rsid w:val="00D86C97"/>
    <w:rsid w:val="00D86D42"/>
    <w:rsid w:val="00D878FB"/>
    <w:rsid w:val="00D87DB9"/>
    <w:rsid w:val="00D903EB"/>
    <w:rsid w:val="00D905C4"/>
    <w:rsid w:val="00D90B48"/>
    <w:rsid w:val="00D90C9D"/>
    <w:rsid w:val="00D915DF"/>
    <w:rsid w:val="00D91993"/>
    <w:rsid w:val="00D91BC3"/>
    <w:rsid w:val="00D91CF6"/>
    <w:rsid w:val="00D91D58"/>
    <w:rsid w:val="00D91ED3"/>
    <w:rsid w:val="00D920B2"/>
    <w:rsid w:val="00D923F4"/>
    <w:rsid w:val="00D926DE"/>
    <w:rsid w:val="00D9309C"/>
    <w:rsid w:val="00D943AA"/>
    <w:rsid w:val="00D945A1"/>
    <w:rsid w:val="00D947AA"/>
    <w:rsid w:val="00D949B0"/>
    <w:rsid w:val="00D95322"/>
    <w:rsid w:val="00D95485"/>
    <w:rsid w:val="00D96B10"/>
    <w:rsid w:val="00D96C7F"/>
    <w:rsid w:val="00D96CD2"/>
    <w:rsid w:val="00D97129"/>
    <w:rsid w:val="00D9750E"/>
    <w:rsid w:val="00DA102C"/>
    <w:rsid w:val="00DA1312"/>
    <w:rsid w:val="00DA192C"/>
    <w:rsid w:val="00DA1CD0"/>
    <w:rsid w:val="00DA1F5F"/>
    <w:rsid w:val="00DA203F"/>
    <w:rsid w:val="00DA28D6"/>
    <w:rsid w:val="00DA31D7"/>
    <w:rsid w:val="00DA372B"/>
    <w:rsid w:val="00DA44A4"/>
    <w:rsid w:val="00DA4697"/>
    <w:rsid w:val="00DA4993"/>
    <w:rsid w:val="00DA4DB2"/>
    <w:rsid w:val="00DA4E43"/>
    <w:rsid w:val="00DA53B6"/>
    <w:rsid w:val="00DA5712"/>
    <w:rsid w:val="00DA5E0A"/>
    <w:rsid w:val="00DA5EB3"/>
    <w:rsid w:val="00DA6186"/>
    <w:rsid w:val="00DA61A8"/>
    <w:rsid w:val="00DA69DA"/>
    <w:rsid w:val="00DA7893"/>
    <w:rsid w:val="00DA7AF2"/>
    <w:rsid w:val="00DB086A"/>
    <w:rsid w:val="00DB0D48"/>
    <w:rsid w:val="00DB1081"/>
    <w:rsid w:val="00DB129B"/>
    <w:rsid w:val="00DB186E"/>
    <w:rsid w:val="00DB1D76"/>
    <w:rsid w:val="00DB2473"/>
    <w:rsid w:val="00DB25CB"/>
    <w:rsid w:val="00DB290A"/>
    <w:rsid w:val="00DB2CB9"/>
    <w:rsid w:val="00DB2F5D"/>
    <w:rsid w:val="00DB33EE"/>
    <w:rsid w:val="00DB34BF"/>
    <w:rsid w:val="00DB352F"/>
    <w:rsid w:val="00DB35BB"/>
    <w:rsid w:val="00DB378B"/>
    <w:rsid w:val="00DB3E8C"/>
    <w:rsid w:val="00DB430E"/>
    <w:rsid w:val="00DB4852"/>
    <w:rsid w:val="00DB5226"/>
    <w:rsid w:val="00DB5369"/>
    <w:rsid w:val="00DB53A7"/>
    <w:rsid w:val="00DB54CD"/>
    <w:rsid w:val="00DB581F"/>
    <w:rsid w:val="00DB608A"/>
    <w:rsid w:val="00DB645B"/>
    <w:rsid w:val="00DB736E"/>
    <w:rsid w:val="00DB7423"/>
    <w:rsid w:val="00DB7768"/>
    <w:rsid w:val="00DB7C7C"/>
    <w:rsid w:val="00DB7C97"/>
    <w:rsid w:val="00DC005F"/>
    <w:rsid w:val="00DC02F4"/>
    <w:rsid w:val="00DC10AB"/>
    <w:rsid w:val="00DC1962"/>
    <w:rsid w:val="00DC2259"/>
    <w:rsid w:val="00DC2339"/>
    <w:rsid w:val="00DC2378"/>
    <w:rsid w:val="00DC2B46"/>
    <w:rsid w:val="00DC2B9E"/>
    <w:rsid w:val="00DC315E"/>
    <w:rsid w:val="00DC317B"/>
    <w:rsid w:val="00DC321B"/>
    <w:rsid w:val="00DC32AF"/>
    <w:rsid w:val="00DC3337"/>
    <w:rsid w:val="00DC343B"/>
    <w:rsid w:val="00DC3930"/>
    <w:rsid w:val="00DC4A42"/>
    <w:rsid w:val="00DC4CD8"/>
    <w:rsid w:val="00DC4CEC"/>
    <w:rsid w:val="00DC4DA3"/>
    <w:rsid w:val="00DC5117"/>
    <w:rsid w:val="00DC57CC"/>
    <w:rsid w:val="00DC6BE9"/>
    <w:rsid w:val="00DC6C13"/>
    <w:rsid w:val="00DC6E4F"/>
    <w:rsid w:val="00DC70E0"/>
    <w:rsid w:val="00DC7885"/>
    <w:rsid w:val="00DC7FF5"/>
    <w:rsid w:val="00DD09EE"/>
    <w:rsid w:val="00DD0BCC"/>
    <w:rsid w:val="00DD0D5B"/>
    <w:rsid w:val="00DD0E24"/>
    <w:rsid w:val="00DD17C6"/>
    <w:rsid w:val="00DD1F42"/>
    <w:rsid w:val="00DD25A9"/>
    <w:rsid w:val="00DD2697"/>
    <w:rsid w:val="00DD2BF6"/>
    <w:rsid w:val="00DD2F2E"/>
    <w:rsid w:val="00DD3AA6"/>
    <w:rsid w:val="00DD3E0E"/>
    <w:rsid w:val="00DD3F36"/>
    <w:rsid w:val="00DD4027"/>
    <w:rsid w:val="00DD4148"/>
    <w:rsid w:val="00DD42CA"/>
    <w:rsid w:val="00DD4331"/>
    <w:rsid w:val="00DD4973"/>
    <w:rsid w:val="00DD52ED"/>
    <w:rsid w:val="00DD537F"/>
    <w:rsid w:val="00DD5AE5"/>
    <w:rsid w:val="00DD5E11"/>
    <w:rsid w:val="00DD7127"/>
    <w:rsid w:val="00DD713C"/>
    <w:rsid w:val="00DD7E6B"/>
    <w:rsid w:val="00DE09CC"/>
    <w:rsid w:val="00DE12DF"/>
    <w:rsid w:val="00DE12F4"/>
    <w:rsid w:val="00DE21D2"/>
    <w:rsid w:val="00DE2B59"/>
    <w:rsid w:val="00DE2EC2"/>
    <w:rsid w:val="00DE3224"/>
    <w:rsid w:val="00DE37E7"/>
    <w:rsid w:val="00DE3D89"/>
    <w:rsid w:val="00DE4511"/>
    <w:rsid w:val="00DE49C4"/>
    <w:rsid w:val="00DE4BF9"/>
    <w:rsid w:val="00DE51F1"/>
    <w:rsid w:val="00DE5A61"/>
    <w:rsid w:val="00DE5BA7"/>
    <w:rsid w:val="00DE63DF"/>
    <w:rsid w:val="00DE675E"/>
    <w:rsid w:val="00DE67F9"/>
    <w:rsid w:val="00DE69E9"/>
    <w:rsid w:val="00DE7311"/>
    <w:rsid w:val="00DE78E3"/>
    <w:rsid w:val="00DF017C"/>
    <w:rsid w:val="00DF0281"/>
    <w:rsid w:val="00DF073E"/>
    <w:rsid w:val="00DF091E"/>
    <w:rsid w:val="00DF0AA3"/>
    <w:rsid w:val="00DF15D0"/>
    <w:rsid w:val="00DF1634"/>
    <w:rsid w:val="00DF1800"/>
    <w:rsid w:val="00DF1F82"/>
    <w:rsid w:val="00DF2103"/>
    <w:rsid w:val="00DF22E7"/>
    <w:rsid w:val="00DF269C"/>
    <w:rsid w:val="00DF3244"/>
    <w:rsid w:val="00DF3702"/>
    <w:rsid w:val="00DF37BA"/>
    <w:rsid w:val="00DF398A"/>
    <w:rsid w:val="00DF3AAA"/>
    <w:rsid w:val="00DF3B47"/>
    <w:rsid w:val="00DF3C5D"/>
    <w:rsid w:val="00DF3D77"/>
    <w:rsid w:val="00DF3FC4"/>
    <w:rsid w:val="00DF42C5"/>
    <w:rsid w:val="00DF4E74"/>
    <w:rsid w:val="00DF5976"/>
    <w:rsid w:val="00DF5ABB"/>
    <w:rsid w:val="00DF5D88"/>
    <w:rsid w:val="00DF6124"/>
    <w:rsid w:val="00DF6ED0"/>
    <w:rsid w:val="00DF78A9"/>
    <w:rsid w:val="00DF7B30"/>
    <w:rsid w:val="00DF7EC5"/>
    <w:rsid w:val="00E0005D"/>
    <w:rsid w:val="00E001DF"/>
    <w:rsid w:val="00E001F2"/>
    <w:rsid w:val="00E00659"/>
    <w:rsid w:val="00E0066C"/>
    <w:rsid w:val="00E00AC5"/>
    <w:rsid w:val="00E00D6E"/>
    <w:rsid w:val="00E01398"/>
    <w:rsid w:val="00E02436"/>
    <w:rsid w:val="00E027CF"/>
    <w:rsid w:val="00E0286B"/>
    <w:rsid w:val="00E02AD6"/>
    <w:rsid w:val="00E03729"/>
    <w:rsid w:val="00E039C7"/>
    <w:rsid w:val="00E03D44"/>
    <w:rsid w:val="00E04702"/>
    <w:rsid w:val="00E056C1"/>
    <w:rsid w:val="00E05ECE"/>
    <w:rsid w:val="00E06049"/>
    <w:rsid w:val="00E0662E"/>
    <w:rsid w:val="00E06A39"/>
    <w:rsid w:val="00E06AC4"/>
    <w:rsid w:val="00E06E28"/>
    <w:rsid w:val="00E072AE"/>
    <w:rsid w:val="00E07666"/>
    <w:rsid w:val="00E07CED"/>
    <w:rsid w:val="00E10036"/>
    <w:rsid w:val="00E10120"/>
    <w:rsid w:val="00E10547"/>
    <w:rsid w:val="00E10B1F"/>
    <w:rsid w:val="00E10E4D"/>
    <w:rsid w:val="00E10F6D"/>
    <w:rsid w:val="00E11AE2"/>
    <w:rsid w:val="00E11D18"/>
    <w:rsid w:val="00E12225"/>
    <w:rsid w:val="00E129FE"/>
    <w:rsid w:val="00E12D0E"/>
    <w:rsid w:val="00E12E1D"/>
    <w:rsid w:val="00E12E3E"/>
    <w:rsid w:val="00E137B8"/>
    <w:rsid w:val="00E14CF5"/>
    <w:rsid w:val="00E14D60"/>
    <w:rsid w:val="00E14E2A"/>
    <w:rsid w:val="00E14F87"/>
    <w:rsid w:val="00E1512E"/>
    <w:rsid w:val="00E15788"/>
    <w:rsid w:val="00E1620A"/>
    <w:rsid w:val="00E16E4A"/>
    <w:rsid w:val="00E1785F"/>
    <w:rsid w:val="00E17ADD"/>
    <w:rsid w:val="00E17D3A"/>
    <w:rsid w:val="00E17EC3"/>
    <w:rsid w:val="00E209BB"/>
    <w:rsid w:val="00E209C9"/>
    <w:rsid w:val="00E214FE"/>
    <w:rsid w:val="00E220AE"/>
    <w:rsid w:val="00E22D9A"/>
    <w:rsid w:val="00E248B4"/>
    <w:rsid w:val="00E24F07"/>
    <w:rsid w:val="00E25104"/>
    <w:rsid w:val="00E25708"/>
    <w:rsid w:val="00E25733"/>
    <w:rsid w:val="00E2589D"/>
    <w:rsid w:val="00E25A7C"/>
    <w:rsid w:val="00E26A8B"/>
    <w:rsid w:val="00E270AE"/>
    <w:rsid w:val="00E27867"/>
    <w:rsid w:val="00E27BD2"/>
    <w:rsid w:val="00E27BDF"/>
    <w:rsid w:val="00E27C46"/>
    <w:rsid w:val="00E27D78"/>
    <w:rsid w:val="00E3031D"/>
    <w:rsid w:val="00E30A47"/>
    <w:rsid w:val="00E3141D"/>
    <w:rsid w:val="00E31512"/>
    <w:rsid w:val="00E31641"/>
    <w:rsid w:val="00E32691"/>
    <w:rsid w:val="00E32EEA"/>
    <w:rsid w:val="00E32F31"/>
    <w:rsid w:val="00E32F54"/>
    <w:rsid w:val="00E33B82"/>
    <w:rsid w:val="00E34420"/>
    <w:rsid w:val="00E34827"/>
    <w:rsid w:val="00E35257"/>
    <w:rsid w:val="00E35294"/>
    <w:rsid w:val="00E3542A"/>
    <w:rsid w:val="00E356CE"/>
    <w:rsid w:val="00E3641A"/>
    <w:rsid w:val="00E36631"/>
    <w:rsid w:val="00E366A6"/>
    <w:rsid w:val="00E36EBE"/>
    <w:rsid w:val="00E36F0A"/>
    <w:rsid w:val="00E37058"/>
    <w:rsid w:val="00E3710D"/>
    <w:rsid w:val="00E373A4"/>
    <w:rsid w:val="00E373ED"/>
    <w:rsid w:val="00E37A21"/>
    <w:rsid w:val="00E37B11"/>
    <w:rsid w:val="00E40537"/>
    <w:rsid w:val="00E419AF"/>
    <w:rsid w:val="00E41BE2"/>
    <w:rsid w:val="00E41EDC"/>
    <w:rsid w:val="00E43301"/>
    <w:rsid w:val="00E436A6"/>
    <w:rsid w:val="00E43C04"/>
    <w:rsid w:val="00E43FD2"/>
    <w:rsid w:val="00E4418F"/>
    <w:rsid w:val="00E44288"/>
    <w:rsid w:val="00E4430B"/>
    <w:rsid w:val="00E4480B"/>
    <w:rsid w:val="00E449AB"/>
    <w:rsid w:val="00E44AFD"/>
    <w:rsid w:val="00E44EC7"/>
    <w:rsid w:val="00E44F03"/>
    <w:rsid w:val="00E45647"/>
    <w:rsid w:val="00E45C49"/>
    <w:rsid w:val="00E46576"/>
    <w:rsid w:val="00E46DFD"/>
    <w:rsid w:val="00E5003F"/>
    <w:rsid w:val="00E50F12"/>
    <w:rsid w:val="00E510E6"/>
    <w:rsid w:val="00E51122"/>
    <w:rsid w:val="00E51144"/>
    <w:rsid w:val="00E512D3"/>
    <w:rsid w:val="00E51C1F"/>
    <w:rsid w:val="00E524B5"/>
    <w:rsid w:val="00E52979"/>
    <w:rsid w:val="00E52A61"/>
    <w:rsid w:val="00E52D0E"/>
    <w:rsid w:val="00E53A23"/>
    <w:rsid w:val="00E54057"/>
    <w:rsid w:val="00E542DC"/>
    <w:rsid w:val="00E54513"/>
    <w:rsid w:val="00E55B8F"/>
    <w:rsid w:val="00E55EB8"/>
    <w:rsid w:val="00E55FA2"/>
    <w:rsid w:val="00E5601A"/>
    <w:rsid w:val="00E56085"/>
    <w:rsid w:val="00E56175"/>
    <w:rsid w:val="00E5621C"/>
    <w:rsid w:val="00E5681C"/>
    <w:rsid w:val="00E56D54"/>
    <w:rsid w:val="00E5707B"/>
    <w:rsid w:val="00E5778A"/>
    <w:rsid w:val="00E57B6D"/>
    <w:rsid w:val="00E57CA8"/>
    <w:rsid w:val="00E6083D"/>
    <w:rsid w:val="00E6093E"/>
    <w:rsid w:val="00E60D17"/>
    <w:rsid w:val="00E61B1B"/>
    <w:rsid w:val="00E624A4"/>
    <w:rsid w:val="00E62D2F"/>
    <w:rsid w:val="00E630A4"/>
    <w:rsid w:val="00E63276"/>
    <w:rsid w:val="00E63DB8"/>
    <w:rsid w:val="00E63EE6"/>
    <w:rsid w:val="00E6410A"/>
    <w:rsid w:val="00E64591"/>
    <w:rsid w:val="00E64878"/>
    <w:rsid w:val="00E64D2A"/>
    <w:rsid w:val="00E64D70"/>
    <w:rsid w:val="00E6566B"/>
    <w:rsid w:val="00E658FC"/>
    <w:rsid w:val="00E6639F"/>
    <w:rsid w:val="00E6640B"/>
    <w:rsid w:val="00E66506"/>
    <w:rsid w:val="00E66582"/>
    <w:rsid w:val="00E66B94"/>
    <w:rsid w:val="00E66C3B"/>
    <w:rsid w:val="00E67259"/>
    <w:rsid w:val="00E675AB"/>
    <w:rsid w:val="00E67655"/>
    <w:rsid w:val="00E67A00"/>
    <w:rsid w:val="00E67AA9"/>
    <w:rsid w:val="00E67B3E"/>
    <w:rsid w:val="00E701F4"/>
    <w:rsid w:val="00E7024A"/>
    <w:rsid w:val="00E70441"/>
    <w:rsid w:val="00E705D9"/>
    <w:rsid w:val="00E70F13"/>
    <w:rsid w:val="00E715CE"/>
    <w:rsid w:val="00E71752"/>
    <w:rsid w:val="00E72018"/>
    <w:rsid w:val="00E72217"/>
    <w:rsid w:val="00E7245D"/>
    <w:rsid w:val="00E72771"/>
    <w:rsid w:val="00E7282E"/>
    <w:rsid w:val="00E72FE3"/>
    <w:rsid w:val="00E73526"/>
    <w:rsid w:val="00E73979"/>
    <w:rsid w:val="00E73F73"/>
    <w:rsid w:val="00E74E8E"/>
    <w:rsid w:val="00E75A77"/>
    <w:rsid w:val="00E75E1B"/>
    <w:rsid w:val="00E761A4"/>
    <w:rsid w:val="00E76731"/>
    <w:rsid w:val="00E76C79"/>
    <w:rsid w:val="00E76FC3"/>
    <w:rsid w:val="00E7792D"/>
    <w:rsid w:val="00E77A28"/>
    <w:rsid w:val="00E77D2C"/>
    <w:rsid w:val="00E77E67"/>
    <w:rsid w:val="00E8068A"/>
    <w:rsid w:val="00E8068D"/>
    <w:rsid w:val="00E80A06"/>
    <w:rsid w:val="00E80F3E"/>
    <w:rsid w:val="00E80F48"/>
    <w:rsid w:val="00E80FF6"/>
    <w:rsid w:val="00E8155B"/>
    <w:rsid w:val="00E81992"/>
    <w:rsid w:val="00E819DE"/>
    <w:rsid w:val="00E82193"/>
    <w:rsid w:val="00E8264C"/>
    <w:rsid w:val="00E83677"/>
    <w:rsid w:val="00E83B4F"/>
    <w:rsid w:val="00E841AD"/>
    <w:rsid w:val="00E845DE"/>
    <w:rsid w:val="00E84C59"/>
    <w:rsid w:val="00E84CFE"/>
    <w:rsid w:val="00E84D26"/>
    <w:rsid w:val="00E852B8"/>
    <w:rsid w:val="00E8536D"/>
    <w:rsid w:val="00E85560"/>
    <w:rsid w:val="00E85677"/>
    <w:rsid w:val="00E8579E"/>
    <w:rsid w:val="00E85D23"/>
    <w:rsid w:val="00E86072"/>
    <w:rsid w:val="00E86168"/>
    <w:rsid w:val="00E86976"/>
    <w:rsid w:val="00E86FBA"/>
    <w:rsid w:val="00E8741C"/>
    <w:rsid w:val="00E874E5"/>
    <w:rsid w:val="00E87628"/>
    <w:rsid w:val="00E8782B"/>
    <w:rsid w:val="00E878FE"/>
    <w:rsid w:val="00E8797C"/>
    <w:rsid w:val="00E87E20"/>
    <w:rsid w:val="00E87FCF"/>
    <w:rsid w:val="00E900D3"/>
    <w:rsid w:val="00E9012C"/>
    <w:rsid w:val="00E9129B"/>
    <w:rsid w:val="00E912F3"/>
    <w:rsid w:val="00E92641"/>
    <w:rsid w:val="00E92E13"/>
    <w:rsid w:val="00E93325"/>
    <w:rsid w:val="00E93666"/>
    <w:rsid w:val="00E9371E"/>
    <w:rsid w:val="00E94823"/>
    <w:rsid w:val="00E94F11"/>
    <w:rsid w:val="00E951A6"/>
    <w:rsid w:val="00E95853"/>
    <w:rsid w:val="00E958E0"/>
    <w:rsid w:val="00E95A1A"/>
    <w:rsid w:val="00E95EE6"/>
    <w:rsid w:val="00E960CB"/>
    <w:rsid w:val="00E96649"/>
    <w:rsid w:val="00E966E1"/>
    <w:rsid w:val="00E96929"/>
    <w:rsid w:val="00E969C3"/>
    <w:rsid w:val="00E969F7"/>
    <w:rsid w:val="00E96A7C"/>
    <w:rsid w:val="00E96B00"/>
    <w:rsid w:val="00E97069"/>
    <w:rsid w:val="00E972F8"/>
    <w:rsid w:val="00EA059A"/>
    <w:rsid w:val="00EA0705"/>
    <w:rsid w:val="00EA0D5C"/>
    <w:rsid w:val="00EA0EFE"/>
    <w:rsid w:val="00EA11BB"/>
    <w:rsid w:val="00EA137F"/>
    <w:rsid w:val="00EA14D7"/>
    <w:rsid w:val="00EA1D83"/>
    <w:rsid w:val="00EA3B6F"/>
    <w:rsid w:val="00EA4029"/>
    <w:rsid w:val="00EA42CD"/>
    <w:rsid w:val="00EA4CC5"/>
    <w:rsid w:val="00EA4CFA"/>
    <w:rsid w:val="00EA54F9"/>
    <w:rsid w:val="00EA5649"/>
    <w:rsid w:val="00EA5869"/>
    <w:rsid w:val="00EA5ADA"/>
    <w:rsid w:val="00EA6314"/>
    <w:rsid w:val="00EA696B"/>
    <w:rsid w:val="00EA69DA"/>
    <w:rsid w:val="00EA6CC4"/>
    <w:rsid w:val="00EA6D2C"/>
    <w:rsid w:val="00EA6FDE"/>
    <w:rsid w:val="00EA73E6"/>
    <w:rsid w:val="00EA75FE"/>
    <w:rsid w:val="00EA768B"/>
    <w:rsid w:val="00EA7852"/>
    <w:rsid w:val="00EA7E2F"/>
    <w:rsid w:val="00EB0F61"/>
    <w:rsid w:val="00EB1541"/>
    <w:rsid w:val="00EB1606"/>
    <w:rsid w:val="00EB2201"/>
    <w:rsid w:val="00EB245E"/>
    <w:rsid w:val="00EB28FE"/>
    <w:rsid w:val="00EB3077"/>
    <w:rsid w:val="00EB343A"/>
    <w:rsid w:val="00EB385A"/>
    <w:rsid w:val="00EB3880"/>
    <w:rsid w:val="00EB3F0E"/>
    <w:rsid w:val="00EB3F4C"/>
    <w:rsid w:val="00EB3FEE"/>
    <w:rsid w:val="00EB42DF"/>
    <w:rsid w:val="00EB4C4F"/>
    <w:rsid w:val="00EB4EAE"/>
    <w:rsid w:val="00EB5153"/>
    <w:rsid w:val="00EB54F3"/>
    <w:rsid w:val="00EB56D0"/>
    <w:rsid w:val="00EB60FA"/>
    <w:rsid w:val="00EB61AB"/>
    <w:rsid w:val="00EB67CF"/>
    <w:rsid w:val="00EB727F"/>
    <w:rsid w:val="00EB785E"/>
    <w:rsid w:val="00EB7CD5"/>
    <w:rsid w:val="00EB7EC5"/>
    <w:rsid w:val="00EB7FE0"/>
    <w:rsid w:val="00EC03CD"/>
    <w:rsid w:val="00EC0782"/>
    <w:rsid w:val="00EC0BED"/>
    <w:rsid w:val="00EC0D1A"/>
    <w:rsid w:val="00EC0D38"/>
    <w:rsid w:val="00EC1270"/>
    <w:rsid w:val="00EC17D8"/>
    <w:rsid w:val="00EC1C5F"/>
    <w:rsid w:val="00EC2F56"/>
    <w:rsid w:val="00EC30D9"/>
    <w:rsid w:val="00EC3264"/>
    <w:rsid w:val="00EC3A5A"/>
    <w:rsid w:val="00EC3BA6"/>
    <w:rsid w:val="00EC3FB7"/>
    <w:rsid w:val="00EC4377"/>
    <w:rsid w:val="00EC4D9A"/>
    <w:rsid w:val="00EC5561"/>
    <w:rsid w:val="00EC5768"/>
    <w:rsid w:val="00EC585E"/>
    <w:rsid w:val="00EC5A85"/>
    <w:rsid w:val="00EC5BA7"/>
    <w:rsid w:val="00EC5C66"/>
    <w:rsid w:val="00EC6127"/>
    <w:rsid w:val="00EC6213"/>
    <w:rsid w:val="00EC62B2"/>
    <w:rsid w:val="00EC6539"/>
    <w:rsid w:val="00EC6678"/>
    <w:rsid w:val="00EC6A69"/>
    <w:rsid w:val="00EC6D55"/>
    <w:rsid w:val="00EC7407"/>
    <w:rsid w:val="00EC7AE4"/>
    <w:rsid w:val="00EC7B3F"/>
    <w:rsid w:val="00EC7F96"/>
    <w:rsid w:val="00ED05D3"/>
    <w:rsid w:val="00ED11C0"/>
    <w:rsid w:val="00ED1A58"/>
    <w:rsid w:val="00ED1F2A"/>
    <w:rsid w:val="00ED23A9"/>
    <w:rsid w:val="00ED245A"/>
    <w:rsid w:val="00ED27B8"/>
    <w:rsid w:val="00ED31AF"/>
    <w:rsid w:val="00ED3ACE"/>
    <w:rsid w:val="00ED3CD6"/>
    <w:rsid w:val="00ED4190"/>
    <w:rsid w:val="00ED4419"/>
    <w:rsid w:val="00ED489C"/>
    <w:rsid w:val="00ED4A45"/>
    <w:rsid w:val="00ED4FC4"/>
    <w:rsid w:val="00ED64E1"/>
    <w:rsid w:val="00ED6772"/>
    <w:rsid w:val="00ED6A96"/>
    <w:rsid w:val="00ED6B81"/>
    <w:rsid w:val="00ED6F5E"/>
    <w:rsid w:val="00ED70A7"/>
    <w:rsid w:val="00ED725B"/>
    <w:rsid w:val="00ED777D"/>
    <w:rsid w:val="00ED7910"/>
    <w:rsid w:val="00EE03C4"/>
    <w:rsid w:val="00EE03CE"/>
    <w:rsid w:val="00EE070D"/>
    <w:rsid w:val="00EE0E9C"/>
    <w:rsid w:val="00EE0F15"/>
    <w:rsid w:val="00EE1395"/>
    <w:rsid w:val="00EE15AF"/>
    <w:rsid w:val="00EE1A7E"/>
    <w:rsid w:val="00EE1C70"/>
    <w:rsid w:val="00EE23DF"/>
    <w:rsid w:val="00EE28B4"/>
    <w:rsid w:val="00EE294B"/>
    <w:rsid w:val="00EE2C17"/>
    <w:rsid w:val="00EE3153"/>
    <w:rsid w:val="00EE3F84"/>
    <w:rsid w:val="00EE4020"/>
    <w:rsid w:val="00EE4A2A"/>
    <w:rsid w:val="00EE588C"/>
    <w:rsid w:val="00EE5BC4"/>
    <w:rsid w:val="00EE5D00"/>
    <w:rsid w:val="00EE5DE8"/>
    <w:rsid w:val="00EE60F8"/>
    <w:rsid w:val="00EE61CE"/>
    <w:rsid w:val="00EE62C9"/>
    <w:rsid w:val="00EE69B6"/>
    <w:rsid w:val="00EE6BA0"/>
    <w:rsid w:val="00EF04D0"/>
    <w:rsid w:val="00EF0BDD"/>
    <w:rsid w:val="00EF17B0"/>
    <w:rsid w:val="00EF204E"/>
    <w:rsid w:val="00EF21D7"/>
    <w:rsid w:val="00EF223C"/>
    <w:rsid w:val="00EF22F1"/>
    <w:rsid w:val="00EF23D8"/>
    <w:rsid w:val="00EF2630"/>
    <w:rsid w:val="00EF2705"/>
    <w:rsid w:val="00EF281D"/>
    <w:rsid w:val="00EF2D28"/>
    <w:rsid w:val="00EF2F2C"/>
    <w:rsid w:val="00EF3477"/>
    <w:rsid w:val="00EF3B25"/>
    <w:rsid w:val="00EF3D1B"/>
    <w:rsid w:val="00EF4361"/>
    <w:rsid w:val="00EF4628"/>
    <w:rsid w:val="00EF48DE"/>
    <w:rsid w:val="00EF5893"/>
    <w:rsid w:val="00EF6B4B"/>
    <w:rsid w:val="00EF6C87"/>
    <w:rsid w:val="00EF718D"/>
    <w:rsid w:val="00EF7EED"/>
    <w:rsid w:val="00F00040"/>
    <w:rsid w:val="00F0042A"/>
    <w:rsid w:val="00F0076D"/>
    <w:rsid w:val="00F00868"/>
    <w:rsid w:val="00F00AC2"/>
    <w:rsid w:val="00F00B95"/>
    <w:rsid w:val="00F00BA2"/>
    <w:rsid w:val="00F00C8D"/>
    <w:rsid w:val="00F011D2"/>
    <w:rsid w:val="00F01D2B"/>
    <w:rsid w:val="00F0253A"/>
    <w:rsid w:val="00F0301E"/>
    <w:rsid w:val="00F033EB"/>
    <w:rsid w:val="00F0353E"/>
    <w:rsid w:val="00F036BA"/>
    <w:rsid w:val="00F03FA5"/>
    <w:rsid w:val="00F041C7"/>
    <w:rsid w:val="00F048C2"/>
    <w:rsid w:val="00F051B0"/>
    <w:rsid w:val="00F05939"/>
    <w:rsid w:val="00F06328"/>
    <w:rsid w:val="00F064F6"/>
    <w:rsid w:val="00F065A2"/>
    <w:rsid w:val="00F065B8"/>
    <w:rsid w:val="00F066B4"/>
    <w:rsid w:val="00F06BBD"/>
    <w:rsid w:val="00F06EE2"/>
    <w:rsid w:val="00F06F5B"/>
    <w:rsid w:val="00F06FEB"/>
    <w:rsid w:val="00F07F50"/>
    <w:rsid w:val="00F07FAD"/>
    <w:rsid w:val="00F102A8"/>
    <w:rsid w:val="00F105FF"/>
    <w:rsid w:val="00F10A1F"/>
    <w:rsid w:val="00F10C64"/>
    <w:rsid w:val="00F10EB3"/>
    <w:rsid w:val="00F10F88"/>
    <w:rsid w:val="00F115EC"/>
    <w:rsid w:val="00F11718"/>
    <w:rsid w:val="00F11B55"/>
    <w:rsid w:val="00F11CEB"/>
    <w:rsid w:val="00F1297D"/>
    <w:rsid w:val="00F12B2B"/>
    <w:rsid w:val="00F12D60"/>
    <w:rsid w:val="00F130A2"/>
    <w:rsid w:val="00F1316A"/>
    <w:rsid w:val="00F13B4D"/>
    <w:rsid w:val="00F13C42"/>
    <w:rsid w:val="00F13D5C"/>
    <w:rsid w:val="00F1420E"/>
    <w:rsid w:val="00F142CD"/>
    <w:rsid w:val="00F1436C"/>
    <w:rsid w:val="00F151E5"/>
    <w:rsid w:val="00F1540C"/>
    <w:rsid w:val="00F1548C"/>
    <w:rsid w:val="00F15606"/>
    <w:rsid w:val="00F15BD6"/>
    <w:rsid w:val="00F15C0E"/>
    <w:rsid w:val="00F15E79"/>
    <w:rsid w:val="00F16772"/>
    <w:rsid w:val="00F168EA"/>
    <w:rsid w:val="00F16D4C"/>
    <w:rsid w:val="00F16DC7"/>
    <w:rsid w:val="00F16F65"/>
    <w:rsid w:val="00F1715D"/>
    <w:rsid w:val="00F17751"/>
    <w:rsid w:val="00F17CAE"/>
    <w:rsid w:val="00F20790"/>
    <w:rsid w:val="00F20CBB"/>
    <w:rsid w:val="00F20E60"/>
    <w:rsid w:val="00F20F9F"/>
    <w:rsid w:val="00F2351E"/>
    <w:rsid w:val="00F23A8C"/>
    <w:rsid w:val="00F23DB0"/>
    <w:rsid w:val="00F23F9D"/>
    <w:rsid w:val="00F24184"/>
    <w:rsid w:val="00F2427C"/>
    <w:rsid w:val="00F24623"/>
    <w:rsid w:val="00F24722"/>
    <w:rsid w:val="00F247AE"/>
    <w:rsid w:val="00F2679B"/>
    <w:rsid w:val="00F267B2"/>
    <w:rsid w:val="00F26B50"/>
    <w:rsid w:val="00F26D5F"/>
    <w:rsid w:val="00F27D40"/>
    <w:rsid w:val="00F27D48"/>
    <w:rsid w:val="00F30289"/>
    <w:rsid w:val="00F30509"/>
    <w:rsid w:val="00F305A2"/>
    <w:rsid w:val="00F309AA"/>
    <w:rsid w:val="00F3103B"/>
    <w:rsid w:val="00F310EB"/>
    <w:rsid w:val="00F315B9"/>
    <w:rsid w:val="00F31935"/>
    <w:rsid w:val="00F31B02"/>
    <w:rsid w:val="00F31EAD"/>
    <w:rsid w:val="00F32077"/>
    <w:rsid w:val="00F32B81"/>
    <w:rsid w:val="00F32F04"/>
    <w:rsid w:val="00F32F2B"/>
    <w:rsid w:val="00F33485"/>
    <w:rsid w:val="00F33562"/>
    <w:rsid w:val="00F33A3A"/>
    <w:rsid w:val="00F33BE2"/>
    <w:rsid w:val="00F33BF0"/>
    <w:rsid w:val="00F33C77"/>
    <w:rsid w:val="00F33DEC"/>
    <w:rsid w:val="00F33F7B"/>
    <w:rsid w:val="00F34306"/>
    <w:rsid w:val="00F348E5"/>
    <w:rsid w:val="00F34D39"/>
    <w:rsid w:val="00F3512B"/>
    <w:rsid w:val="00F354F9"/>
    <w:rsid w:val="00F35EEA"/>
    <w:rsid w:val="00F36041"/>
    <w:rsid w:val="00F3604E"/>
    <w:rsid w:val="00F362E1"/>
    <w:rsid w:val="00F36551"/>
    <w:rsid w:val="00F3665E"/>
    <w:rsid w:val="00F36722"/>
    <w:rsid w:val="00F379BD"/>
    <w:rsid w:val="00F405BB"/>
    <w:rsid w:val="00F4064E"/>
    <w:rsid w:val="00F40C0A"/>
    <w:rsid w:val="00F41ADE"/>
    <w:rsid w:val="00F41D92"/>
    <w:rsid w:val="00F422A6"/>
    <w:rsid w:val="00F425BA"/>
    <w:rsid w:val="00F42619"/>
    <w:rsid w:val="00F4275C"/>
    <w:rsid w:val="00F429A2"/>
    <w:rsid w:val="00F43760"/>
    <w:rsid w:val="00F4388D"/>
    <w:rsid w:val="00F44059"/>
    <w:rsid w:val="00F44362"/>
    <w:rsid w:val="00F4465C"/>
    <w:rsid w:val="00F449D4"/>
    <w:rsid w:val="00F44ABC"/>
    <w:rsid w:val="00F44CDB"/>
    <w:rsid w:val="00F45397"/>
    <w:rsid w:val="00F45484"/>
    <w:rsid w:val="00F459D2"/>
    <w:rsid w:val="00F45F50"/>
    <w:rsid w:val="00F46969"/>
    <w:rsid w:val="00F469BC"/>
    <w:rsid w:val="00F46A0B"/>
    <w:rsid w:val="00F46A10"/>
    <w:rsid w:val="00F4759C"/>
    <w:rsid w:val="00F478F5"/>
    <w:rsid w:val="00F47AA7"/>
    <w:rsid w:val="00F47C71"/>
    <w:rsid w:val="00F47D7C"/>
    <w:rsid w:val="00F500AD"/>
    <w:rsid w:val="00F508A7"/>
    <w:rsid w:val="00F50FE2"/>
    <w:rsid w:val="00F51267"/>
    <w:rsid w:val="00F5183A"/>
    <w:rsid w:val="00F51A4A"/>
    <w:rsid w:val="00F52919"/>
    <w:rsid w:val="00F529A3"/>
    <w:rsid w:val="00F5326C"/>
    <w:rsid w:val="00F53915"/>
    <w:rsid w:val="00F53CED"/>
    <w:rsid w:val="00F543A8"/>
    <w:rsid w:val="00F544E2"/>
    <w:rsid w:val="00F54C50"/>
    <w:rsid w:val="00F54CF3"/>
    <w:rsid w:val="00F54FE6"/>
    <w:rsid w:val="00F558F0"/>
    <w:rsid w:val="00F56226"/>
    <w:rsid w:val="00F56481"/>
    <w:rsid w:val="00F56769"/>
    <w:rsid w:val="00F56BE7"/>
    <w:rsid w:val="00F56EB9"/>
    <w:rsid w:val="00F571EB"/>
    <w:rsid w:val="00F57822"/>
    <w:rsid w:val="00F57BDA"/>
    <w:rsid w:val="00F60178"/>
    <w:rsid w:val="00F604E8"/>
    <w:rsid w:val="00F60C02"/>
    <w:rsid w:val="00F6165E"/>
    <w:rsid w:val="00F616B6"/>
    <w:rsid w:val="00F6194C"/>
    <w:rsid w:val="00F620CA"/>
    <w:rsid w:val="00F62393"/>
    <w:rsid w:val="00F626D3"/>
    <w:rsid w:val="00F631B7"/>
    <w:rsid w:val="00F63346"/>
    <w:rsid w:val="00F63A22"/>
    <w:rsid w:val="00F647C0"/>
    <w:rsid w:val="00F6496C"/>
    <w:rsid w:val="00F64A73"/>
    <w:rsid w:val="00F64FDE"/>
    <w:rsid w:val="00F65298"/>
    <w:rsid w:val="00F652EE"/>
    <w:rsid w:val="00F65772"/>
    <w:rsid w:val="00F658F5"/>
    <w:rsid w:val="00F65D57"/>
    <w:rsid w:val="00F66CDF"/>
    <w:rsid w:val="00F66DE7"/>
    <w:rsid w:val="00F66FF2"/>
    <w:rsid w:val="00F67038"/>
    <w:rsid w:val="00F67837"/>
    <w:rsid w:val="00F679AA"/>
    <w:rsid w:val="00F679FE"/>
    <w:rsid w:val="00F67E58"/>
    <w:rsid w:val="00F703F2"/>
    <w:rsid w:val="00F709F8"/>
    <w:rsid w:val="00F70AB3"/>
    <w:rsid w:val="00F70E36"/>
    <w:rsid w:val="00F7108B"/>
    <w:rsid w:val="00F717F0"/>
    <w:rsid w:val="00F71B2C"/>
    <w:rsid w:val="00F71B80"/>
    <w:rsid w:val="00F71F85"/>
    <w:rsid w:val="00F72044"/>
    <w:rsid w:val="00F723C7"/>
    <w:rsid w:val="00F7278E"/>
    <w:rsid w:val="00F72A33"/>
    <w:rsid w:val="00F72E5C"/>
    <w:rsid w:val="00F730A2"/>
    <w:rsid w:val="00F73284"/>
    <w:rsid w:val="00F7364E"/>
    <w:rsid w:val="00F73A99"/>
    <w:rsid w:val="00F73BFA"/>
    <w:rsid w:val="00F73D36"/>
    <w:rsid w:val="00F73E3B"/>
    <w:rsid w:val="00F74E5E"/>
    <w:rsid w:val="00F74FC0"/>
    <w:rsid w:val="00F75272"/>
    <w:rsid w:val="00F75312"/>
    <w:rsid w:val="00F75A1E"/>
    <w:rsid w:val="00F76083"/>
    <w:rsid w:val="00F76EB1"/>
    <w:rsid w:val="00F77AE0"/>
    <w:rsid w:val="00F804A3"/>
    <w:rsid w:val="00F80742"/>
    <w:rsid w:val="00F80C0E"/>
    <w:rsid w:val="00F8142E"/>
    <w:rsid w:val="00F818CA"/>
    <w:rsid w:val="00F81E08"/>
    <w:rsid w:val="00F830E2"/>
    <w:rsid w:val="00F83C1E"/>
    <w:rsid w:val="00F83CE5"/>
    <w:rsid w:val="00F83FDE"/>
    <w:rsid w:val="00F84053"/>
    <w:rsid w:val="00F84FBF"/>
    <w:rsid w:val="00F85EA6"/>
    <w:rsid w:val="00F8646D"/>
    <w:rsid w:val="00F86534"/>
    <w:rsid w:val="00F86C81"/>
    <w:rsid w:val="00F8724E"/>
    <w:rsid w:val="00F87945"/>
    <w:rsid w:val="00F87A17"/>
    <w:rsid w:val="00F87ADE"/>
    <w:rsid w:val="00F90702"/>
    <w:rsid w:val="00F90848"/>
    <w:rsid w:val="00F90867"/>
    <w:rsid w:val="00F909F8"/>
    <w:rsid w:val="00F90B9E"/>
    <w:rsid w:val="00F90E31"/>
    <w:rsid w:val="00F915C5"/>
    <w:rsid w:val="00F9165A"/>
    <w:rsid w:val="00F91D7A"/>
    <w:rsid w:val="00F92C9C"/>
    <w:rsid w:val="00F9322A"/>
    <w:rsid w:val="00F93ABC"/>
    <w:rsid w:val="00F95243"/>
    <w:rsid w:val="00F9564F"/>
    <w:rsid w:val="00F95B12"/>
    <w:rsid w:val="00F95D84"/>
    <w:rsid w:val="00F95EE8"/>
    <w:rsid w:val="00F96459"/>
    <w:rsid w:val="00F96FBE"/>
    <w:rsid w:val="00F978A5"/>
    <w:rsid w:val="00F97A02"/>
    <w:rsid w:val="00FA067E"/>
    <w:rsid w:val="00FA0838"/>
    <w:rsid w:val="00FA0955"/>
    <w:rsid w:val="00FA0B13"/>
    <w:rsid w:val="00FA0F37"/>
    <w:rsid w:val="00FA1283"/>
    <w:rsid w:val="00FA187D"/>
    <w:rsid w:val="00FA18DF"/>
    <w:rsid w:val="00FA1D2F"/>
    <w:rsid w:val="00FA2477"/>
    <w:rsid w:val="00FA24E9"/>
    <w:rsid w:val="00FA28D4"/>
    <w:rsid w:val="00FA2A0D"/>
    <w:rsid w:val="00FA3271"/>
    <w:rsid w:val="00FA3680"/>
    <w:rsid w:val="00FA3711"/>
    <w:rsid w:val="00FA3883"/>
    <w:rsid w:val="00FA3AD3"/>
    <w:rsid w:val="00FA3C53"/>
    <w:rsid w:val="00FA4187"/>
    <w:rsid w:val="00FA45A8"/>
    <w:rsid w:val="00FA46DB"/>
    <w:rsid w:val="00FA4887"/>
    <w:rsid w:val="00FA4CEC"/>
    <w:rsid w:val="00FA53F8"/>
    <w:rsid w:val="00FA6B7B"/>
    <w:rsid w:val="00FA7534"/>
    <w:rsid w:val="00FA77B8"/>
    <w:rsid w:val="00FA7927"/>
    <w:rsid w:val="00FA7ADA"/>
    <w:rsid w:val="00FA7B9D"/>
    <w:rsid w:val="00FB0C9F"/>
    <w:rsid w:val="00FB0D82"/>
    <w:rsid w:val="00FB0F55"/>
    <w:rsid w:val="00FB11C9"/>
    <w:rsid w:val="00FB19AD"/>
    <w:rsid w:val="00FB1DF2"/>
    <w:rsid w:val="00FB26CA"/>
    <w:rsid w:val="00FB27E1"/>
    <w:rsid w:val="00FB3314"/>
    <w:rsid w:val="00FB38F3"/>
    <w:rsid w:val="00FB3AA6"/>
    <w:rsid w:val="00FB3DC9"/>
    <w:rsid w:val="00FB3E02"/>
    <w:rsid w:val="00FB4185"/>
    <w:rsid w:val="00FB4339"/>
    <w:rsid w:val="00FB46EE"/>
    <w:rsid w:val="00FB47DF"/>
    <w:rsid w:val="00FB4BF3"/>
    <w:rsid w:val="00FB4D59"/>
    <w:rsid w:val="00FB4DF9"/>
    <w:rsid w:val="00FB5774"/>
    <w:rsid w:val="00FB5D3D"/>
    <w:rsid w:val="00FB5D99"/>
    <w:rsid w:val="00FB66DD"/>
    <w:rsid w:val="00FB6893"/>
    <w:rsid w:val="00FB6A06"/>
    <w:rsid w:val="00FB7461"/>
    <w:rsid w:val="00FB74DB"/>
    <w:rsid w:val="00FB74F2"/>
    <w:rsid w:val="00FC0033"/>
    <w:rsid w:val="00FC04D2"/>
    <w:rsid w:val="00FC0783"/>
    <w:rsid w:val="00FC0EAE"/>
    <w:rsid w:val="00FC133E"/>
    <w:rsid w:val="00FC1B40"/>
    <w:rsid w:val="00FC32D1"/>
    <w:rsid w:val="00FC33AB"/>
    <w:rsid w:val="00FC3491"/>
    <w:rsid w:val="00FC35C2"/>
    <w:rsid w:val="00FC3A7E"/>
    <w:rsid w:val="00FC3B39"/>
    <w:rsid w:val="00FC3C71"/>
    <w:rsid w:val="00FC414C"/>
    <w:rsid w:val="00FC5B21"/>
    <w:rsid w:val="00FC5BD7"/>
    <w:rsid w:val="00FC5E4E"/>
    <w:rsid w:val="00FC5EBA"/>
    <w:rsid w:val="00FC6A0A"/>
    <w:rsid w:val="00FC6A0F"/>
    <w:rsid w:val="00FC6F8C"/>
    <w:rsid w:val="00FC753E"/>
    <w:rsid w:val="00FC7DE0"/>
    <w:rsid w:val="00FC7F2B"/>
    <w:rsid w:val="00FD0262"/>
    <w:rsid w:val="00FD037E"/>
    <w:rsid w:val="00FD0405"/>
    <w:rsid w:val="00FD1452"/>
    <w:rsid w:val="00FD1AE9"/>
    <w:rsid w:val="00FD1FE1"/>
    <w:rsid w:val="00FD221B"/>
    <w:rsid w:val="00FD26C1"/>
    <w:rsid w:val="00FD2C4E"/>
    <w:rsid w:val="00FD2D67"/>
    <w:rsid w:val="00FD3009"/>
    <w:rsid w:val="00FD3AFC"/>
    <w:rsid w:val="00FD47E1"/>
    <w:rsid w:val="00FD4C01"/>
    <w:rsid w:val="00FD4E93"/>
    <w:rsid w:val="00FD518A"/>
    <w:rsid w:val="00FD53AB"/>
    <w:rsid w:val="00FD6429"/>
    <w:rsid w:val="00FD6B3A"/>
    <w:rsid w:val="00FD7143"/>
    <w:rsid w:val="00FD73B2"/>
    <w:rsid w:val="00FD74F4"/>
    <w:rsid w:val="00FD76EE"/>
    <w:rsid w:val="00FD79E2"/>
    <w:rsid w:val="00FE0C50"/>
    <w:rsid w:val="00FE0D0B"/>
    <w:rsid w:val="00FE0E40"/>
    <w:rsid w:val="00FE1936"/>
    <w:rsid w:val="00FE1D9D"/>
    <w:rsid w:val="00FE26E0"/>
    <w:rsid w:val="00FE2736"/>
    <w:rsid w:val="00FE2F50"/>
    <w:rsid w:val="00FE34C4"/>
    <w:rsid w:val="00FE3DCD"/>
    <w:rsid w:val="00FE4121"/>
    <w:rsid w:val="00FE4A00"/>
    <w:rsid w:val="00FE4C13"/>
    <w:rsid w:val="00FE4D03"/>
    <w:rsid w:val="00FE52DA"/>
    <w:rsid w:val="00FE53E1"/>
    <w:rsid w:val="00FE640C"/>
    <w:rsid w:val="00FE6D54"/>
    <w:rsid w:val="00FE6ED8"/>
    <w:rsid w:val="00FE7313"/>
    <w:rsid w:val="00FE7CBD"/>
    <w:rsid w:val="00FF0C83"/>
    <w:rsid w:val="00FF1086"/>
    <w:rsid w:val="00FF1104"/>
    <w:rsid w:val="00FF18B7"/>
    <w:rsid w:val="00FF1F9F"/>
    <w:rsid w:val="00FF28D4"/>
    <w:rsid w:val="00FF2C9A"/>
    <w:rsid w:val="00FF312B"/>
    <w:rsid w:val="00FF3526"/>
    <w:rsid w:val="00FF35A9"/>
    <w:rsid w:val="00FF3D15"/>
    <w:rsid w:val="00FF4067"/>
    <w:rsid w:val="00FF547E"/>
    <w:rsid w:val="00FF59F8"/>
    <w:rsid w:val="00FF5FF5"/>
    <w:rsid w:val="00FF62D9"/>
    <w:rsid w:val="00FF64FE"/>
    <w:rsid w:val="00FF671C"/>
    <w:rsid w:val="00FF6CD4"/>
    <w:rsid w:val="00FF740C"/>
    <w:rsid w:val="00FF759D"/>
    <w:rsid w:val="00FF7C46"/>
    <w:rsid w:val="00FF7D4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15:docId w15:val="{90E8220E-F3B5-4D09-8051-A8007FFF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5D"/>
    <w:pPr>
      <w:spacing w:line="252" w:lineRule="auto"/>
      <w:jc w:val="both"/>
    </w:pPr>
    <w:rPr>
      <w:rFonts w:ascii="Cambria" w:hAnsi="Cambria"/>
      <w:sz w:val="20"/>
    </w:rPr>
  </w:style>
  <w:style w:type="paragraph" w:styleId="Heading1">
    <w:name w:val="heading 1"/>
    <w:basedOn w:val="Normal"/>
    <w:next w:val="Normal"/>
    <w:link w:val="Heading1Char"/>
    <w:uiPriority w:val="9"/>
    <w:qFormat/>
    <w:rsid w:val="00D812AD"/>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4"/>
      <w:szCs w:val="32"/>
    </w:rPr>
  </w:style>
  <w:style w:type="paragraph" w:styleId="Heading2">
    <w:name w:val="heading 2"/>
    <w:basedOn w:val="Normal"/>
    <w:next w:val="Normal"/>
    <w:link w:val="Heading2Char"/>
    <w:uiPriority w:val="9"/>
    <w:qFormat/>
    <w:rsid w:val="00356920"/>
    <w:pPr>
      <w:keepNext/>
      <w:keepLines/>
      <w:spacing w:before="240" w:after="160"/>
      <w:jc w:val="center"/>
      <w:outlineLvl w:val="1"/>
    </w:pPr>
    <w:rPr>
      <w:rFonts w:asciiTheme="majorHAnsi" w:eastAsiaTheme="majorEastAsia" w:hAnsiTheme="majorHAnsi" w:cstheme="majorBidi"/>
      <w:b/>
      <w:color w:val="851C00" w:themeColor="accent6" w:themeShade="BF"/>
      <w:sz w:val="30"/>
      <w:szCs w:val="26"/>
      <w:u w:val="single"/>
    </w:rPr>
  </w:style>
  <w:style w:type="paragraph" w:styleId="Heading3">
    <w:name w:val="heading 3"/>
    <w:basedOn w:val="Normal"/>
    <w:next w:val="Normal"/>
    <w:link w:val="Heading3Char"/>
    <w:uiPriority w:val="9"/>
    <w:qFormat/>
    <w:rsid w:val="002E72B5"/>
    <w:pPr>
      <w:keepNext/>
      <w:keepLines/>
      <w:spacing w:before="300" w:after="160"/>
      <w:outlineLvl w:val="2"/>
    </w:pPr>
    <w:rPr>
      <w:rFonts w:asciiTheme="majorHAnsi" w:eastAsiaTheme="majorEastAsia" w:hAnsiTheme="majorHAnsi" w:cstheme="majorBidi"/>
      <w:b/>
      <w:color w:val="851C00" w:themeColor="accent6" w:themeShade="BF"/>
      <w:sz w:val="26"/>
      <w:szCs w:val="24"/>
      <w:u w:val="single"/>
    </w:rPr>
  </w:style>
  <w:style w:type="paragraph" w:styleId="Heading4">
    <w:name w:val="heading 4"/>
    <w:basedOn w:val="Normal"/>
    <w:next w:val="Normal"/>
    <w:link w:val="Heading4Char"/>
    <w:uiPriority w:val="9"/>
    <w:qFormat/>
    <w:rsid w:val="00B50843"/>
    <w:pPr>
      <w:keepNext/>
      <w:keepLines/>
      <w:spacing w:before="160" w:after="80"/>
      <w:outlineLvl w:val="3"/>
    </w:pPr>
    <w:rPr>
      <w:rFonts w:asciiTheme="majorHAnsi" w:eastAsiaTheme="majorEastAsia" w:hAnsiTheme="majorHAnsi" w:cstheme="majorBidi"/>
      <w:iCs/>
      <w:color w:val="851C00" w:themeColor="accent6" w:themeShade="BF"/>
      <w:sz w:val="22"/>
      <w:u w:val="single"/>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D812AD"/>
    <w:rPr>
      <w:rFonts w:asciiTheme="majorHAnsi" w:eastAsiaTheme="majorEastAsia" w:hAnsiTheme="majorHAnsi" w:cstheme="majorBidi"/>
      <w:b/>
      <w:smallCaps/>
      <w:color w:val="851C00" w:themeColor="accent6" w:themeShade="BF"/>
      <w:sz w:val="34"/>
      <w:szCs w:val="32"/>
    </w:rPr>
  </w:style>
  <w:style w:type="character" w:customStyle="1" w:styleId="Heading2Char">
    <w:name w:val="Heading 2 Char"/>
    <w:basedOn w:val="DefaultParagraphFont"/>
    <w:link w:val="Heading2"/>
    <w:uiPriority w:val="9"/>
    <w:rsid w:val="00356920"/>
    <w:rPr>
      <w:rFonts w:asciiTheme="majorHAnsi" w:eastAsiaTheme="majorEastAsia" w:hAnsiTheme="majorHAnsi" w:cstheme="majorBidi"/>
      <w:b/>
      <w:color w:val="851C00" w:themeColor="accent6" w:themeShade="BF"/>
      <w:sz w:val="30"/>
      <w:szCs w:val="26"/>
      <w:u w:val="single"/>
    </w:rPr>
  </w:style>
  <w:style w:type="character" w:customStyle="1" w:styleId="Heading3Char">
    <w:name w:val="Heading 3 Char"/>
    <w:basedOn w:val="DefaultParagraphFont"/>
    <w:link w:val="Heading3"/>
    <w:uiPriority w:val="9"/>
    <w:rsid w:val="002E72B5"/>
    <w:rPr>
      <w:rFonts w:asciiTheme="majorHAnsi" w:eastAsiaTheme="majorEastAsia" w:hAnsiTheme="majorHAnsi" w:cstheme="majorBidi"/>
      <w:b/>
      <w:color w:val="851C00" w:themeColor="accent6" w:themeShade="BF"/>
      <w:sz w:val="26"/>
      <w:szCs w:val="24"/>
      <w:u w:val="single"/>
    </w:rPr>
  </w:style>
  <w:style w:type="character" w:customStyle="1" w:styleId="Heading4Char">
    <w:name w:val="Heading 4 Char"/>
    <w:basedOn w:val="DefaultParagraphFont"/>
    <w:link w:val="Heading4"/>
    <w:uiPriority w:val="9"/>
    <w:rsid w:val="00B50843"/>
    <w:rPr>
      <w:rFonts w:asciiTheme="majorHAnsi" w:eastAsiaTheme="majorEastAsia" w:hAnsiTheme="majorHAnsi" w:cstheme="majorBidi"/>
      <w:iCs/>
      <w:color w:val="851C00" w:themeColor="accent6" w:themeShade="BF"/>
      <w:u w:val="single"/>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C7708A"/>
    <w:rPr>
      <w:b/>
      <w:color w:val="0070C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0000D1"/>
    <w:rPr>
      <w:color w:val="666666"/>
    </w:rPr>
  </w:style>
  <w:style w:type="character" w:customStyle="1" w:styleId="small-caps">
    <w:name w:val="small-caps"/>
    <w:basedOn w:val="DefaultParagraphFont"/>
    <w:rsid w:val="000000D1"/>
  </w:style>
  <w:style w:type="paragraph" w:styleId="NormalWeb">
    <w:name w:val="Normal (Web)"/>
    <w:basedOn w:val="Normal"/>
    <w:uiPriority w:val="99"/>
    <w:semiHidden/>
    <w:unhideWhenUsed/>
    <w:rsid w:val="00000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7020208">
      <w:bodyDiv w:val="1"/>
      <w:marLeft w:val="0"/>
      <w:marRight w:val="0"/>
      <w:marTop w:val="0"/>
      <w:marBottom w:val="0"/>
      <w:divBdr>
        <w:top w:val="none" w:sz="0" w:space="0" w:color="auto"/>
        <w:left w:val="none" w:sz="0" w:space="0" w:color="auto"/>
        <w:bottom w:val="none" w:sz="0" w:space="0" w:color="auto"/>
        <w:right w:val="none" w:sz="0" w:space="0" w:color="auto"/>
      </w:divBdr>
      <w:divsChild>
        <w:div w:id="1934825190">
          <w:marLeft w:val="0"/>
          <w:marRight w:val="0"/>
          <w:marTop w:val="0"/>
          <w:marBottom w:val="0"/>
          <w:divBdr>
            <w:top w:val="none" w:sz="0" w:space="0" w:color="auto"/>
            <w:left w:val="none" w:sz="0" w:space="0" w:color="auto"/>
            <w:bottom w:val="none" w:sz="0" w:space="0" w:color="auto"/>
            <w:right w:val="none" w:sz="0" w:space="0" w:color="auto"/>
          </w:divBdr>
        </w:div>
      </w:divsChild>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93755066">
          <w:marLeft w:val="420"/>
          <w:marRight w:val="0"/>
          <w:marTop w:val="210"/>
          <w:marBottom w:val="210"/>
          <w:divBdr>
            <w:top w:val="none" w:sz="0" w:space="0" w:color="auto"/>
            <w:left w:val="none" w:sz="0" w:space="0" w:color="auto"/>
            <w:bottom w:val="none" w:sz="0" w:space="0" w:color="auto"/>
            <w:right w:val="none" w:sz="0" w:space="0" w:color="auto"/>
          </w:divBdr>
        </w:div>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71203903">
      <w:bodyDiv w:val="1"/>
      <w:marLeft w:val="0"/>
      <w:marRight w:val="0"/>
      <w:marTop w:val="0"/>
      <w:marBottom w:val="0"/>
      <w:divBdr>
        <w:top w:val="none" w:sz="0" w:space="0" w:color="auto"/>
        <w:left w:val="none" w:sz="0" w:space="0" w:color="auto"/>
        <w:bottom w:val="none" w:sz="0" w:space="0" w:color="auto"/>
        <w:right w:val="none" w:sz="0" w:space="0" w:color="auto"/>
      </w:divBdr>
      <w:divsChild>
        <w:div w:id="326834927">
          <w:marLeft w:val="240"/>
          <w:marRight w:val="0"/>
          <w:marTop w:val="60"/>
          <w:marBottom w:val="60"/>
          <w:divBdr>
            <w:top w:val="none" w:sz="0" w:space="0" w:color="auto"/>
            <w:left w:val="none" w:sz="0" w:space="0" w:color="auto"/>
            <w:bottom w:val="none" w:sz="0" w:space="0" w:color="auto"/>
            <w:right w:val="none" w:sz="0" w:space="0" w:color="auto"/>
          </w:divBdr>
          <w:divsChild>
            <w:div w:id="1923954605">
              <w:marLeft w:val="0"/>
              <w:marRight w:val="0"/>
              <w:marTop w:val="0"/>
              <w:marBottom w:val="0"/>
              <w:divBdr>
                <w:top w:val="none" w:sz="0" w:space="0" w:color="auto"/>
                <w:left w:val="none" w:sz="0" w:space="0" w:color="auto"/>
                <w:bottom w:val="none" w:sz="0" w:space="0" w:color="auto"/>
                <w:right w:val="none" w:sz="0" w:space="0" w:color="auto"/>
              </w:divBdr>
            </w:div>
          </w:divsChild>
        </w:div>
        <w:div w:id="1515611247">
          <w:marLeft w:val="240"/>
          <w:marRight w:val="0"/>
          <w:marTop w:val="60"/>
          <w:marBottom w:val="60"/>
          <w:divBdr>
            <w:top w:val="none" w:sz="0" w:space="0" w:color="auto"/>
            <w:left w:val="none" w:sz="0" w:space="0" w:color="auto"/>
            <w:bottom w:val="none" w:sz="0" w:space="0" w:color="auto"/>
            <w:right w:val="none" w:sz="0" w:space="0" w:color="auto"/>
          </w:divBdr>
          <w:divsChild>
            <w:div w:id="1487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634">
      <w:bodyDiv w:val="1"/>
      <w:marLeft w:val="0"/>
      <w:marRight w:val="0"/>
      <w:marTop w:val="0"/>
      <w:marBottom w:val="0"/>
      <w:divBdr>
        <w:top w:val="none" w:sz="0" w:space="0" w:color="auto"/>
        <w:left w:val="none" w:sz="0" w:space="0" w:color="auto"/>
        <w:bottom w:val="none" w:sz="0" w:space="0" w:color="auto"/>
        <w:right w:val="none" w:sz="0" w:space="0" w:color="auto"/>
      </w:divBdr>
      <w:divsChild>
        <w:div w:id="162207146">
          <w:marLeft w:val="0"/>
          <w:marRight w:val="0"/>
          <w:marTop w:val="210"/>
          <w:marBottom w:val="210"/>
          <w:divBdr>
            <w:top w:val="none" w:sz="0" w:space="0" w:color="auto"/>
            <w:left w:val="none" w:sz="0" w:space="0" w:color="auto"/>
            <w:bottom w:val="none" w:sz="0" w:space="0" w:color="auto"/>
            <w:right w:val="none" w:sz="0" w:space="0" w:color="auto"/>
          </w:divBdr>
        </w:div>
        <w:div w:id="854227503">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80586080">
      <w:bodyDiv w:val="1"/>
      <w:marLeft w:val="0"/>
      <w:marRight w:val="0"/>
      <w:marTop w:val="0"/>
      <w:marBottom w:val="0"/>
      <w:divBdr>
        <w:top w:val="none" w:sz="0" w:space="0" w:color="auto"/>
        <w:left w:val="none" w:sz="0" w:space="0" w:color="auto"/>
        <w:bottom w:val="none" w:sz="0" w:space="0" w:color="auto"/>
        <w:right w:val="none" w:sz="0" w:space="0" w:color="auto"/>
      </w:divBdr>
    </w:div>
    <w:div w:id="507404139">
      <w:bodyDiv w:val="1"/>
      <w:marLeft w:val="0"/>
      <w:marRight w:val="0"/>
      <w:marTop w:val="0"/>
      <w:marBottom w:val="0"/>
      <w:divBdr>
        <w:top w:val="none" w:sz="0" w:space="0" w:color="auto"/>
        <w:left w:val="none" w:sz="0" w:space="0" w:color="auto"/>
        <w:bottom w:val="none" w:sz="0" w:space="0" w:color="auto"/>
        <w:right w:val="none" w:sz="0" w:space="0" w:color="auto"/>
      </w:divBdr>
    </w:div>
    <w:div w:id="515196491">
      <w:bodyDiv w:val="1"/>
      <w:marLeft w:val="0"/>
      <w:marRight w:val="0"/>
      <w:marTop w:val="0"/>
      <w:marBottom w:val="0"/>
      <w:divBdr>
        <w:top w:val="none" w:sz="0" w:space="0" w:color="auto"/>
        <w:left w:val="none" w:sz="0" w:space="0" w:color="auto"/>
        <w:bottom w:val="none" w:sz="0" w:space="0" w:color="auto"/>
        <w:right w:val="none" w:sz="0" w:space="0" w:color="auto"/>
      </w:divBdr>
      <w:divsChild>
        <w:div w:id="1176073145">
          <w:marLeft w:val="240"/>
          <w:marRight w:val="0"/>
          <w:marTop w:val="60"/>
          <w:marBottom w:val="60"/>
          <w:divBdr>
            <w:top w:val="none" w:sz="0" w:space="0" w:color="auto"/>
            <w:left w:val="none" w:sz="0" w:space="0" w:color="auto"/>
            <w:bottom w:val="none" w:sz="0" w:space="0" w:color="auto"/>
            <w:right w:val="none" w:sz="0" w:space="0" w:color="auto"/>
          </w:divBdr>
          <w:divsChild>
            <w:div w:id="1968119638">
              <w:marLeft w:val="0"/>
              <w:marRight w:val="0"/>
              <w:marTop w:val="0"/>
              <w:marBottom w:val="0"/>
              <w:divBdr>
                <w:top w:val="none" w:sz="0" w:space="0" w:color="auto"/>
                <w:left w:val="none" w:sz="0" w:space="0" w:color="auto"/>
                <w:bottom w:val="none" w:sz="0" w:space="0" w:color="auto"/>
                <w:right w:val="none" w:sz="0" w:space="0" w:color="auto"/>
              </w:divBdr>
            </w:div>
          </w:divsChild>
        </w:div>
        <w:div w:id="2137942701">
          <w:marLeft w:val="240"/>
          <w:marRight w:val="0"/>
          <w:marTop w:val="60"/>
          <w:marBottom w:val="60"/>
          <w:divBdr>
            <w:top w:val="none" w:sz="0" w:space="0" w:color="auto"/>
            <w:left w:val="none" w:sz="0" w:space="0" w:color="auto"/>
            <w:bottom w:val="none" w:sz="0" w:space="0" w:color="auto"/>
            <w:right w:val="none" w:sz="0" w:space="0" w:color="auto"/>
          </w:divBdr>
          <w:divsChild>
            <w:div w:id="732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27791023">
      <w:bodyDiv w:val="1"/>
      <w:marLeft w:val="0"/>
      <w:marRight w:val="0"/>
      <w:marTop w:val="0"/>
      <w:marBottom w:val="0"/>
      <w:divBdr>
        <w:top w:val="none" w:sz="0" w:space="0" w:color="auto"/>
        <w:left w:val="none" w:sz="0" w:space="0" w:color="auto"/>
        <w:bottom w:val="none" w:sz="0" w:space="0" w:color="auto"/>
        <w:right w:val="none" w:sz="0" w:space="0" w:color="auto"/>
      </w:divBdr>
    </w:div>
    <w:div w:id="542836963">
      <w:bodyDiv w:val="1"/>
      <w:marLeft w:val="0"/>
      <w:marRight w:val="0"/>
      <w:marTop w:val="0"/>
      <w:marBottom w:val="0"/>
      <w:divBdr>
        <w:top w:val="none" w:sz="0" w:space="0" w:color="auto"/>
        <w:left w:val="none" w:sz="0" w:space="0" w:color="auto"/>
        <w:bottom w:val="none" w:sz="0" w:space="0" w:color="auto"/>
        <w:right w:val="none" w:sz="0" w:space="0" w:color="auto"/>
      </w:divBdr>
      <w:divsChild>
        <w:div w:id="717050433">
          <w:marLeft w:val="0"/>
          <w:marRight w:val="0"/>
          <w:marTop w:val="0"/>
          <w:marBottom w:val="0"/>
          <w:divBdr>
            <w:top w:val="none" w:sz="0" w:space="0" w:color="auto"/>
            <w:left w:val="none" w:sz="0" w:space="0" w:color="auto"/>
            <w:bottom w:val="none" w:sz="0" w:space="0" w:color="auto"/>
            <w:right w:val="none" w:sz="0" w:space="0" w:color="auto"/>
          </w:divBdr>
        </w:div>
      </w:divsChild>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607006554">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920258421">
      <w:bodyDiv w:val="1"/>
      <w:marLeft w:val="0"/>
      <w:marRight w:val="0"/>
      <w:marTop w:val="0"/>
      <w:marBottom w:val="0"/>
      <w:divBdr>
        <w:top w:val="none" w:sz="0" w:space="0" w:color="auto"/>
        <w:left w:val="none" w:sz="0" w:space="0" w:color="auto"/>
        <w:bottom w:val="none" w:sz="0" w:space="0" w:color="auto"/>
        <w:right w:val="none" w:sz="0" w:space="0" w:color="auto"/>
      </w:divBdr>
      <w:divsChild>
        <w:div w:id="2044015644">
          <w:marLeft w:val="720"/>
          <w:marRight w:val="576"/>
          <w:marTop w:val="120"/>
          <w:marBottom w:val="240"/>
          <w:divBdr>
            <w:top w:val="none" w:sz="0" w:space="0" w:color="auto"/>
            <w:left w:val="none" w:sz="0" w:space="0" w:color="auto"/>
            <w:bottom w:val="none" w:sz="0" w:space="0" w:color="auto"/>
            <w:right w:val="none" w:sz="0" w:space="0" w:color="auto"/>
          </w:divBdr>
        </w:div>
      </w:divsChild>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44813908">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1749156916">
                      <w:marLeft w:val="360"/>
                      <w:marRight w:val="0"/>
                      <w:marTop w:val="45"/>
                      <w:marBottom w:val="45"/>
                      <w:divBdr>
                        <w:top w:val="none" w:sz="0" w:space="0" w:color="auto"/>
                        <w:left w:val="none" w:sz="0" w:space="0" w:color="auto"/>
                        <w:bottom w:val="none" w:sz="0" w:space="0" w:color="auto"/>
                        <w:right w:val="none" w:sz="0" w:space="0" w:color="auto"/>
                      </w:divBdr>
                    </w:div>
                    <w:div w:id="2133938167">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932128960">
                      <w:marLeft w:val="360"/>
                      <w:marRight w:val="0"/>
                      <w:marTop w:val="45"/>
                      <w:marBottom w:val="45"/>
                      <w:divBdr>
                        <w:top w:val="none" w:sz="0" w:space="0" w:color="auto"/>
                        <w:left w:val="none" w:sz="0" w:space="0" w:color="auto"/>
                        <w:bottom w:val="none" w:sz="0" w:space="0" w:color="auto"/>
                        <w:right w:val="none" w:sz="0" w:space="0" w:color="auto"/>
                      </w:divBdr>
                    </w:div>
                    <w:div w:id="208545087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98435053">
      <w:bodyDiv w:val="1"/>
      <w:marLeft w:val="0"/>
      <w:marRight w:val="0"/>
      <w:marTop w:val="0"/>
      <w:marBottom w:val="0"/>
      <w:divBdr>
        <w:top w:val="none" w:sz="0" w:space="0" w:color="auto"/>
        <w:left w:val="none" w:sz="0" w:space="0" w:color="auto"/>
        <w:bottom w:val="none" w:sz="0" w:space="0" w:color="auto"/>
        <w:right w:val="none" w:sz="0" w:space="0" w:color="auto"/>
      </w:divBdr>
      <w:divsChild>
        <w:div w:id="666985382">
          <w:marLeft w:val="0"/>
          <w:marRight w:val="0"/>
          <w:marTop w:val="210"/>
          <w:marBottom w:val="210"/>
          <w:divBdr>
            <w:top w:val="none" w:sz="0" w:space="0" w:color="auto"/>
            <w:left w:val="none" w:sz="0" w:space="0" w:color="auto"/>
            <w:bottom w:val="none" w:sz="0" w:space="0" w:color="auto"/>
            <w:right w:val="none" w:sz="0" w:space="0" w:color="auto"/>
          </w:divBdr>
        </w:div>
        <w:div w:id="2043699642">
          <w:marLeft w:val="420"/>
          <w:marRight w:val="0"/>
          <w:marTop w:val="210"/>
          <w:marBottom w:val="210"/>
          <w:divBdr>
            <w:top w:val="none" w:sz="0" w:space="0" w:color="auto"/>
            <w:left w:val="none" w:sz="0" w:space="0" w:color="auto"/>
            <w:bottom w:val="none" w:sz="0" w:space="0" w:color="auto"/>
            <w:right w:val="none" w:sz="0" w:space="0" w:color="auto"/>
          </w:divBdr>
        </w:div>
      </w:divsChild>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0733821">
      <w:bodyDiv w:val="1"/>
      <w:marLeft w:val="0"/>
      <w:marRight w:val="0"/>
      <w:marTop w:val="0"/>
      <w:marBottom w:val="0"/>
      <w:divBdr>
        <w:top w:val="none" w:sz="0" w:space="0" w:color="auto"/>
        <w:left w:val="none" w:sz="0" w:space="0" w:color="auto"/>
        <w:bottom w:val="none" w:sz="0" w:space="0" w:color="auto"/>
        <w:right w:val="none" w:sz="0" w:space="0" w:color="auto"/>
      </w:divBdr>
      <w:divsChild>
        <w:div w:id="932738823">
          <w:marLeft w:val="1008"/>
          <w:marRight w:val="0"/>
          <w:marTop w:val="0"/>
          <w:marBottom w:val="100"/>
          <w:divBdr>
            <w:top w:val="none" w:sz="0" w:space="0" w:color="auto"/>
            <w:left w:val="none" w:sz="0" w:space="0" w:color="auto"/>
            <w:bottom w:val="none" w:sz="0" w:space="0" w:color="auto"/>
            <w:right w:val="none" w:sz="0" w:space="0" w:color="auto"/>
          </w:divBdr>
        </w:div>
        <w:div w:id="1393044264">
          <w:marLeft w:val="2448"/>
          <w:marRight w:val="0"/>
          <w:marTop w:val="0"/>
          <w:marBottom w:val="40"/>
          <w:divBdr>
            <w:top w:val="none" w:sz="0" w:space="0" w:color="auto"/>
            <w:left w:val="none" w:sz="0" w:space="0" w:color="auto"/>
            <w:bottom w:val="none" w:sz="0" w:space="0" w:color="auto"/>
            <w:right w:val="none" w:sz="0" w:space="0" w:color="auto"/>
          </w:divBdr>
        </w:div>
        <w:div w:id="1109008189">
          <w:marLeft w:val="2448"/>
          <w:marRight w:val="0"/>
          <w:marTop w:val="0"/>
          <w:marBottom w:val="360"/>
          <w:divBdr>
            <w:top w:val="none" w:sz="0" w:space="0" w:color="auto"/>
            <w:left w:val="none" w:sz="0" w:space="0" w:color="auto"/>
            <w:bottom w:val="none" w:sz="0" w:space="0" w:color="auto"/>
            <w:right w:val="none" w:sz="0" w:space="0" w:color="auto"/>
          </w:divBdr>
        </w:div>
        <w:div w:id="947858481">
          <w:marLeft w:val="1008"/>
          <w:marRight w:val="0"/>
          <w:marTop w:val="0"/>
          <w:marBottom w:val="100"/>
          <w:divBdr>
            <w:top w:val="none" w:sz="0" w:space="0" w:color="auto"/>
            <w:left w:val="none" w:sz="0" w:space="0" w:color="auto"/>
            <w:bottom w:val="none" w:sz="0" w:space="0" w:color="auto"/>
            <w:right w:val="none" w:sz="0" w:space="0" w:color="auto"/>
          </w:divBdr>
        </w:div>
        <w:div w:id="1255867095">
          <w:marLeft w:val="2448"/>
          <w:marRight w:val="0"/>
          <w:marTop w:val="0"/>
          <w:marBottom w:val="40"/>
          <w:divBdr>
            <w:top w:val="none" w:sz="0" w:space="0" w:color="auto"/>
            <w:left w:val="none" w:sz="0" w:space="0" w:color="auto"/>
            <w:bottom w:val="none" w:sz="0" w:space="0" w:color="auto"/>
            <w:right w:val="none" w:sz="0" w:space="0" w:color="auto"/>
          </w:divBdr>
        </w:div>
        <w:div w:id="891813975">
          <w:marLeft w:val="2448"/>
          <w:marRight w:val="0"/>
          <w:marTop w:val="0"/>
          <w:marBottom w:val="100"/>
          <w:divBdr>
            <w:top w:val="none" w:sz="0" w:space="0" w:color="auto"/>
            <w:left w:val="none" w:sz="0" w:space="0" w:color="auto"/>
            <w:bottom w:val="none" w:sz="0" w:space="0" w:color="auto"/>
            <w:right w:val="none" w:sz="0" w:space="0" w:color="auto"/>
          </w:divBdr>
        </w:div>
        <w:div w:id="9600817">
          <w:marLeft w:val="2981"/>
          <w:marRight w:val="0"/>
          <w:marTop w:val="0"/>
          <w:marBottom w:val="100"/>
          <w:divBdr>
            <w:top w:val="none" w:sz="0" w:space="0" w:color="auto"/>
            <w:left w:val="none" w:sz="0" w:space="0" w:color="auto"/>
            <w:bottom w:val="none" w:sz="0" w:space="0" w:color="auto"/>
            <w:right w:val="none" w:sz="0" w:space="0" w:color="auto"/>
          </w:divBdr>
        </w:div>
        <w:div w:id="437532843">
          <w:marLeft w:val="2981"/>
          <w:marRight w:val="0"/>
          <w:marTop w:val="0"/>
          <w:marBottom w:val="100"/>
          <w:divBdr>
            <w:top w:val="none" w:sz="0" w:space="0" w:color="auto"/>
            <w:left w:val="none" w:sz="0" w:space="0" w:color="auto"/>
            <w:bottom w:val="none" w:sz="0" w:space="0" w:color="auto"/>
            <w:right w:val="none" w:sz="0" w:space="0" w:color="auto"/>
          </w:divBdr>
        </w:div>
        <w:div w:id="1560703090">
          <w:marLeft w:val="2981"/>
          <w:marRight w:val="0"/>
          <w:marTop w:val="0"/>
          <w:marBottom w:val="100"/>
          <w:divBdr>
            <w:top w:val="none" w:sz="0" w:space="0" w:color="auto"/>
            <w:left w:val="none" w:sz="0" w:space="0" w:color="auto"/>
            <w:bottom w:val="none" w:sz="0" w:space="0" w:color="auto"/>
            <w:right w:val="none" w:sz="0" w:space="0" w:color="auto"/>
          </w:divBdr>
        </w:div>
        <w:div w:id="1774590209">
          <w:marLeft w:val="2448"/>
          <w:marRight w:val="0"/>
          <w:marTop w:val="0"/>
          <w:marBottom w:val="10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1100566">
                      <w:marLeft w:val="360"/>
                      <w:marRight w:val="0"/>
                      <w:marTop w:val="45"/>
                      <w:marBottom w:val="45"/>
                      <w:divBdr>
                        <w:top w:val="none" w:sz="0" w:space="0" w:color="auto"/>
                        <w:left w:val="none" w:sz="0" w:space="0" w:color="auto"/>
                        <w:bottom w:val="none" w:sz="0" w:space="0" w:color="auto"/>
                        <w:right w:val="none" w:sz="0" w:space="0" w:color="auto"/>
                      </w:divBdr>
                    </w:div>
                    <w:div w:id="465044931">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118523804">
                      <w:marLeft w:val="360"/>
                      <w:marRight w:val="0"/>
                      <w:marTop w:val="45"/>
                      <w:marBottom w:val="45"/>
                      <w:divBdr>
                        <w:top w:val="none" w:sz="0" w:space="0" w:color="auto"/>
                        <w:left w:val="none" w:sz="0" w:space="0" w:color="auto"/>
                        <w:bottom w:val="none" w:sz="0" w:space="0" w:color="auto"/>
                        <w:right w:val="none" w:sz="0" w:space="0" w:color="auto"/>
                      </w:divBdr>
                    </w:div>
                    <w:div w:id="1256862859">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3783">
      <w:bodyDiv w:val="1"/>
      <w:marLeft w:val="0"/>
      <w:marRight w:val="0"/>
      <w:marTop w:val="0"/>
      <w:marBottom w:val="0"/>
      <w:divBdr>
        <w:top w:val="none" w:sz="0" w:space="0" w:color="auto"/>
        <w:left w:val="none" w:sz="0" w:space="0" w:color="auto"/>
        <w:bottom w:val="none" w:sz="0" w:space="0" w:color="auto"/>
        <w:right w:val="none" w:sz="0" w:space="0" w:color="auto"/>
      </w:divBdr>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7464917">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4900">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044331159">
      <w:bodyDiv w:val="1"/>
      <w:marLeft w:val="0"/>
      <w:marRight w:val="0"/>
      <w:marTop w:val="0"/>
      <w:marBottom w:val="0"/>
      <w:divBdr>
        <w:top w:val="none" w:sz="0" w:space="0" w:color="auto"/>
        <w:left w:val="none" w:sz="0" w:space="0" w:color="auto"/>
        <w:bottom w:val="none" w:sz="0" w:space="0" w:color="auto"/>
        <w:right w:val="none" w:sz="0" w:space="0" w:color="auto"/>
      </w:divBdr>
      <w:divsChild>
        <w:div w:id="1589851642">
          <w:marLeft w:val="475"/>
          <w:marRight w:val="0"/>
          <w:marTop w:val="240"/>
          <w:marBottom w:val="120"/>
          <w:divBdr>
            <w:top w:val="none" w:sz="0" w:space="0" w:color="auto"/>
            <w:left w:val="none" w:sz="0" w:space="0" w:color="auto"/>
            <w:bottom w:val="none" w:sz="0" w:space="0" w:color="auto"/>
            <w:right w:val="none" w:sz="0" w:space="0" w:color="auto"/>
          </w:divBdr>
        </w:div>
        <w:div w:id="159194745">
          <w:marLeft w:val="994"/>
          <w:marRight w:val="0"/>
          <w:marTop w:val="240"/>
          <w:marBottom w:val="120"/>
          <w:divBdr>
            <w:top w:val="none" w:sz="0" w:space="0" w:color="auto"/>
            <w:left w:val="none" w:sz="0" w:space="0" w:color="auto"/>
            <w:bottom w:val="none" w:sz="0" w:space="0" w:color="auto"/>
            <w:right w:val="none" w:sz="0" w:space="0" w:color="auto"/>
          </w:divBdr>
        </w:div>
        <w:div w:id="485167363">
          <w:marLeft w:val="994"/>
          <w:marRight w:val="0"/>
          <w:marTop w:val="240"/>
          <w:marBottom w:val="120"/>
          <w:divBdr>
            <w:top w:val="none" w:sz="0" w:space="0" w:color="auto"/>
            <w:left w:val="none" w:sz="0" w:space="0" w:color="auto"/>
            <w:bottom w:val="none" w:sz="0" w:space="0" w:color="auto"/>
            <w:right w:val="none" w:sz="0" w:space="0" w:color="auto"/>
          </w:divBdr>
        </w:div>
        <w:div w:id="1207372557">
          <w:marLeft w:val="994"/>
          <w:marRight w:val="0"/>
          <w:marTop w:val="240"/>
          <w:marBottom w:val="240"/>
          <w:divBdr>
            <w:top w:val="none" w:sz="0" w:space="0" w:color="auto"/>
            <w:left w:val="none" w:sz="0" w:space="0" w:color="auto"/>
            <w:bottom w:val="none" w:sz="0" w:space="0" w:color="auto"/>
            <w:right w:val="none" w:sz="0" w:space="0" w:color="auto"/>
          </w:divBdr>
        </w:div>
      </w:divsChild>
    </w:div>
    <w:div w:id="2061006565">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microsoft.com/office/2007/relationships/diagramDrawing" Target="diagrams/drawing1.xml"/><Relationship Id="rId34" Type="http://schemas.openxmlformats.org/officeDocument/2006/relationships/hyperlink" Target="https://www.bloomberglaw.com/product/tax/document/1?citation=N.D.%20Cent.%20Code%20%C2%A7%2057-38.1&amp;amp;summary=yes" TargetMode="External"/><Relationship Id="rId42" Type="http://schemas.openxmlformats.org/officeDocument/2006/relationships/hyperlink" Target="https://www.bloomberglaw.com/product/tax/document/1?citation=72%20p%20s%20sc%209705&amp;summary=yes" TargetMode="External"/><Relationship Id="rId47" Type="http://schemas.openxmlformats.org/officeDocument/2006/relationships/hyperlink" Target="https://www.revenue.wi.gov/WisconsinTaxBulletin/209-04-20-WTB.pdf" TargetMode="External"/><Relationship Id="rId50" Type="http://schemas.openxmlformats.org/officeDocument/2006/relationships/hyperlink" Target="https://www.revenue.wi.gov/Pages/FAQS/ise-pass.aspx" TargetMode="External"/><Relationship Id="rId55" Type="http://schemas.openxmlformats.org/officeDocument/2006/relationships/hyperlink" Target="https://docs.legis.wisconsin.gov/statutes/statutes/71/iv/255/1/n" TargetMode="External"/><Relationship Id="rId63" Type="http://schemas.openxmlformats.org/officeDocument/2006/relationships/hyperlink" Target="https://docs.legis.wisconsin.gov/code/admin_code/tax/2/6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0.png"/><Relationship Id="rId11" Type="http://schemas.openxmlformats.org/officeDocument/2006/relationships/hyperlink" Target="https://www.mtc.gov/uniformity/project-on-state-taxation-of-partnerships/" TargetMode="External"/><Relationship Id="rId24" Type="http://schemas.openxmlformats.org/officeDocument/2006/relationships/image" Target="media/image7.png"/><Relationship Id="rId32" Type="http://schemas.openxmlformats.org/officeDocument/2006/relationships/hyperlink" Target="https://revisor.mo.gov/main/OneChapterRng.aspx?tb1=143.005%20to%20143.998" TargetMode="External"/><Relationship Id="rId37" Type="http://schemas.openxmlformats.org/officeDocument/2006/relationships/hyperlink" Target="https://www.bloomberglaw.com/product/tax/document/X35DFBH8?jcsearch=ORS%20317.705&amp;summary=yes" TargetMode="External"/><Relationship Id="rId40" Type="http://schemas.openxmlformats.org/officeDocument/2006/relationships/hyperlink" Target="https://www.bloomberglaw.com/product/tax/document/1?citation=72%20p%20s%20sc%207602.6&amp;summary=yes" TargetMode="External"/><Relationship Id="rId45" Type="http://schemas.openxmlformats.org/officeDocument/2006/relationships/hyperlink" Target="https://www.revenue.wi.gov/WisconsinTaxBulletin/197-04-17-combined.pdf" TargetMode="External"/><Relationship Id="rId53" Type="http://schemas.openxmlformats.org/officeDocument/2006/relationships/hyperlink" Target="https://docs.legis.wisconsin.gov/statutes/statutes/71/iii/21/6/d/1" TargetMode="External"/><Relationship Id="rId58" Type="http://schemas.openxmlformats.org/officeDocument/2006/relationships/hyperlink" Target="https://docs.legis.wisconsin.gov/statutes/statutes/71/xii/775"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legis.wisconsin.gov/code/admin_code/tax/2/61/7/e" TargetMode="External"/><Relationship Id="rId19" Type="http://schemas.openxmlformats.org/officeDocument/2006/relationships/diagramQuickStyle" Target="diagrams/quickStyle1.xml"/><Relationship Id="rId14" Type="http://schemas.openxmlformats.org/officeDocument/2006/relationships/image" Target="media/image4.png"/><Relationship Id="rId22" Type="http://schemas.openxmlformats.org/officeDocument/2006/relationships/hyperlink" Target="https://www.uniformlaws.org/viewdocument/final-act-98?CommunityKey=52456941-7883-47a5-91b6-d2f086d0bb44&amp;tab=librarydocuments" TargetMode="External"/><Relationship Id="rId27" Type="http://schemas.openxmlformats.org/officeDocument/2006/relationships/hyperlink" Target="https://www.mtc.gov/wp-content/uploads/2023/02/Model-Compact-Article-IV-UDITPA-2015V2.pdf" TargetMode="External"/><Relationship Id="rId30" Type="http://schemas.openxmlformats.org/officeDocument/2006/relationships/image" Target="media/image11.png"/><Relationship Id="rId35" Type="http://schemas.openxmlformats.org/officeDocument/2006/relationships/hyperlink" Target="https://www.bloomberglaw.com/product/tax/document/1?citation=N.D.%20Cent.%20Code%20%C2%A7%2057-38.1-09&amp;amp;summary=yes" TargetMode="External"/><Relationship Id="rId43" Type="http://schemas.openxmlformats.org/officeDocument/2006/relationships/hyperlink" Target="https://www.revenue.pa.gov/FormsandPublications/PAPersonalIncomeTaxGuide/Pages/Pass-Through-Entities.aspx" TargetMode="External"/><Relationship Id="rId48" Type="http://schemas.openxmlformats.org/officeDocument/2006/relationships/hyperlink" Target="https://www.revenue.wi.gov/TaxForms2023/2023-Schedule-A-01-Inst.pdf" TargetMode="External"/><Relationship Id="rId56" Type="http://schemas.openxmlformats.org/officeDocument/2006/relationships/hyperlink" Target="https://docs.legis.wisconsin.gov/statutes/statutes/71/iv/255/5/a/6"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cs.legis.wisconsin.gov/statutes/statutes/71/i/04/1"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hyperlink" Target="https://www.mtc.gov/uniformity/project-on-state-taxation-of-partnerships/" TargetMode="External"/><Relationship Id="rId33" Type="http://schemas.openxmlformats.org/officeDocument/2006/relationships/hyperlink" Target="https://www.tax.ny.gov/pdf/rulemaking/dec1123/corpreform/text.pdf" TargetMode="External"/><Relationship Id="rId38" Type="http://schemas.openxmlformats.org/officeDocument/2006/relationships/hyperlink" Target="https://www.bloomberglaw.com/product/tax/document/1?citation=72%20p%20s%20sc%207401(3)&amp;summary=yes" TargetMode="External"/><Relationship Id="rId46" Type="http://schemas.openxmlformats.org/officeDocument/2006/relationships/hyperlink" Target="https://www.revenue.wi.gov/WisconsinTaxBulletin/208-01-20-WTB.pdf" TargetMode="External"/><Relationship Id="rId59" Type="http://schemas.openxmlformats.org/officeDocument/2006/relationships/hyperlink" Target="https://docs.legis.wisconsin.gov/code/admin_code/tax/2/39" TargetMode="External"/><Relationship Id="rId20" Type="http://schemas.openxmlformats.org/officeDocument/2006/relationships/diagramColors" Target="diagrams/colors1.xml"/><Relationship Id="rId41" Type="http://schemas.openxmlformats.org/officeDocument/2006/relationships/hyperlink" Target="https://www.bloomberglaw.com/product/tax/document/1?citation=61%20pa%20code%20sc%20153.29&amp;summary=yes" TargetMode="External"/><Relationship Id="rId54" Type="http://schemas.openxmlformats.org/officeDocument/2006/relationships/hyperlink" Target="https://docs.legis.wisconsin.gov/statutes/statutes/71/iv/255/5/a/6" TargetMode="External"/><Relationship Id="rId62" Type="http://schemas.openxmlformats.org/officeDocument/2006/relationships/hyperlink" Target="https://docs.legis.wisconsin.gov/code/admin_code/tax/2/6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hyperlink" Target="https://www.uniformlaws.org/viewdocument/final-act-83?CommunityKey=bbea059c-6853-4f45-b69b-7ca2e49cf740&amp;tab=librarydocuments" TargetMode="External"/><Relationship Id="rId28" Type="http://schemas.openxmlformats.org/officeDocument/2006/relationships/image" Target="media/image9.png"/><Relationship Id="rId36" Type="http://schemas.openxmlformats.org/officeDocument/2006/relationships/hyperlink" Target="https://www.bloomberglaw.com/product/tax/document/1?citation=N.D.%20Cent.%20Code%20%C2%A7%2057-38.1&amp;amp;summary=yes" TargetMode="External"/><Relationship Id="rId49" Type="http://schemas.openxmlformats.org/officeDocument/2006/relationships/hyperlink" Target="https://www.revenue.wi.gov/Pages/FAQS/ise-passthrough-tax.aspx" TargetMode="External"/><Relationship Id="rId57" Type="http://schemas.openxmlformats.org/officeDocument/2006/relationships/hyperlink" Target="https://docs.legis.wisconsin.gov/statutes/statutes/71/v/362" TargetMode="External"/><Relationship Id="rId10" Type="http://schemas.openxmlformats.org/officeDocument/2006/relationships/hyperlink" Target="mailto:hhecht@mtc.gov" TargetMode="External"/><Relationship Id="rId31" Type="http://schemas.openxmlformats.org/officeDocument/2006/relationships/image" Target="media/image12.png"/><Relationship Id="rId44" Type="http://schemas.openxmlformats.org/officeDocument/2006/relationships/hyperlink" Target="https://www.revenue.wi.gov/TaxForms2023/2023-Schedule3K-1-Inst.pdf" TargetMode="External"/><Relationship Id="rId52" Type="http://schemas.openxmlformats.org/officeDocument/2006/relationships/hyperlink" Target="https://docs.legis.wisconsin.gov/statutes/statutes/71/ii/14" TargetMode="External"/><Relationship Id="rId60" Type="http://schemas.openxmlformats.org/officeDocument/2006/relationships/hyperlink" Target="https://docs.legis.wisconsin.gov/code/admin_code/tax/2/41" TargetMode="External"/><Relationship Id="rId65"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3.png"/><Relationship Id="rId18" Type="http://schemas.openxmlformats.org/officeDocument/2006/relationships/diagramLayout" Target="diagrams/layout1.xml"/><Relationship Id="rId39" Type="http://schemas.openxmlformats.org/officeDocument/2006/relationships/hyperlink" Target="https://www.bloomberglaw.com/product/tax/document/1?citation=61%20pa%20code%20sc%20109.5&amp;summary=yes"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www.mtc.gov/uniformity/project-on-state-taxation-of-partnerships/" TargetMode="External"/><Relationship Id="rId3" Type="http://schemas.openxmlformats.org/officeDocument/2006/relationships/hyperlink" Target="https://www.gao.gov/products/gao-14-379r" TargetMode="External"/><Relationship Id="rId7" Type="http://schemas.openxmlformats.org/officeDocument/2006/relationships/hyperlink" Target="https://www.gao.gov/products/gao-14-732" TargetMode="External"/><Relationship Id="rId2" Type="http://schemas.openxmlformats.org/officeDocument/2006/relationships/hyperlink" Target="https://www.gao.gov/products/gao-23-106020" TargetMode="External"/><Relationship Id="rId1" Type="http://schemas.openxmlformats.org/officeDocument/2006/relationships/hyperlink" Target="https://www.law.berkeley.edu/wp-content/uploads/2022/03/2022-Michael-Love.pdf" TargetMode="External"/><Relationship Id="rId6" Type="http://schemas.openxmlformats.org/officeDocument/2006/relationships/hyperlink" Target="https://papers.ssrn.com/sol3/papers.cfm?abstract_id=1479609" TargetMode="External"/><Relationship Id="rId11" Type="http://schemas.openxmlformats.org/officeDocument/2006/relationships/hyperlink" Target="https://www.mtc.gov/wp-content/uploads/2023/12/White-Paper-on-Guaranteed-Payments-Final-Version-October-12-2023-Updated-12-11-23.pdf" TargetMode="External"/><Relationship Id="rId5" Type="http://schemas.openxmlformats.org/officeDocument/2006/relationships/hyperlink" Target="https://repository.law.umich.edu/cgi/viewcontent.cgi?article=1045&amp;context=mbelr" TargetMode="External"/><Relationship Id="rId10" Type="http://schemas.openxmlformats.org/officeDocument/2006/relationships/hyperlink" Target="https://www.mtc.gov/wp-content/uploads/2023/06/Model-Statute-for-Combined-Filing-Finnigan-Adopted.pdf" TargetMode="External"/><Relationship Id="rId4" Type="http://schemas.openxmlformats.org/officeDocument/2006/relationships/hyperlink" Target="https://papers.ssrn.com/sol3/papers.cfm?abstract_id=5014267" TargetMode="External"/><Relationship Id="rId9" Type="http://schemas.openxmlformats.org/officeDocument/2006/relationships/hyperlink" Target="https://www.mtc.gov/wp-content/uploads/2023/02/Combined-Reporting-FINAL-version.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67D66-860F-4A55-B3E6-A7F88A0A47F6}" type="doc">
      <dgm:prSet loTypeId="urn:microsoft.com/office/officeart/2005/8/layout/gear1" loCatId="relationship" qsTypeId="urn:microsoft.com/office/officeart/2005/8/quickstyle/3d1" qsCatId="3D" csTypeId="urn:microsoft.com/office/officeart/2005/8/colors/accent0_3" csCatId="mainScheme" phldr="1"/>
      <dgm:spPr/>
    </dgm:pt>
    <dgm:pt modelId="{ACF66A72-EA72-47AF-9D86-9C959C220B2B}">
      <dgm:prSet phldrT="[Text]"/>
      <dgm:spPr>
        <a:gradFill rotWithShape="0">
          <a:gsLst>
            <a:gs pos="0">
              <a:srgbClr val="3A6B86"/>
            </a:gs>
            <a:gs pos="32000">
              <a:srgbClr val="0EA4E0"/>
            </a:gs>
            <a:gs pos="100000">
              <a:schemeClr val="dk2">
                <a:hueOff val="0"/>
                <a:satOff val="0"/>
                <a:lumOff val="0"/>
                <a:alphaOff val="0"/>
                <a:shade val="94000"/>
                <a:satMod val="135000"/>
              </a:schemeClr>
            </a:gs>
          </a:gsLst>
        </a:gradFill>
      </dgm:spPr>
      <dgm:t>
        <a:bodyPr/>
        <a:lstStyle/>
        <a:p>
          <a:pPr algn="ctr"/>
          <a:r>
            <a:rPr lang="en-US" b="1"/>
            <a:t>State Tax Sourcing  Rules</a:t>
          </a:r>
          <a:endParaRPr lang="en-US" b="1" dirty="0"/>
        </a:p>
      </dgm:t>
    </dgm:pt>
    <dgm:pt modelId="{2A3C0D7F-7E67-4168-B474-DE5C8F805620}" type="parTrans" cxnId="{E27506FB-A07E-4DC9-B230-0DC05BB89EE9}">
      <dgm:prSet/>
      <dgm:spPr/>
      <dgm:t>
        <a:bodyPr/>
        <a:lstStyle/>
        <a:p>
          <a:pPr algn="ctr"/>
          <a:endParaRPr lang="en-US"/>
        </a:p>
      </dgm:t>
    </dgm:pt>
    <dgm:pt modelId="{3497B1D9-3386-4887-879B-EF24BEB2F57A}" type="sibTrans" cxnId="{E27506FB-A07E-4DC9-B230-0DC05BB89EE9}">
      <dgm:prSet/>
      <dgm:spPr/>
      <dgm:t>
        <a:bodyPr/>
        <a:lstStyle/>
        <a:p>
          <a:pPr algn="ctr"/>
          <a:endParaRPr lang="en-US"/>
        </a:p>
      </dgm:t>
    </dgm:pt>
    <dgm:pt modelId="{634AB32D-D9C7-49D1-B1A2-7D1A67D012BA}">
      <dgm:prSet phldrT="[Text]"/>
      <dgm:spPr>
        <a:gradFill rotWithShape="0">
          <a:gsLst>
            <a:gs pos="0">
              <a:srgbClr val="3A6B86"/>
            </a:gs>
            <a:gs pos="33000">
              <a:srgbClr val="0EA4E0"/>
            </a:gs>
            <a:gs pos="100000">
              <a:schemeClr val="dk2">
                <a:hueOff val="0"/>
                <a:satOff val="0"/>
                <a:lumOff val="0"/>
                <a:alphaOff val="0"/>
                <a:shade val="94000"/>
                <a:satMod val="135000"/>
              </a:schemeClr>
            </a:gs>
          </a:gsLst>
        </a:gradFill>
      </dgm:spPr>
      <dgm:t>
        <a:bodyPr/>
        <a:lstStyle/>
        <a:p>
          <a:pPr algn="ctr"/>
          <a:r>
            <a:rPr lang="en-US" b="1" dirty="0"/>
            <a:t>Federal Tax Law</a:t>
          </a:r>
        </a:p>
      </dgm:t>
    </dgm:pt>
    <dgm:pt modelId="{E018AD67-B71B-4888-BC30-A35E976674A2}" type="parTrans" cxnId="{DA09E3B0-E3DC-4965-950D-2458A76D60F1}">
      <dgm:prSet/>
      <dgm:spPr/>
      <dgm:t>
        <a:bodyPr/>
        <a:lstStyle/>
        <a:p>
          <a:pPr algn="ctr"/>
          <a:endParaRPr lang="en-US"/>
        </a:p>
      </dgm:t>
    </dgm:pt>
    <dgm:pt modelId="{70FDD498-BCB0-48B8-8C68-F30307D90DCF}" type="sibTrans" cxnId="{DA09E3B0-E3DC-4965-950D-2458A76D60F1}">
      <dgm:prSet/>
      <dgm:spPr/>
      <dgm:t>
        <a:bodyPr/>
        <a:lstStyle/>
        <a:p>
          <a:pPr algn="ctr"/>
          <a:endParaRPr lang="en-US"/>
        </a:p>
      </dgm:t>
    </dgm:pt>
    <dgm:pt modelId="{FF5C248F-4593-4649-912D-29839BB9EB6E}">
      <dgm:prSet phldrT="[Text]"/>
      <dgm:spPr>
        <a:gradFill rotWithShape="0">
          <a:gsLst>
            <a:gs pos="0">
              <a:srgbClr val="3A6B86"/>
            </a:gs>
            <a:gs pos="30000">
              <a:srgbClr val="0EA4E0"/>
            </a:gs>
            <a:gs pos="100000">
              <a:schemeClr val="dk2">
                <a:hueOff val="0"/>
                <a:satOff val="0"/>
                <a:lumOff val="0"/>
                <a:alphaOff val="0"/>
                <a:shade val="94000"/>
                <a:satMod val="135000"/>
              </a:schemeClr>
            </a:gs>
          </a:gsLst>
        </a:gradFill>
      </dgm:spPr>
      <dgm:t>
        <a:bodyPr/>
        <a:lstStyle/>
        <a:p>
          <a:pPr algn="ctr"/>
          <a:r>
            <a:rPr lang="en-US" b="1" dirty="0"/>
            <a:t>State Laws Governing Formation</a:t>
          </a:r>
        </a:p>
      </dgm:t>
    </dgm:pt>
    <dgm:pt modelId="{1CA40E43-649F-40D0-A7B5-ECA1A6A5885C}" type="parTrans" cxnId="{623A0610-4EC0-4963-83A6-562AC7992AB1}">
      <dgm:prSet/>
      <dgm:spPr/>
      <dgm:t>
        <a:bodyPr/>
        <a:lstStyle/>
        <a:p>
          <a:pPr algn="ctr"/>
          <a:endParaRPr lang="en-US"/>
        </a:p>
      </dgm:t>
    </dgm:pt>
    <dgm:pt modelId="{879B037B-B3D4-4954-B819-F68050D35AFA}" type="sibTrans" cxnId="{623A0610-4EC0-4963-83A6-562AC7992AB1}">
      <dgm:prSet/>
      <dgm:spPr/>
      <dgm:t>
        <a:bodyPr/>
        <a:lstStyle/>
        <a:p>
          <a:pPr algn="ctr"/>
          <a:endParaRPr lang="en-US"/>
        </a:p>
      </dgm:t>
    </dgm:pt>
    <dgm:pt modelId="{28A72FB6-9D17-494A-9ED7-73A9B48B5FA9}" type="pres">
      <dgm:prSet presAssocID="{29967D66-860F-4A55-B3E6-A7F88A0A47F6}" presName="composite" presStyleCnt="0">
        <dgm:presLayoutVars>
          <dgm:chMax val="3"/>
          <dgm:animLvl val="lvl"/>
          <dgm:resizeHandles val="exact"/>
        </dgm:presLayoutVars>
      </dgm:prSet>
      <dgm:spPr/>
    </dgm:pt>
    <dgm:pt modelId="{3F79211A-6AE0-46B6-A9AC-98EBA60B5CB9}" type="pres">
      <dgm:prSet presAssocID="{ACF66A72-EA72-47AF-9D86-9C959C220B2B}" presName="gear1" presStyleLbl="node1" presStyleIdx="0" presStyleCnt="3" custLinFactNeighborX="2280" custLinFactNeighborY="31164">
        <dgm:presLayoutVars>
          <dgm:chMax val="1"/>
          <dgm:bulletEnabled val="1"/>
        </dgm:presLayoutVars>
      </dgm:prSet>
      <dgm:spPr/>
    </dgm:pt>
    <dgm:pt modelId="{83618245-1C2F-4F52-A897-D560152EF526}" type="pres">
      <dgm:prSet presAssocID="{ACF66A72-EA72-47AF-9D86-9C959C220B2B}" presName="gear1srcNode" presStyleLbl="node1" presStyleIdx="0" presStyleCnt="3"/>
      <dgm:spPr/>
    </dgm:pt>
    <dgm:pt modelId="{6794F3DE-38E0-423E-94AC-FFE41F14238D}" type="pres">
      <dgm:prSet presAssocID="{ACF66A72-EA72-47AF-9D86-9C959C220B2B}" presName="gear1dstNode" presStyleLbl="node1" presStyleIdx="0" presStyleCnt="3"/>
      <dgm:spPr/>
    </dgm:pt>
    <dgm:pt modelId="{8DE9F62A-2CBA-4D04-8686-636C4A9B2FD5}" type="pres">
      <dgm:prSet presAssocID="{634AB32D-D9C7-49D1-B1A2-7D1A67D012BA}" presName="gear2" presStyleLbl="node1" presStyleIdx="1" presStyleCnt="3" custScaleX="126428" custScaleY="129415" custLinFactNeighborX="-15267" custLinFactNeighborY="33154">
        <dgm:presLayoutVars>
          <dgm:chMax val="1"/>
          <dgm:bulletEnabled val="1"/>
        </dgm:presLayoutVars>
      </dgm:prSet>
      <dgm:spPr/>
    </dgm:pt>
    <dgm:pt modelId="{80FE7762-EF4A-41C3-A007-3A71BB784433}" type="pres">
      <dgm:prSet presAssocID="{634AB32D-D9C7-49D1-B1A2-7D1A67D012BA}" presName="gear2srcNode" presStyleLbl="node1" presStyleIdx="1" presStyleCnt="3"/>
      <dgm:spPr/>
    </dgm:pt>
    <dgm:pt modelId="{71ECE182-59A0-4226-B7AA-0C0834799BDD}" type="pres">
      <dgm:prSet presAssocID="{634AB32D-D9C7-49D1-B1A2-7D1A67D012BA}" presName="gear2dstNode" presStyleLbl="node1" presStyleIdx="1" presStyleCnt="3"/>
      <dgm:spPr/>
    </dgm:pt>
    <dgm:pt modelId="{4BE08933-97D6-406D-BDD6-87D7145DA32F}" type="pres">
      <dgm:prSet presAssocID="{FF5C248F-4593-4649-912D-29839BB9EB6E}" presName="gear3" presStyleLbl="node1" presStyleIdx="2" presStyleCnt="3" custScaleX="132006" custScaleY="127818" custLinFactNeighborX="-4"/>
      <dgm:spPr/>
    </dgm:pt>
    <dgm:pt modelId="{E3B686E3-EB3E-4AB2-8AF7-1271B0F5908C}" type="pres">
      <dgm:prSet presAssocID="{FF5C248F-4593-4649-912D-29839BB9EB6E}" presName="gear3tx" presStyleLbl="node1" presStyleIdx="2" presStyleCnt="3">
        <dgm:presLayoutVars>
          <dgm:chMax val="1"/>
          <dgm:bulletEnabled val="1"/>
        </dgm:presLayoutVars>
      </dgm:prSet>
      <dgm:spPr/>
    </dgm:pt>
    <dgm:pt modelId="{D4490D89-3F3A-433F-9995-7CB92B0877C2}" type="pres">
      <dgm:prSet presAssocID="{FF5C248F-4593-4649-912D-29839BB9EB6E}" presName="gear3srcNode" presStyleLbl="node1" presStyleIdx="2" presStyleCnt="3"/>
      <dgm:spPr/>
    </dgm:pt>
    <dgm:pt modelId="{EBA65171-0568-4A1A-A8EF-678BE86059E9}" type="pres">
      <dgm:prSet presAssocID="{FF5C248F-4593-4649-912D-29839BB9EB6E}" presName="gear3dstNode" presStyleLbl="node1" presStyleIdx="2" presStyleCnt="3"/>
      <dgm:spPr/>
    </dgm:pt>
    <dgm:pt modelId="{97E0D12F-B8E0-491D-B296-4D3DA061E040}" type="pres">
      <dgm:prSet presAssocID="{3497B1D9-3386-4887-879B-EF24BEB2F57A}" presName="connector1" presStyleLbl="sibTrans2D1" presStyleIdx="0" presStyleCnt="3"/>
      <dgm:spPr/>
    </dgm:pt>
    <dgm:pt modelId="{E0AB9ADC-F36A-48B2-8E49-3243A599C2A6}" type="pres">
      <dgm:prSet presAssocID="{70FDD498-BCB0-48B8-8C68-F30307D90DCF}" presName="connector2" presStyleLbl="sibTrans2D1" presStyleIdx="1" presStyleCnt="3" custLinFactNeighborX="-20468" custLinFactNeighborY="20464"/>
      <dgm:spPr/>
    </dgm:pt>
    <dgm:pt modelId="{1D65D046-D1FF-4C65-A5B0-EB57BFD9A613}" type="pres">
      <dgm:prSet presAssocID="{879B037B-B3D4-4954-B819-F68050D35AFA}" presName="connector3" presStyleLbl="sibTrans2D1" presStyleIdx="2" presStyleCnt="3" custLinFactNeighborX="-11705"/>
      <dgm:spPr/>
    </dgm:pt>
  </dgm:ptLst>
  <dgm:cxnLst>
    <dgm:cxn modelId="{8DA7DB01-44FB-4443-A389-75F5F775B952}" type="presOf" srcId="{634AB32D-D9C7-49D1-B1A2-7D1A67D012BA}" destId="{71ECE182-59A0-4226-B7AA-0C0834799BDD}" srcOrd="2" destOrd="0" presId="urn:microsoft.com/office/officeart/2005/8/layout/gear1"/>
    <dgm:cxn modelId="{6125350A-EC96-4E2A-8E70-53CFFCE8F30E}" type="presOf" srcId="{634AB32D-D9C7-49D1-B1A2-7D1A67D012BA}" destId="{80FE7762-EF4A-41C3-A007-3A71BB784433}" srcOrd="1" destOrd="0" presId="urn:microsoft.com/office/officeart/2005/8/layout/gear1"/>
    <dgm:cxn modelId="{5F23440B-E4A3-435B-8A83-8228590F1104}" type="presOf" srcId="{ACF66A72-EA72-47AF-9D86-9C959C220B2B}" destId="{6794F3DE-38E0-423E-94AC-FFE41F14238D}" srcOrd="2" destOrd="0" presId="urn:microsoft.com/office/officeart/2005/8/layout/gear1"/>
    <dgm:cxn modelId="{623A0610-4EC0-4963-83A6-562AC7992AB1}" srcId="{29967D66-860F-4A55-B3E6-A7F88A0A47F6}" destId="{FF5C248F-4593-4649-912D-29839BB9EB6E}" srcOrd="2" destOrd="0" parTransId="{1CA40E43-649F-40D0-A7B5-ECA1A6A5885C}" sibTransId="{879B037B-B3D4-4954-B819-F68050D35AFA}"/>
    <dgm:cxn modelId="{4965AA48-CB0D-4EE4-A8D1-86F45C55C097}" type="presOf" srcId="{3497B1D9-3386-4887-879B-EF24BEB2F57A}" destId="{97E0D12F-B8E0-491D-B296-4D3DA061E040}" srcOrd="0" destOrd="0" presId="urn:microsoft.com/office/officeart/2005/8/layout/gear1"/>
    <dgm:cxn modelId="{C0E1CF4E-5B58-4C89-810C-F888C8BE2BED}" type="presOf" srcId="{634AB32D-D9C7-49D1-B1A2-7D1A67D012BA}" destId="{8DE9F62A-2CBA-4D04-8686-636C4A9B2FD5}" srcOrd="0" destOrd="0" presId="urn:microsoft.com/office/officeart/2005/8/layout/gear1"/>
    <dgm:cxn modelId="{9CC2E376-2E2A-4923-80DD-3630FAD5A2EE}" type="presOf" srcId="{FF5C248F-4593-4649-912D-29839BB9EB6E}" destId="{4BE08933-97D6-406D-BDD6-87D7145DA32F}" srcOrd="0" destOrd="0" presId="urn:microsoft.com/office/officeart/2005/8/layout/gear1"/>
    <dgm:cxn modelId="{BD1AFE7B-D9AA-49A7-850C-6411E757B748}" type="presOf" srcId="{FF5C248F-4593-4649-912D-29839BB9EB6E}" destId="{D4490D89-3F3A-433F-9995-7CB92B0877C2}" srcOrd="2" destOrd="0" presId="urn:microsoft.com/office/officeart/2005/8/layout/gear1"/>
    <dgm:cxn modelId="{E19B818D-9716-4BC8-A1D0-028455004CC6}" type="presOf" srcId="{FF5C248F-4593-4649-912D-29839BB9EB6E}" destId="{E3B686E3-EB3E-4AB2-8AF7-1271B0F5908C}" srcOrd="1" destOrd="0" presId="urn:microsoft.com/office/officeart/2005/8/layout/gear1"/>
    <dgm:cxn modelId="{E5186693-DEB8-441E-819E-6643D367EDF1}" type="presOf" srcId="{879B037B-B3D4-4954-B819-F68050D35AFA}" destId="{1D65D046-D1FF-4C65-A5B0-EB57BFD9A613}" srcOrd="0" destOrd="0" presId="urn:microsoft.com/office/officeart/2005/8/layout/gear1"/>
    <dgm:cxn modelId="{C6ADB7AB-8E98-4CDD-8079-604941134B88}" type="presOf" srcId="{29967D66-860F-4A55-B3E6-A7F88A0A47F6}" destId="{28A72FB6-9D17-494A-9ED7-73A9B48B5FA9}" srcOrd="0" destOrd="0" presId="urn:microsoft.com/office/officeart/2005/8/layout/gear1"/>
    <dgm:cxn modelId="{A5829AAE-BB0E-4364-8683-EE1EC9CF1D5D}" type="presOf" srcId="{FF5C248F-4593-4649-912D-29839BB9EB6E}" destId="{EBA65171-0568-4A1A-A8EF-678BE86059E9}" srcOrd="3" destOrd="0" presId="urn:microsoft.com/office/officeart/2005/8/layout/gear1"/>
    <dgm:cxn modelId="{DA09E3B0-E3DC-4965-950D-2458A76D60F1}" srcId="{29967D66-860F-4A55-B3E6-A7F88A0A47F6}" destId="{634AB32D-D9C7-49D1-B1A2-7D1A67D012BA}" srcOrd="1" destOrd="0" parTransId="{E018AD67-B71B-4888-BC30-A35E976674A2}" sibTransId="{70FDD498-BCB0-48B8-8C68-F30307D90DCF}"/>
    <dgm:cxn modelId="{2973D1C0-F7FE-4FBB-B59E-27F1F237700A}" type="presOf" srcId="{ACF66A72-EA72-47AF-9D86-9C959C220B2B}" destId="{3F79211A-6AE0-46B6-A9AC-98EBA60B5CB9}" srcOrd="0" destOrd="0" presId="urn:microsoft.com/office/officeart/2005/8/layout/gear1"/>
    <dgm:cxn modelId="{47B812C6-3255-4F30-819F-88588D572674}" type="presOf" srcId="{70FDD498-BCB0-48B8-8C68-F30307D90DCF}" destId="{E0AB9ADC-F36A-48B2-8E49-3243A599C2A6}" srcOrd="0" destOrd="0" presId="urn:microsoft.com/office/officeart/2005/8/layout/gear1"/>
    <dgm:cxn modelId="{9A914FEC-BA68-412F-9905-B844E82920D9}" type="presOf" srcId="{ACF66A72-EA72-47AF-9D86-9C959C220B2B}" destId="{83618245-1C2F-4F52-A897-D560152EF526}" srcOrd="1" destOrd="0" presId="urn:microsoft.com/office/officeart/2005/8/layout/gear1"/>
    <dgm:cxn modelId="{E27506FB-A07E-4DC9-B230-0DC05BB89EE9}" srcId="{29967D66-860F-4A55-B3E6-A7F88A0A47F6}" destId="{ACF66A72-EA72-47AF-9D86-9C959C220B2B}" srcOrd="0" destOrd="0" parTransId="{2A3C0D7F-7E67-4168-B474-DE5C8F805620}" sibTransId="{3497B1D9-3386-4887-879B-EF24BEB2F57A}"/>
    <dgm:cxn modelId="{CEBF51F2-EF7D-4C31-9D37-12A06BF5DE5D}" type="presParOf" srcId="{28A72FB6-9D17-494A-9ED7-73A9B48B5FA9}" destId="{3F79211A-6AE0-46B6-A9AC-98EBA60B5CB9}" srcOrd="0" destOrd="0" presId="urn:microsoft.com/office/officeart/2005/8/layout/gear1"/>
    <dgm:cxn modelId="{D7D1BA90-F3DE-4204-98B1-C3F28B5A9E0E}" type="presParOf" srcId="{28A72FB6-9D17-494A-9ED7-73A9B48B5FA9}" destId="{83618245-1C2F-4F52-A897-D560152EF526}" srcOrd="1" destOrd="0" presId="urn:microsoft.com/office/officeart/2005/8/layout/gear1"/>
    <dgm:cxn modelId="{8E9274A8-5141-421C-8A3F-4DEBA69EA8D7}" type="presParOf" srcId="{28A72FB6-9D17-494A-9ED7-73A9B48B5FA9}" destId="{6794F3DE-38E0-423E-94AC-FFE41F14238D}" srcOrd="2" destOrd="0" presId="urn:microsoft.com/office/officeart/2005/8/layout/gear1"/>
    <dgm:cxn modelId="{2C835980-F806-4716-B1E8-CDBB73F94178}" type="presParOf" srcId="{28A72FB6-9D17-494A-9ED7-73A9B48B5FA9}" destId="{8DE9F62A-2CBA-4D04-8686-636C4A9B2FD5}" srcOrd="3" destOrd="0" presId="urn:microsoft.com/office/officeart/2005/8/layout/gear1"/>
    <dgm:cxn modelId="{F75CFCA6-E9B3-41C7-A132-92DF15B5101D}" type="presParOf" srcId="{28A72FB6-9D17-494A-9ED7-73A9B48B5FA9}" destId="{80FE7762-EF4A-41C3-A007-3A71BB784433}" srcOrd="4" destOrd="0" presId="urn:microsoft.com/office/officeart/2005/8/layout/gear1"/>
    <dgm:cxn modelId="{5DDE6964-B5B9-4FA6-9965-15D15E201272}" type="presParOf" srcId="{28A72FB6-9D17-494A-9ED7-73A9B48B5FA9}" destId="{71ECE182-59A0-4226-B7AA-0C0834799BDD}" srcOrd="5" destOrd="0" presId="urn:microsoft.com/office/officeart/2005/8/layout/gear1"/>
    <dgm:cxn modelId="{5B5C8052-D6CC-4ADE-A08D-8CF5B6022F8E}" type="presParOf" srcId="{28A72FB6-9D17-494A-9ED7-73A9B48B5FA9}" destId="{4BE08933-97D6-406D-BDD6-87D7145DA32F}" srcOrd="6" destOrd="0" presId="urn:microsoft.com/office/officeart/2005/8/layout/gear1"/>
    <dgm:cxn modelId="{0E5DF43C-0168-48C0-91EA-81DA7C7967AD}" type="presParOf" srcId="{28A72FB6-9D17-494A-9ED7-73A9B48B5FA9}" destId="{E3B686E3-EB3E-4AB2-8AF7-1271B0F5908C}" srcOrd="7" destOrd="0" presId="urn:microsoft.com/office/officeart/2005/8/layout/gear1"/>
    <dgm:cxn modelId="{7BB0A2F0-3DD4-4603-AA9B-0D17816F4387}" type="presParOf" srcId="{28A72FB6-9D17-494A-9ED7-73A9B48B5FA9}" destId="{D4490D89-3F3A-433F-9995-7CB92B0877C2}" srcOrd="8" destOrd="0" presId="urn:microsoft.com/office/officeart/2005/8/layout/gear1"/>
    <dgm:cxn modelId="{E203665A-D61E-402A-9C06-3F6D127D2123}" type="presParOf" srcId="{28A72FB6-9D17-494A-9ED7-73A9B48B5FA9}" destId="{EBA65171-0568-4A1A-A8EF-678BE86059E9}" srcOrd="9" destOrd="0" presId="urn:microsoft.com/office/officeart/2005/8/layout/gear1"/>
    <dgm:cxn modelId="{78344B2B-EB00-47B6-9687-8C4BDCB6C618}" type="presParOf" srcId="{28A72FB6-9D17-494A-9ED7-73A9B48B5FA9}" destId="{97E0D12F-B8E0-491D-B296-4D3DA061E040}" srcOrd="10" destOrd="0" presId="urn:microsoft.com/office/officeart/2005/8/layout/gear1"/>
    <dgm:cxn modelId="{36882D15-1398-43DB-BFD3-5CA2CF024EE7}" type="presParOf" srcId="{28A72FB6-9D17-494A-9ED7-73A9B48B5FA9}" destId="{E0AB9ADC-F36A-48B2-8E49-3243A599C2A6}" srcOrd="11" destOrd="0" presId="urn:microsoft.com/office/officeart/2005/8/layout/gear1"/>
    <dgm:cxn modelId="{8FB65850-F376-4159-B1FA-D27145709825}" type="presParOf" srcId="{28A72FB6-9D17-494A-9ED7-73A9B48B5FA9}" destId="{1D65D046-D1FF-4C65-A5B0-EB57BFD9A613}"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9211A-6AE0-46B6-A9AC-98EBA60B5CB9}">
      <dsp:nvSpPr>
        <dsp:cNvPr id="0" name=""/>
        <dsp:cNvSpPr/>
      </dsp:nvSpPr>
      <dsp:spPr>
        <a:xfrm>
          <a:off x="2144912" y="1451860"/>
          <a:ext cx="1651952" cy="1651952"/>
        </a:xfrm>
        <a:prstGeom prst="gear9">
          <a:avLst/>
        </a:prstGeom>
        <a:gradFill rotWithShape="0">
          <a:gsLst>
            <a:gs pos="0">
              <a:srgbClr val="3A6B86"/>
            </a:gs>
            <a:gs pos="32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t>State Tax Sourcing  Rules</a:t>
          </a:r>
          <a:endParaRPr lang="en-US" sz="1400" b="1" kern="1200" dirty="0"/>
        </a:p>
      </dsp:txBody>
      <dsp:txXfrm>
        <a:off x="2477028" y="1838822"/>
        <a:ext cx="987720" cy="849137"/>
      </dsp:txXfrm>
    </dsp:sp>
    <dsp:sp modelId="{8DE9F62A-2CBA-4D04-8686-636C4A9B2FD5}">
      <dsp:nvSpPr>
        <dsp:cNvPr id="0" name=""/>
        <dsp:cNvSpPr/>
      </dsp:nvSpPr>
      <dsp:spPr>
        <a:xfrm>
          <a:off x="803935" y="1283019"/>
          <a:ext cx="1518931" cy="1554817"/>
        </a:xfrm>
        <a:prstGeom prst="gear6">
          <a:avLst/>
        </a:prstGeom>
        <a:gradFill rotWithShape="0">
          <a:gsLst>
            <a:gs pos="0">
              <a:srgbClr val="3A6B86"/>
            </a:gs>
            <a:gs pos="33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t>Federal Tax Law</a:t>
          </a:r>
        </a:p>
      </dsp:txBody>
      <dsp:txXfrm>
        <a:off x="1186330" y="1673020"/>
        <a:ext cx="754141" cy="774815"/>
      </dsp:txXfrm>
    </dsp:sp>
    <dsp:sp modelId="{4BE08933-97D6-406D-BDD6-87D7145DA32F}">
      <dsp:nvSpPr>
        <dsp:cNvPr id="0" name=""/>
        <dsp:cNvSpPr/>
      </dsp:nvSpPr>
      <dsp:spPr>
        <a:xfrm rot="20700000">
          <a:off x="1621570" y="77835"/>
          <a:ext cx="1571948" cy="1486560"/>
        </a:xfrm>
        <a:prstGeom prst="gear6">
          <a:avLst/>
        </a:prstGeom>
        <a:gradFill rotWithShape="0">
          <a:gsLst>
            <a:gs pos="0">
              <a:srgbClr val="3A6B86"/>
            </a:gs>
            <a:gs pos="30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dirty="0"/>
            <a:t>State Laws Governing Formation</a:t>
          </a:r>
        </a:p>
      </dsp:txBody>
      <dsp:txXfrm rot="-20700000">
        <a:off x="1971409" y="398816"/>
        <a:ext cx="872270" cy="844597"/>
      </dsp:txXfrm>
    </dsp:sp>
    <dsp:sp modelId="{97E0D12F-B8E0-491D-B296-4D3DA061E040}">
      <dsp:nvSpPr>
        <dsp:cNvPr id="0" name=""/>
        <dsp:cNvSpPr/>
      </dsp:nvSpPr>
      <dsp:spPr>
        <a:xfrm>
          <a:off x="1967612" y="1209674"/>
          <a:ext cx="2114499" cy="2114499"/>
        </a:xfrm>
        <a:prstGeom prst="circularArrow">
          <a:avLst>
            <a:gd name="adj1" fmla="val 4687"/>
            <a:gd name="adj2" fmla="val 299029"/>
            <a:gd name="adj3" fmla="val 2478891"/>
            <a:gd name="adj4" fmla="val 15944046"/>
            <a:gd name="adj5" fmla="val 5469"/>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0AB9ADC-F36A-48B2-8E49-3243A599C2A6}">
      <dsp:nvSpPr>
        <dsp:cNvPr id="0" name=""/>
        <dsp:cNvSpPr/>
      </dsp:nvSpPr>
      <dsp:spPr>
        <a:xfrm>
          <a:off x="618889" y="1115072"/>
          <a:ext cx="1536315" cy="1536315"/>
        </a:xfrm>
        <a:prstGeom prst="leftCircularArrow">
          <a:avLst>
            <a:gd name="adj1" fmla="val 6452"/>
            <a:gd name="adj2" fmla="val 429999"/>
            <a:gd name="adj3" fmla="val 10489124"/>
            <a:gd name="adj4" fmla="val 14837806"/>
            <a:gd name="adj5" fmla="val 7527"/>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D65D046-D1FF-4C65-A5B0-EB57BFD9A613}">
      <dsp:nvSpPr>
        <dsp:cNvPr id="0" name=""/>
        <dsp:cNvSpPr/>
      </dsp:nvSpPr>
      <dsp:spPr>
        <a:xfrm>
          <a:off x="1352854" y="-20187"/>
          <a:ext cx="1656457" cy="1656457"/>
        </a:xfrm>
        <a:prstGeom prst="circularArrow">
          <a:avLst>
            <a:gd name="adj1" fmla="val 5984"/>
            <a:gd name="adj2" fmla="val 394124"/>
            <a:gd name="adj3" fmla="val 13313824"/>
            <a:gd name="adj4" fmla="val 10508221"/>
            <a:gd name="adj5" fmla="val 6981"/>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4460-9450-48AD-9775-41B18975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156</Pages>
  <Words>75308</Words>
  <Characters>429256</Characters>
  <Application>Microsoft Office Word</Application>
  <DocSecurity>0</DocSecurity>
  <Lines>3577</Lines>
  <Paragraphs>1007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503557</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Hecht</dc:creator>
  <cp:keywords/>
  <dc:description/>
  <cp:lastModifiedBy>Helen Hecht</cp:lastModifiedBy>
  <cp:revision>2</cp:revision>
  <dcterms:created xsi:type="dcterms:W3CDTF">2025-04-14T13:37:00Z</dcterms:created>
  <dcterms:modified xsi:type="dcterms:W3CDTF">2025-04-14T13:37:00Z</dcterms:modified>
</cp:coreProperties>
</file>