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278E4" w14:textId="3BADD9DA" w:rsidR="00100842" w:rsidRDefault="003974B6" w:rsidP="002312A8">
      <w:pPr>
        <w:pStyle w:val="Heading1"/>
        <w:jc w:val="center"/>
      </w:pPr>
      <w:r>
        <w:rPr>
          <w:noProof/>
        </w:rPr>
        <w:drawing>
          <wp:inline distT="0" distB="0" distL="0" distR="0" wp14:anchorId="178B5B16" wp14:editId="15DCFFA0">
            <wp:extent cx="1478877" cy="746760"/>
            <wp:effectExtent l="0" t="0" r="7620" b="0"/>
            <wp:docPr id="1" name="Picture 1" descr="MultiTax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Tax Commis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601" cy="754700"/>
                    </a:xfrm>
                    <a:prstGeom prst="rect">
                      <a:avLst/>
                    </a:prstGeom>
                    <a:noFill/>
                    <a:ln>
                      <a:noFill/>
                    </a:ln>
                  </pic:spPr>
                </pic:pic>
              </a:graphicData>
            </a:graphic>
          </wp:inline>
        </w:drawing>
      </w:r>
    </w:p>
    <w:p w14:paraId="1A208AE1" w14:textId="6D72F821" w:rsidR="003974B6" w:rsidRPr="00AE09D8" w:rsidRDefault="003974B6" w:rsidP="0075301D">
      <w:pPr>
        <w:spacing w:after="0"/>
        <w:jc w:val="center"/>
        <w:rPr>
          <w:b/>
          <w:bCs/>
          <w:sz w:val="36"/>
          <w:szCs w:val="36"/>
        </w:rPr>
      </w:pPr>
      <w:r w:rsidRPr="00AE09D8">
        <w:rPr>
          <w:b/>
          <w:bCs/>
          <w:sz w:val="36"/>
          <w:szCs w:val="36"/>
        </w:rPr>
        <w:t xml:space="preserve">Taxation of Digital Products </w:t>
      </w:r>
      <w:r w:rsidR="00AD0F4E" w:rsidRPr="00AE09D8">
        <w:rPr>
          <w:b/>
          <w:bCs/>
          <w:sz w:val="36"/>
          <w:szCs w:val="36"/>
        </w:rPr>
        <w:t>Uniformity Project</w:t>
      </w:r>
    </w:p>
    <w:p w14:paraId="2F2CEDF7" w14:textId="7EEB7FAE" w:rsidR="003B5732" w:rsidRPr="00AE09D8" w:rsidRDefault="008175BA" w:rsidP="0075301D">
      <w:pPr>
        <w:tabs>
          <w:tab w:val="left" w:pos="540"/>
          <w:tab w:val="center" w:pos="4680"/>
        </w:tabs>
        <w:spacing w:after="0"/>
        <w:rPr>
          <w:b/>
          <w:bCs/>
          <w:sz w:val="36"/>
          <w:szCs w:val="36"/>
        </w:rPr>
      </w:pPr>
      <w:r w:rsidRPr="00AE09D8">
        <w:rPr>
          <w:b/>
          <w:bCs/>
          <w:sz w:val="36"/>
          <w:szCs w:val="36"/>
        </w:rPr>
        <w:tab/>
      </w:r>
      <w:r w:rsidRPr="00AE09D8">
        <w:rPr>
          <w:b/>
          <w:bCs/>
          <w:sz w:val="36"/>
          <w:szCs w:val="36"/>
        </w:rPr>
        <w:tab/>
      </w:r>
      <w:r w:rsidR="003B5732" w:rsidRPr="00AE09D8">
        <w:rPr>
          <w:b/>
          <w:bCs/>
          <w:sz w:val="36"/>
          <w:szCs w:val="36"/>
        </w:rPr>
        <w:t>D</w:t>
      </w:r>
      <w:r w:rsidR="006600ED" w:rsidRPr="00AE09D8">
        <w:rPr>
          <w:b/>
          <w:bCs/>
          <w:sz w:val="36"/>
          <w:szCs w:val="36"/>
        </w:rPr>
        <w:t xml:space="preserve">raft </w:t>
      </w:r>
      <w:r w:rsidR="003B5732" w:rsidRPr="00AE09D8">
        <w:rPr>
          <w:b/>
          <w:bCs/>
          <w:sz w:val="36"/>
          <w:szCs w:val="36"/>
        </w:rPr>
        <w:t>White Paper Section on Bundling</w:t>
      </w:r>
    </w:p>
    <w:p w14:paraId="553523E1" w14:textId="3E1490B2" w:rsidR="003B5732" w:rsidRDefault="003B5732" w:rsidP="0075301D">
      <w:pPr>
        <w:spacing w:after="0"/>
        <w:jc w:val="center"/>
        <w:rPr>
          <w:b/>
          <w:bCs/>
          <w:sz w:val="36"/>
          <w:szCs w:val="36"/>
        </w:rPr>
      </w:pPr>
      <w:r w:rsidRPr="00AE09D8">
        <w:rPr>
          <w:b/>
          <w:bCs/>
          <w:sz w:val="36"/>
          <w:szCs w:val="36"/>
        </w:rPr>
        <w:t xml:space="preserve">Presentation to the </w:t>
      </w:r>
      <w:r w:rsidR="006600ED" w:rsidRPr="00AE09D8">
        <w:rPr>
          <w:b/>
          <w:bCs/>
          <w:sz w:val="36"/>
          <w:szCs w:val="36"/>
        </w:rPr>
        <w:t>Work Group</w:t>
      </w:r>
      <w:r w:rsidRPr="00AE09D8">
        <w:rPr>
          <w:b/>
          <w:bCs/>
          <w:sz w:val="36"/>
          <w:szCs w:val="36"/>
        </w:rPr>
        <w:t xml:space="preserve"> – </w:t>
      </w:r>
      <w:r w:rsidR="006600ED" w:rsidRPr="00AE09D8">
        <w:rPr>
          <w:b/>
          <w:bCs/>
          <w:sz w:val="36"/>
          <w:szCs w:val="36"/>
        </w:rPr>
        <w:t>September 5</w:t>
      </w:r>
      <w:r w:rsidRPr="00AE09D8">
        <w:rPr>
          <w:b/>
          <w:bCs/>
          <w:sz w:val="36"/>
          <w:szCs w:val="36"/>
        </w:rPr>
        <w:t>, 2024</w:t>
      </w:r>
    </w:p>
    <w:p w14:paraId="63792D52" w14:textId="1789E3B6" w:rsidR="003A6CA0" w:rsidRPr="003A6CA0" w:rsidRDefault="00DB0766" w:rsidP="00DB0766">
      <w:pPr>
        <w:spacing w:after="0"/>
        <w:jc w:val="center"/>
        <w:rPr>
          <w:b/>
          <w:bCs/>
        </w:rPr>
      </w:pPr>
      <w:r>
        <w:rPr>
          <w:b/>
          <w:bCs/>
        </w:rPr>
        <w:t>(</w:t>
      </w:r>
      <w:r w:rsidR="00202DBA">
        <w:rPr>
          <w:b/>
          <w:bCs/>
        </w:rPr>
        <w:t xml:space="preserve">This is an incomplete draft meant to </w:t>
      </w:r>
      <w:r w:rsidR="00650798">
        <w:rPr>
          <w:b/>
          <w:bCs/>
        </w:rPr>
        <w:t xml:space="preserve">solicit feedback to develop the </w:t>
      </w:r>
      <w:r w:rsidR="00D81FE8">
        <w:rPr>
          <w:b/>
          <w:bCs/>
        </w:rPr>
        <w:t xml:space="preserve">bundling </w:t>
      </w:r>
      <w:r w:rsidR="00650798">
        <w:rPr>
          <w:b/>
          <w:bCs/>
        </w:rPr>
        <w:t>white paper</w:t>
      </w:r>
      <w:r>
        <w:rPr>
          <w:b/>
          <w:bCs/>
        </w:rPr>
        <w:t>)</w:t>
      </w:r>
    </w:p>
    <w:p w14:paraId="5B5113D9" w14:textId="441A9254" w:rsidR="00C80296" w:rsidRDefault="00C80296" w:rsidP="00C80296">
      <w:pPr>
        <w:pStyle w:val="Heading1"/>
      </w:pPr>
      <w:r>
        <w:t>1. Introduction</w:t>
      </w:r>
    </w:p>
    <w:p w14:paraId="1DF8A24A" w14:textId="2E18A39F" w:rsidR="00417C16" w:rsidRPr="00F13587" w:rsidRDefault="008E43CB" w:rsidP="00D97790">
      <w:pPr>
        <w:rPr>
          <w:sz w:val="26"/>
          <w:szCs w:val="26"/>
        </w:rPr>
      </w:pPr>
      <w:r>
        <w:rPr>
          <w:sz w:val="26"/>
          <w:szCs w:val="26"/>
        </w:rPr>
        <w:t xml:space="preserve">The Digital Products Work Group was formed to draft a white paper on </w:t>
      </w:r>
      <w:r w:rsidR="003B5732">
        <w:rPr>
          <w:sz w:val="26"/>
          <w:szCs w:val="26"/>
        </w:rPr>
        <w:t xml:space="preserve">the </w:t>
      </w:r>
      <w:r>
        <w:rPr>
          <w:sz w:val="26"/>
          <w:szCs w:val="26"/>
        </w:rPr>
        <w:t>issues states should consider when including digital products</w:t>
      </w:r>
      <w:r w:rsidR="006D2E5C">
        <w:rPr>
          <w:rStyle w:val="FootnoteReference"/>
          <w:sz w:val="26"/>
          <w:szCs w:val="26"/>
        </w:rPr>
        <w:footnoteReference w:id="2"/>
      </w:r>
      <w:r>
        <w:rPr>
          <w:sz w:val="26"/>
          <w:szCs w:val="26"/>
        </w:rPr>
        <w:t xml:space="preserve"> in their sales tax base.</w:t>
      </w:r>
      <w:r w:rsidR="007F3D01">
        <w:rPr>
          <w:rStyle w:val="FootnoteReference"/>
          <w:sz w:val="26"/>
          <w:szCs w:val="26"/>
        </w:rPr>
        <w:footnoteReference w:id="3"/>
      </w:r>
      <w:r>
        <w:rPr>
          <w:sz w:val="26"/>
          <w:szCs w:val="26"/>
        </w:rPr>
        <w:t xml:space="preserve"> </w:t>
      </w:r>
      <w:r w:rsidR="002064CA" w:rsidRPr="009B5A09">
        <w:rPr>
          <w:sz w:val="26"/>
          <w:szCs w:val="26"/>
        </w:rPr>
        <w:t xml:space="preserve">At their March 7, </w:t>
      </w:r>
      <w:proofErr w:type="gramStart"/>
      <w:r w:rsidR="002064CA" w:rsidRPr="009B5A09">
        <w:rPr>
          <w:sz w:val="26"/>
          <w:szCs w:val="26"/>
        </w:rPr>
        <w:t>2024</w:t>
      </w:r>
      <w:proofErr w:type="gramEnd"/>
      <w:r w:rsidR="002064CA" w:rsidRPr="009B5A09">
        <w:rPr>
          <w:sz w:val="26"/>
          <w:szCs w:val="26"/>
        </w:rPr>
        <w:t xml:space="preserve"> meeting, the work group voted to study bundling issues.</w:t>
      </w:r>
      <w:r w:rsidR="000A5BA7">
        <w:rPr>
          <w:rStyle w:val="FootnoteReference"/>
          <w:sz w:val="26"/>
          <w:szCs w:val="26"/>
        </w:rPr>
        <w:footnoteReference w:id="4"/>
      </w:r>
      <w:r w:rsidR="002064CA">
        <w:rPr>
          <w:sz w:val="26"/>
          <w:szCs w:val="26"/>
        </w:rPr>
        <w:t xml:space="preserve"> </w:t>
      </w:r>
      <w:r>
        <w:rPr>
          <w:sz w:val="26"/>
          <w:szCs w:val="26"/>
        </w:rPr>
        <w:t>As part of th</w:t>
      </w:r>
      <w:r w:rsidR="002064CA">
        <w:rPr>
          <w:sz w:val="26"/>
          <w:szCs w:val="26"/>
        </w:rPr>
        <w:t>e</w:t>
      </w:r>
      <w:r>
        <w:rPr>
          <w:sz w:val="26"/>
          <w:szCs w:val="26"/>
        </w:rPr>
        <w:t xml:space="preserve"> larger white paper, </w:t>
      </w:r>
      <w:r w:rsidR="003B5732">
        <w:rPr>
          <w:sz w:val="26"/>
          <w:szCs w:val="26"/>
        </w:rPr>
        <w:t>we</w:t>
      </w:r>
      <w:r>
        <w:rPr>
          <w:sz w:val="26"/>
          <w:szCs w:val="26"/>
        </w:rPr>
        <w:t xml:space="preserve"> propose </w:t>
      </w:r>
      <w:r w:rsidR="003B5732">
        <w:rPr>
          <w:sz w:val="26"/>
          <w:szCs w:val="26"/>
        </w:rPr>
        <w:t>a</w:t>
      </w:r>
      <w:r>
        <w:rPr>
          <w:sz w:val="26"/>
          <w:szCs w:val="26"/>
        </w:rPr>
        <w:t xml:space="preserve"> subsection addressing bundling issue</w:t>
      </w:r>
      <w:r w:rsidR="009401AC">
        <w:rPr>
          <w:sz w:val="26"/>
          <w:szCs w:val="26"/>
        </w:rPr>
        <w:t>s</w:t>
      </w:r>
      <w:r>
        <w:rPr>
          <w:sz w:val="26"/>
          <w:szCs w:val="26"/>
        </w:rPr>
        <w:t>.</w:t>
      </w:r>
    </w:p>
    <w:p w14:paraId="23217170" w14:textId="77777777" w:rsidR="00174E3A" w:rsidRPr="00174E3A" w:rsidRDefault="003B5732" w:rsidP="00B614ED">
      <w:pPr>
        <w:rPr>
          <w:sz w:val="26"/>
          <w:szCs w:val="26"/>
        </w:rPr>
      </w:pPr>
      <w:bookmarkStart w:id="0" w:name="_Hlk174542625"/>
      <w:r w:rsidRPr="00174E3A">
        <w:rPr>
          <w:sz w:val="26"/>
          <w:szCs w:val="26"/>
        </w:rPr>
        <w:t xml:space="preserve">The primary question this section of the </w:t>
      </w:r>
      <w:r w:rsidR="000128A5" w:rsidRPr="00174E3A">
        <w:rPr>
          <w:sz w:val="26"/>
          <w:szCs w:val="26"/>
        </w:rPr>
        <w:t xml:space="preserve">digital products </w:t>
      </w:r>
      <w:r w:rsidRPr="00174E3A">
        <w:rPr>
          <w:sz w:val="26"/>
          <w:szCs w:val="26"/>
        </w:rPr>
        <w:t>white paper address</w:t>
      </w:r>
      <w:r w:rsidR="001024C1" w:rsidRPr="00174E3A">
        <w:rPr>
          <w:sz w:val="26"/>
          <w:szCs w:val="26"/>
        </w:rPr>
        <w:t>es</w:t>
      </w:r>
      <w:r w:rsidRPr="00174E3A">
        <w:rPr>
          <w:sz w:val="26"/>
          <w:szCs w:val="26"/>
        </w:rPr>
        <w:t xml:space="preserve"> is</w:t>
      </w:r>
      <w:r w:rsidR="00B614ED" w:rsidRPr="00174E3A">
        <w:rPr>
          <w:sz w:val="26"/>
          <w:szCs w:val="26"/>
        </w:rPr>
        <w:t xml:space="preserve">: </w:t>
      </w:r>
    </w:p>
    <w:p w14:paraId="3A8A0E83" w14:textId="5CAE3B2F" w:rsidR="00B614ED" w:rsidRDefault="008E43CB" w:rsidP="00174E3A">
      <w:pPr>
        <w:ind w:left="720"/>
        <w:rPr>
          <w:sz w:val="26"/>
          <w:szCs w:val="26"/>
        </w:rPr>
      </w:pPr>
      <w:r>
        <w:rPr>
          <w:sz w:val="26"/>
          <w:szCs w:val="26"/>
        </w:rPr>
        <w:t>D</w:t>
      </w:r>
      <w:r w:rsidR="00B614ED" w:rsidRPr="00F13587">
        <w:rPr>
          <w:sz w:val="26"/>
          <w:szCs w:val="26"/>
        </w:rPr>
        <w:t xml:space="preserve">oes the presence of digital products in a </w:t>
      </w:r>
      <w:proofErr w:type="gramStart"/>
      <w:r w:rsidR="00B614ED" w:rsidRPr="00F13587">
        <w:rPr>
          <w:sz w:val="26"/>
          <w:szCs w:val="26"/>
        </w:rPr>
        <w:t>sales</w:t>
      </w:r>
      <w:proofErr w:type="gramEnd"/>
      <w:r w:rsidR="00B614ED" w:rsidRPr="00F13587">
        <w:rPr>
          <w:sz w:val="26"/>
          <w:szCs w:val="26"/>
        </w:rPr>
        <w:t xml:space="preserve"> and use tax base present any unique issues with respect to bundling compared to sales and use tax bases that are </w:t>
      </w:r>
      <w:r w:rsidR="003421FA" w:rsidRPr="00F13587">
        <w:rPr>
          <w:sz w:val="26"/>
          <w:szCs w:val="26"/>
        </w:rPr>
        <w:t>based on tangible personal property</w:t>
      </w:r>
      <w:r w:rsidR="00B614ED" w:rsidRPr="00F13587">
        <w:rPr>
          <w:sz w:val="26"/>
          <w:szCs w:val="26"/>
        </w:rPr>
        <w:t xml:space="preserve"> and services?</w:t>
      </w:r>
    </w:p>
    <w:bookmarkEnd w:id="0"/>
    <w:p w14:paraId="44B5FEFF" w14:textId="0C9EF023" w:rsidR="009F0283" w:rsidRPr="00C40A11" w:rsidRDefault="009F0283" w:rsidP="009F0283">
      <w:pPr>
        <w:rPr>
          <w:sz w:val="26"/>
          <w:szCs w:val="26"/>
        </w:rPr>
      </w:pPr>
      <w:r>
        <w:rPr>
          <w:sz w:val="26"/>
          <w:szCs w:val="26"/>
        </w:rPr>
        <w:t xml:space="preserve">To address this question, this </w:t>
      </w:r>
      <w:r w:rsidRPr="00C40A11">
        <w:rPr>
          <w:sz w:val="26"/>
          <w:szCs w:val="26"/>
        </w:rPr>
        <w:t>white paper (1) describe</w:t>
      </w:r>
      <w:r>
        <w:rPr>
          <w:sz w:val="26"/>
          <w:szCs w:val="26"/>
        </w:rPr>
        <w:t>s</w:t>
      </w:r>
      <w:r w:rsidRPr="00C40A11">
        <w:rPr>
          <w:sz w:val="26"/>
          <w:szCs w:val="26"/>
        </w:rPr>
        <w:t xml:space="preserve"> the primary approaches to the concept of bundling and their relation to digital products, (2) highlight</w:t>
      </w:r>
      <w:r>
        <w:rPr>
          <w:sz w:val="26"/>
          <w:szCs w:val="26"/>
        </w:rPr>
        <w:t>s</w:t>
      </w:r>
      <w:r w:rsidRPr="00C40A11">
        <w:rPr>
          <w:sz w:val="26"/>
          <w:szCs w:val="26"/>
        </w:rPr>
        <w:t xml:space="preserve"> the positives and negatives of those approaches, </w:t>
      </w:r>
      <w:r w:rsidR="006531E7">
        <w:rPr>
          <w:sz w:val="26"/>
          <w:szCs w:val="26"/>
        </w:rPr>
        <w:t xml:space="preserve">and </w:t>
      </w:r>
      <w:r w:rsidRPr="00C40A11">
        <w:rPr>
          <w:sz w:val="26"/>
          <w:szCs w:val="26"/>
        </w:rPr>
        <w:t>(3) present</w:t>
      </w:r>
      <w:r>
        <w:rPr>
          <w:sz w:val="26"/>
          <w:szCs w:val="26"/>
        </w:rPr>
        <w:t>s</w:t>
      </w:r>
      <w:r w:rsidRPr="00C40A11">
        <w:rPr>
          <w:sz w:val="26"/>
          <w:szCs w:val="26"/>
        </w:rPr>
        <w:t xml:space="preserve"> findings and recommendations.</w:t>
      </w:r>
      <w:r w:rsidR="004F4944">
        <w:rPr>
          <w:sz w:val="26"/>
          <w:szCs w:val="26"/>
        </w:rPr>
        <w:t xml:space="preserve"> [Full summary TBD once the white paper is completed</w:t>
      </w:r>
      <w:r w:rsidR="0077694E">
        <w:rPr>
          <w:sz w:val="26"/>
          <w:szCs w:val="26"/>
        </w:rPr>
        <w:t>.]</w:t>
      </w:r>
    </w:p>
    <w:p w14:paraId="19F0B948" w14:textId="4A37CCDE" w:rsidR="00A62775" w:rsidRDefault="00A62775" w:rsidP="00C80296">
      <w:pPr>
        <w:rPr>
          <w:sz w:val="26"/>
          <w:szCs w:val="26"/>
        </w:rPr>
      </w:pPr>
      <w:r w:rsidRPr="00F13587">
        <w:rPr>
          <w:sz w:val="26"/>
          <w:szCs w:val="26"/>
        </w:rPr>
        <w:t xml:space="preserve">State representatives, notably the work group members, and other stakeholders </w:t>
      </w:r>
      <w:r w:rsidR="005846DE">
        <w:rPr>
          <w:sz w:val="26"/>
          <w:szCs w:val="26"/>
        </w:rPr>
        <w:t xml:space="preserve">may </w:t>
      </w:r>
      <w:r w:rsidRPr="00F13587">
        <w:rPr>
          <w:sz w:val="26"/>
          <w:szCs w:val="26"/>
        </w:rPr>
        <w:t>review and comment on the draft to help pro</w:t>
      </w:r>
      <w:r w:rsidR="006D2E5C">
        <w:rPr>
          <w:sz w:val="26"/>
          <w:szCs w:val="26"/>
        </w:rPr>
        <w:t>vide</w:t>
      </w:r>
      <w:r w:rsidRPr="00F13587">
        <w:rPr>
          <w:sz w:val="26"/>
          <w:szCs w:val="26"/>
        </w:rPr>
        <w:t xml:space="preserve"> guidance for policymakers.</w:t>
      </w:r>
    </w:p>
    <w:p w14:paraId="48032410" w14:textId="7C63C104" w:rsidR="00C80296" w:rsidRDefault="00C80296" w:rsidP="00C80296">
      <w:pPr>
        <w:rPr>
          <w:rStyle w:val="Hyperlink"/>
          <w:sz w:val="26"/>
          <w:szCs w:val="26"/>
        </w:rPr>
      </w:pPr>
      <w:r>
        <w:rPr>
          <w:sz w:val="26"/>
          <w:szCs w:val="26"/>
        </w:rPr>
        <w:t xml:space="preserve">Please direct any questions or feedback to Nancy Prosser, </w:t>
      </w:r>
      <w:hyperlink r:id="rId8" w:history="1">
        <w:r w:rsidRPr="00ED4568">
          <w:rPr>
            <w:rStyle w:val="Hyperlink"/>
            <w:sz w:val="26"/>
            <w:szCs w:val="26"/>
          </w:rPr>
          <w:t>nprosser@mtc.gov</w:t>
        </w:r>
      </w:hyperlink>
      <w:r>
        <w:rPr>
          <w:sz w:val="26"/>
          <w:szCs w:val="26"/>
        </w:rPr>
        <w:t xml:space="preserve">, or Jonathan White, </w:t>
      </w:r>
      <w:hyperlink r:id="rId9" w:history="1">
        <w:r w:rsidRPr="00ED4568">
          <w:rPr>
            <w:rStyle w:val="Hyperlink"/>
            <w:sz w:val="26"/>
            <w:szCs w:val="26"/>
          </w:rPr>
          <w:t>jwhite@mtc.gov</w:t>
        </w:r>
      </w:hyperlink>
    </w:p>
    <w:p w14:paraId="1249BB91" w14:textId="04600F45" w:rsidR="002A22CB" w:rsidRDefault="00C85EFA" w:rsidP="007C5552">
      <w:pPr>
        <w:pStyle w:val="Heading1"/>
      </w:pPr>
      <w:r>
        <w:lastRenderedPageBreak/>
        <w:t xml:space="preserve">2. </w:t>
      </w:r>
      <w:r w:rsidR="002A22CB">
        <w:t xml:space="preserve">Table of </w:t>
      </w:r>
      <w:r w:rsidR="0062083A">
        <w:t>c</w:t>
      </w:r>
      <w:r w:rsidR="002A22CB">
        <w:t>ontents</w:t>
      </w:r>
    </w:p>
    <w:p w14:paraId="32482460" w14:textId="283332B0" w:rsidR="002A22CB" w:rsidRPr="002A22CB" w:rsidRDefault="002A22CB" w:rsidP="002A22CB">
      <w:r>
        <w:t>[</w:t>
      </w:r>
      <w:r w:rsidR="006531E7">
        <w:t>T</w:t>
      </w:r>
      <w:r w:rsidR="004F4944">
        <w:t>BD</w:t>
      </w:r>
      <w:r>
        <w:t xml:space="preserve"> once the </w:t>
      </w:r>
      <w:r w:rsidR="00347632">
        <w:t>white paper</w:t>
      </w:r>
      <w:r>
        <w:t xml:space="preserve"> is completed.]</w:t>
      </w:r>
    </w:p>
    <w:p w14:paraId="408484EF" w14:textId="502780F1" w:rsidR="007C5552" w:rsidRDefault="002A22CB" w:rsidP="007C5552">
      <w:pPr>
        <w:pStyle w:val="Heading1"/>
      </w:pPr>
      <w:r>
        <w:t xml:space="preserve">3. </w:t>
      </w:r>
      <w:r w:rsidR="00C85EFA">
        <w:t xml:space="preserve">Executive </w:t>
      </w:r>
      <w:r w:rsidR="0062083A">
        <w:t>s</w:t>
      </w:r>
      <w:r w:rsidR="00C85EFA">
        <w:t>ummary</w:t>
      </w:r>
    </w:p>
    <w:p w14:paraId="5370DF75" w14:textId="10AE0109" w:rsidR="00BE0588" w:rsidRPr="00BE0588" w:rsidRDefault="002A22CB" w:rsidP="00BE0588">
      <w:r w:rsidRPr="009C7AB2">
        <w:t>[</w:t>
      </w:r>
      <w:r w:rsidR="004F4944">
        <w:t>A</w:t>
      </w:r>
      <w:r w:rsidR="00E022AB">
        <w:t xml:space="preserve">ssume a </w:t>
      </w:r>
      <w:r w:rsidR="00B2104F">
        <w:t>1–2-page</w:t>
      </w:r>
      <w:r w:rsidR="00E022AB">
        <w:t xml:space="preserve"> high-level summary.</w:t>
      </w:r>
      <w:r>
        <w:t>]</w:t>
      </w:r>
    </w:p>
    <w:p w14:paraId="23991790" w14:textId="79DD99A3" w:rsidR="002A22CB" w:rsidRDefault="00454A60" w:rsidP="002312A8">
      <w:pPr>
        <w:pStyle w:val="Heading1"/>
      </w:pPr>
      <w:r>
        <w:t>4</w:t>
      </w:r>
      <w:r w:rsidR="00BE0588">
        <w:t>. Recommendations</w:t>
      </w:r>
      <w:r w:rsidR="00BE0588" w:rsidRPr="00DE0294">
        <w:t xml:space="preserve"> to the states</w:t>
      </w:r>
      <w:r w:rsidR="00BE0588">
        <w:t xml:space="preserve"> </w:t>
      </w:r>
    </w:p>
    <w:p w14:paraId="49EC4DA6" w14:textId="7DBB4B63" w:rsidR="00BE0588" w:rsidRDefault="002F17F3" w:rsidP="002A22CB">
      <w:r>
        <w:t>[</w:t>
      </w:r>
      <w:r w:rsidR="004F4944">
        <w:t>TBD</w:t>
      </w:r>
      <w:r w:rsidR="00792149">
        <w:t xml:space="preserve"> </w:t>
      </w:r>
      <w:r w:rsidR="00411297">
        <w:t>by the work group members</w:t>
      </w:r>
      <w:r w:rsidR="000534D0">
        <w:t>].</w:t>
      </w:r>
      <w:r w:rsidR="00BE0588">
        <w:t xml:space="preserve"> </w:t>
      </w:r>
    </w:p>
    <w:p w14:paraId="000FDAD9" w14:textId="3C56FDE0" w:rsidR="00A67CDB" w:rsidRDefault="00BC15D6" w:rsidP="002312A8">
      <w:pPr>
        <w:pStyle w:val="Heading1"/>
      </w:pPr>
      <w:r w:rsidRPr="00527E1B">
        <w:rPr>
          <w:noProof/>
        </w:rPr>
        <mc:AlternateContent>
          <mc:Choice Requires="wpg">
            <w:drawing>
              <wp:anchor distT="0" distB="0" distL="114300" distR="114300" simplePos="0" relativeHeight="251658240" behindDoc="0" locked="0" layoutInCell="1" allowOverlap="1" wp14:anchorId="75E2D420" wp14:editId="2CD1DA93">
                <wp:simplePos x="0" y="0"/>
                <wp:positionH relativeFrom="margin">
                  <wp:posOffset>3924300</wp:posOffset>
                </wp:positionH>
                <wp:positionV relativeFrom="page">
                  <wp:posOffset>314324</wp:posOffset>
                </wp:positionV>
                <wp:extent cx="2475865" cy="6585585"/>
                <wp:effectExtent l="0" t="0" r="27305" b="24765"/>
                <wp:wrapSquare wrapText="bothSides"/>
                <wp:docPr id="692169643" name="Group 67"/>
                <wp:cNvGraphicFramePr/>
                <a:graphic xmlns:a="http://schemas.openxmlformats.org/drawingml/2006/main">
                  <a:graphicData uri="http://schemas.microsoft.com/office/word/2010/wordprocessingGroup">
                    <wpg:wgp>
                      <wpg:cNvGrpSpPr/>
                      <wpg:grpSpPr>
                        <a:xfrm>
                          <a:off x="0" y="0"/>
                          <a:ext cx="2475865" cy="6585585"/>
                          <a:chOff x="0" y="-218595"/>
                          <a:chExt cx="2475865" cy="9774075"/>
                        </a:xfrm>
                      </wpg:grpSpPr>
                      <wps:wsp>
                        <wps:cNvPr id="492026380" name="AutoShape 14"/>
                        <wps:cNvSpPr>
                          <a:spLocks noChangeArrowheads="1"/>
                        </wps:cNvSpPr>
                        <wps:spPr bwMode="auto">
                          <a:xfrm>
                            <a:off x="0" y="-218595"/>
                            <a:ext cx="2475865" cy="977407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5A109DBC" w14:textId="7D764988" w:rsidR="00BF0232" w:rsidRPr="00C22A57" w:rsidRDefault="00BF0232" w:rsidP="00BF0232">
                              <w:pPr>
                                <w:spacing w:before="880" w:after="240" w:line="240" w:lineRule="auto"/>
                                <w:rPr>
                                  <w:rFonts w:eastAsiaTheme="majorEastAsia" w:cstheme="majorBidi"/>
                                  <w:color w:val="156082" w:themeColor="accent1"/>
                                  <w:sz w:val="30"/>
                                  <w:szCs w:val="30"/>
                                </w:rPr>
                              </w:pPr>
                              <w:r w:rsidRPr="00C22A57">
                                <w:rPr>
                                  <w:rFonts w:eastAsiaTheme="majorEastAsia" w:cstheme="majorBidi"/>
                                  <w:color w:val="156082" w:themeColor="accent1"/>
                                  <w:sz w:val="30"/>
                                  <w:szCs w:val="30"/>
                                </w:rPr>
                                <w:t>A Note on Terminology</w:t>
                              </w:r>
                            </w:p>
                            <w:p w14:paraId="129DADF9" w14:textId="7D00AA7A" w:rsidR="00BF0232" w:rsidRPr="00A001E8" w:rsidRDefault="00BF0232" w:rsidP="00BF0232">
                              <w:pPr>
                                <w:rPr>
                                  <w:sz w:val="22"/>
                                  <w:szCs w:val="22"/>
                                </w:rPr>
                              </w:pPr>
                              <w:r w:rsidRPr="00A001E8">
                                <w:rPr>
                                  <w:sz w:val="22"/>
                                  <w:szCs w:val="22"/>
                                </w:rPr>
                                <w:t xml:space="preserve">A recurring issue when discussing bundling is terminology. Terms like distinct and identifiable, mixed transactions, separability, and others </w:t>
                              </w:r>
                              <w:r w:rsidR="003612A6" w:rsidRPr="00BC15D6">
                                <w:rPr>
                                  <w:sz w:val="22"/>
                                  <w:szCs w:val="22"/>
                                </w:rPr>
                                <w:t>often</w:t>
                              </w:r>
                              <w:r w:rsidRPr="00A001E8">
                                <w:rPr>
                                  <w:sz w:val="22"/>
                                  <w:szCs w:val="22"/>
                                </w:rPr>
                                <w:t xml:space="preserve"> have different meanings across jurisdictions</w:t>
                              </w:r>
                              <w:r w:rsidR="003612A6" w:rsidRPr="00BC15D6">
                                <w:rPr>
                                  <w:sz w:val="22"/>
                                  <w:szCs w:val="22"/>
                                </w:rPr>
                                <w:t>,</w:t>
                              </w:r>
                              <w:r w:rsidRPr="00A001E8">
                                <w:rPr>
                                  <w:sz w:val="22"/>
                                  <w:szCs w:val="22"/>
                                </w:rPr>
                                <w:t xml:space="preserve"> </w:t>
                              </w:r>
                              <w:r w:rsidR="00F8167E" w:rsidRPr="00A001E8">
                                <w:rPr>
                                  <w:sz w:val="22"/>
                                  <w:szCs w:val="22"/>
                                </w:rPr>
                                <w:t>or</w:t>
                              </w:r>
                              <w:r w:rsidRPr="00A001E8">
                                <w:rPr>
                                  <w:sz w:val="22"/>
                                  <w:szCs w:val="22"/>
                                </w:rPr>
                                <w:t xml:space="preserve"> two different terms </w:t>
                              </w:r>
                              <w:r w:rsidR="003612A6" w:rsidRPr="00BC15D6">
                                <w:rPr>
                                  <w:sz w:val="22"/>
                                  <w:szCs w:val="22"/>
                                </w:rPr>
                                <w:t>have the same</w:t>
                              </w:r>
                              <w:r w:rsidRPr="00A001E8">
                                <w:rPr>
                                  <w:sz w:val="22"/>
                                  <w:szCs w:val="22"/>
                                </w:rPr>
                                <w:t xml:space="preserve"> meaning.</w:t>
                              </w:r>
                            </w:p>
                            <w:p w14:paraId="3EACB282" w14:textId="6F7BBD83" w:rsidR="00BF0232" w:rsidRPr="00A001E8" w:rsidRDefault="00352A47" w:rsidP="00BF0232">
                              <w:pPr>
                                <w:rPr>
                                  <w:sz w:val="22"/>
                                  <w:szCs w:val="22"/>
                                </w:rPr>
                              </w:pPr>
                              <w:r w:rsidRPr="00BC15D6">
                                <w:rPr>
                                  <w:sz w:val="22"/>
                                  <w:szCs w:val="22"/>
                                </w:rPr>
                                <w:t>U</w:t>
                              </w:r>
                              <w:r w:rsidR="00BF0232" w:rsidRPr="00A001E8">
                                <w:rPr>
                                  <w:sz w:val="22"/>
                                  <w:szCs w:val="22"/>
                                </w:rPr>
                                <w:t xml:space="preserve">nder Streamlined, </w:t>
                              </w:r>
                              <w:r w:rsidR="003008D7" w:rsidRPr="00BC15D6">
                                <w:rPr>
                                  <w:sz w:val="22"/>
                                  <w:szCs w:val="22"/>
                                </w:rPr>
                                <w:t xml:space="preserve">a bundle must contain </w:t>
                              </w:r>
                              <w:r w:rsidR="00BF0232" w:rsidRPr="00A001E8">
                                <w:rPr>
                                  <w:sz w:val="22"/>
                                  <w:szCs w:val="22"/>
                                </w:rPr>
                                <w:t xml:space="preserve">“distinct and identifiable” </w:t>
                              </w:r>
                              <w:r w:rsidR="00FA2F3B" w:rsidRPr="00BC15D6">
                                <w:rPr>
                                  <w:sz w:val="22"/>
                                  <w:szCs w:val="22"/>
                                </w:rPr>
                                <w:t>products</w:t>
                              </w:r>
                              <w:r w:rsidR="003008D7" w:rsidRPr="00BC15D6">
                                <w:rPr>
                                  <w:sz w:val="22"/>
                                  <w:szCs w:val="22"/>
                                </w:rPr>
                                <w:t>. In other words</w:t>
                              </w:r>
                              <w:r w:rsidR="00BF0232" w:rsidRPr="00A001E8">
                                <w:rPr>
                                  <w:sz w:val="22"/>
                                  <w:szCs w:val="22"/>
                                </w:rPr>
                                <w:t>, the parts of a purported bundle must be distinct and identifiable.</w:t>
                              </w:r>
                            </w:p>
                            <w:p w14:paraId="2F2A73DE" w14:textId="5F0DD37B" w:rsidR="00BF0232" w:rsidRPr="00BC15D6" w:rsidRDefault="00BF0232" w:rsidP="00BF0232">
                              <w:pPr>
                                <w:rPr>
                                  <w:sz w:val="22"/>
                                  <w:szCs w:val="22"/>
                                </w:rPr>
                              </w:pPr>
                              <w:r w:rsidRPr="00A001E8">
                                <w:rPr>
                                  <w:sz w:val="22"/>
                                  <w:szCs w:val="22"/>
                                </w:rPr>
                                <w:t>However, “distinct and identifiable” is used in Texas’s description of unrelated services</w:t>
                              </w:r>
                              <w:r w:rsidR="00FB2091" w:rsidRPr="00BC15D6">
                                <w:rPr>
                                  <w:sz w:val="22"/>
                                  <w:szCs w:val="22"/>
                                </w:rPr>
                                <w:t xml:space="preserve"> </w:t>
                              </w:r>
                              <w:r w:rsidRPr="00A001E8">
                                <w:rPr>
                                  <w:sz w:val="22"/>
                                  <w:szCs w:val="22"/>
                                </w:rPr>
                                <w:t xml:space="preserve">with the opposite effect. </w:t>
                              </w:r>
                              <w:r w:rsidR="00025E41" w:rsidRPr="00BC15D6">
                                <w:rPr>
                                  <w:sz w:val="22"/>
                                  <w:szCs w:val="22"/>
                                </w:rPr>
                                <w:t>S</w:t>
                              </w:r>
                              <w:r w:rsidRPr="00A001E8">
                                <w:rPr>
                                  <w:sz w:val="22"/>
                                  <w:szCs w:val="22"/>
                                </w:rPr>
                                <w:t>ervices are unrelated if, among other requirements, they are distinct and identifiable.</w:t>
                              </w:r>
                              <w:r w:rsidRPr="00A001E8">
                                <w:rPr>
                                  <w:sz w:val="22"/>
                                  <w:szCs w:val="22"/>
                                  <w:vertAlign w:val="superscript"/>
                                </w:rPr>
                                <w:footnoteRef/>
                              </w:r>
                              <w:r w:rsidRPr="00A001E8">
                                <w:rPr>
                                  <w:sz w:val="22"/>
                                  <w:szCs w:val="22"/>
                                </w:rPr>
                                <w:t xml:space="preserve"> </w:t>
                              </w:r>
                              <w:r w:rsidR="00104102" w:rsidRPr="00BC15D6">
                                <w:rPr>
                                  <w:sz w:val="22"/>
                                  <w:szCs w:val="22"/>
                                </w:rPr>
                                <w:t xml:space="preserve">In Texas, </w:t>
                              </w:r>
                              <w:r w:rsidRPr="00A001E8">
                                <w:rPr>
                                  <w:sz w:val="22"/>
                                  <w:szCs w:val="22"/>
                                </w:rPr>
                                <w:t>distinct and identifiable service</w:t>
                              </w:r>
                              <w:r w:rsidR="00104102" w:rsidRPr="00BC15D6">
                                <w:rPr>
                                  <w:sz w:val="22"/>
                                  <w:szCs w:val="22"/>
                                </w:rPr>
                                <w:t>s</w:t>
                              </w:r>
                              <w:r w:rsidRPr="00A001E8">
                                <w:rPr>
                                  <w:sz w:val="22"/>
                                  <w:szCs w:val="22"/>
                                </w:rPr>
                                <w:t xml:space="preserve"> </w:t>
                              </w:r>
                              <w:r w:rsidR="00104102" w:rsidRPr="00BC15D6">
                                <w:rPr>
                                  <w:sz w:val="22"/>
                                  <w:szCs w:val="22"/>
                                </w:rPr>
                                <w:t>are</w:t>
                              </w:r>
                              <w:r w:rsidRPr="00A001E8">
                                <w:rPr>
                                  <w:sz w:val="22"/>
                                  <w:szCs w:val="22"/>
                                </w:rPr>
                                <w:t xml:space="preserve"> excluded from taxation</w:t>
                              </w:r>
                              <w:r w:rsidR="00104102" w:rsidRPr="00BC15D6">
                                <w:rPr>
                                  <w:sz w:val="22"/>
                                  <w:szCs w:val="22"/>
                                </w:rPr>
                                <w:t>. U</w:t>
                              </w:r>
                              <w:r w:rsidRPr="00A001E8">
                                <w:rPr>
                                  <w:sz w:val="22"/>
                                  <w:szCs w:val="22"/>
                                </w:rPr>
                                <w:t>nder the Streamlined rule</w:t>
                              </w:r>
                              <w:r w:rsidR="00104102" w:rsidRPr="00BC15D6">
                                <w:rPr>
                                  <w:sz w:val="22"/>
                                  <w:szCs w:val="22"/>
                                </w:rPr>
                                <w:t>s</w:t>
                              </w:r>
                              <w:r w:rsidRPr="00A001E8">
                                <w:rPr>
                                  <w:sz w:val="22"/>
                                  <w:szCs w:val="22"/>
                                </w:rPr>
                                <w:t>, distinct and identifiable components are included in bundles (and taxable).</w:t>
                              </w:r>
                            </w:p>
                            <w:p w14:paraId="6E6E35C9" w14:textId="273AA7A1" w:rsidR="0046465C" w:rsidRPr="00F80684" w:rsidRDefault="00E02B50" w:rsidP="0046465C">
                              <w:r w:rsidRPr="00BC15D6">
                                <w:rPr>
                                  <w:sz w:val="22"/>
                                  <w:szCs w:val="22"/>
                                </w:rPr>
                                <w:t>K</w:t>
                              </w:r>
                              <w:r w:rsidR="0046465C" w:rsidRPr="00A001E8">
                                <w:rPr>
                                  <w:sz w:val="22"/>
                                  <w:szCs w:val="22"/>
                                </w:rPr>
                                <w:t xml:space="preserve">eep in mind that terminology is not </w:t>
                              </w:r>
                              <w:r w:rsidR="00A715DF" w:rsidRPr="00BC15D6">
                                <w:rPr>
                                  <w:sz w:val="22"/>
                                  <w:szCs w:val="22"/>
                                </w:rPr>
                                <w:t xml:space="preserve">always </w:t>
                              </w:r>
                              <w:r w:rsidR="0046465C" w:rsidRPr="00A001E8">
                                <w:rPr>
                                  <w:sz w:val="22"/>
                                  <w:szCs w:val="22"/>
                                </w:rPr>
                                <w:t xml:space="preserve">uniform across </w:t>
                              </w:r>
                              <w:r w:rsidR="00A715DF" w:rsidRPr="00BC15D6">
                                <w:rPr>
                                  <w:sz w:val="22"/>
                                  <w:szCs w:val="22"/>
                                </w:rPr>
                                <w:t>jurisdictions</w:t>
                              </w:r>
                              <w:r w:rsidR="0046465C" w:rsidRPr="00A001E8">
                                <w:rPr>
                                  <w:sz w:val="22"/>
                                  <w:szCs w:val="22"/>
                                </w:rPr>
                                <w:t>.</w:t>
                              </w:r>
                            </w:p>
                            <w:p w14:paraId="0A440486" w14:textId="77777777" w:rsidR="0046465C" w:rsidRPr="00E002B8" w:rsidRDefault="0046465C" w:rsidP="00BF0232">
                              <w:pPr>
                                <w:rPr>
                                  <w:color w:val="0E2841" w:themeColor="text2"/>
                                  <w:sz w:val="21"/>
                                  <w:szCs w:val="21"/>
                                </w:rPr>
                              </w:pPr>
                            </w:p>
                          </w:txbxContent>
                        </wps:txbx>
                        <wps:bodyPr rot="0" vert="horz" wrap="square" lIns="182880" tIns="457200" rIns="182880" bIns="73152" anchor="t" anchorCtr="0" upright="1">
                          <a:noAutofit/>
                        </wps:bodyPr>
                      </wps:wsp>
                      <wps:wsp>
                        <wps:cNvPr id="1714944447" name="Rectangle 1714944447"/>
                        <wps:cNvSpPr/>
                        <wps:spPr>
                          <a:xfrm>
                            <a:off x="71919" y="494782"/>
                            <a:ext cx="2331720" cy="70421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F779F" w14:textId="77777777" w:rsidR="00BF0232" w:rsidRDefault="00BF0232" w:rsidP="00BF023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718203228" name="Rectangle 718203228"/>
                        <wps:cNvSpPr/>
                        <wps:spPr>
                          <a:xfrm>
                            <a:off x="71458" y="9225024"/>
                            <a:ext cx="2331720" cy="20210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1092E" w14:textId="77777777" w:rsidR="00BF0232" w:rsidRDefault="00BF0232" w:rsidP="00BF023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75E2D420" id="Group 67" o:spid="_x0000_s1026" style="position:absolute;margin-left:309pt;margin-top:24.75pt;width:194.95pt;height:518.55pt;z-index:251658240;mso-width-percent:320;mso-position-horizontal-relative:margin;mso-position-vertical-relative:page;mso-width-percent:320" coordorigin=",-2185" coordsize="24758,9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">
                <v:rect id="AutoShape 14" o:spid="_x0000_s1027" style="position:absolute;top:-2185;width:24758;height:97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" fillcolor="white [3212]" strokecolor="#737373 [1614]" strokeweight="1.25pt">
                  <v:textbox inset="14.4pt,36pt,14.4pt,5.76pt">
                    <w:txbxContent>
                      <w:p w14:paraId="5A109DBC" w14:textId="7D764988" w:rsidR="00BF0232" w:rsidRPr="00C22A57" w:rsidRDefault="00BF0232" w:rsidP="00BF0232">
                        <w:pPr>
                          <w:spacing w:before="880" w:after="240" w:line="240" w:lineRule="auto"/>
                          <w:rPr>
                            <w:rFonts w:eastAsiaTheme="majorEastAsia" w:cstheme="majorBidi"/>
                            <w:color w:val="156082" w:themeColor="accent1"/>
                            <w:sz w:val="30"/>
                            <w:szCs w:val="30"/>
                          </w:rPr>
                        </w:pPr>
                        <w:r w:rsidRPr="00C22A57">
                          <w:rPr>
                            <w:rFonts w:eastAsiaTheme="majorEastAsia" w:cstheme="majorBidi"/>
                            <w:color w:val="156082" w:themeColor="accent1"/>
                            <w:sz w:val="30"/>
                            <w:szCs w:val="30"/>
                          </w:rPr>
                          <w:t>A Note on Terminology</w:t>
                        </w:r>
                      </w:p>
                      <w:p w14:paraId="129DADF9" w14:textId="7D00AA7A" w:rsidR="00BF0232" w:rsidRPr="00A001E8" w:rsidRDefault="00BF0232" w:rsidP="00BF0232">
                        <w:pPr>
                          <w:rPr>
                            <w:sz w:val="22"/>
                            <w:szCs w:val="22"/>
                          </w:rPr>
                        </w:pPr>
                        <w:r w:rsidRPr="00A001E8">
                          <w:rPr>
                            <w:sz w:val="22"/>
                            <w:szCs w:val="22"/>
                          </w:rPr>
                          <w:t xml:space="preserve">A recurring issue when discussing bundling is terminology. Terms like distinct and identifiable, mixed transactions, separability, and others </w:t>
                        </w:r>
                        <w:r w:rsidR="003612A6" w:rsidRPr="00BC15D6">
                          <w:rPr>
                            <w:sz w:val="22"/>
                            <w:szCs w:val="22"/>
                          </w:rPr>
                          <w:t>often</w:t>
                        </w:r>
                        <w:r w:rsidRPr="00A001E8">
                          <w:rPr>
                            <w:sz w:val="22"/>
                            <w:szCs w:val="22"/>
                          </w:rPr>
                          <w:t xml:space="preserve"> have different meanings across jurisdictions</w:t>
                        </w:r>
                        <w:r w:rsidR="003612A6" w:rsidRPr="00BC15D6">
                          <w:rPr>
                            <w:sz w:val="22"/>
                            <w:szCs w:val="22"/>
                          </w:rPr>
                          <w:t>,</w:t>
                        </w:r>
                        <w:r w:rsidRPr="00A001E8">
                          <w:rPr>
                            <w:sz w:val="22"/>
                            <w:szCs w:val="22"/>
                          </w:rPr>
                          <w:t xml:space="preserve"> </w:t>
                        </w:r>
                        <w:r w:rsidR="00F8167E" w:rsidRPr="00A001E8">
                          <w:rPr>
                            <w:sz w:val="22"/>
                            <w:szCs w:val="22"/>
                          </w:rPr>
                          <w:t>or</w:t>
                        </w:r>
                        <w:r w:rsidRPr="00A001E8">
                          <w:rPr>
                            <w:sz w:val="22"/>
                            <w:szCs w:val="22"/>
                          </w:rPr>
                          <w:t xml:space="preserve"> two different terms </w:t>
                        </w:r>
                        <w:r w:rsidR="003612A6" w:rsidRPr="00BC15D6">
                          <w:rPr>
                            <w:sz w:val="22"/>
                            <w:szCs w:val="22"/>
                          </w:rPr>
                          <w:t>have the same</w:t>
                        </w:r>
                        <w:r w:rsidRPr="00A001E8">
                          <w:rPr>
                            <w:sz w:val="22"/>
                            <w:szCs w:val="22"/>
                          </w:rPr>
                          <w:t xml:space="preserve"> meaning.</w:t>
                        </w:r>
                      </w:p>
                      <w:p w14:paraId="3EACB282" w14:textId="6F7BBD83" w:rsidR="00BF0232" w:rsidRPr="00A001E8" w:rsidRDefault="00352A47" w:rsidP="00BF0232">
                        <w:pPr>
                          <w:rPr>
                            <w:sz w:val="22"/>
                            <w:szCs w:val="22"/>
                          </w:rPr>
                        </w:pPr>
                        <w:r w:rsidRPr="00BC15D6">
                          <w:rPr>
                            <w:sz w:val="22"/>
                            <w:szCs w:val="22"/>
                          </w:rPr>
                          <w:t>U</w:t>
                        </w:r>
                        <w:r w:rsidR="00BF0232" w:rsidRPr="00A001E8">
                          <w:rPr>
                            <w:sz w:val="22"/>
                            <w:szCs w:val="22"/>
                          </w:rPr>
                          <w:t xml:space="preserve">nder Streamlined, </w:t>
                        </w:r>
                        <w:r w:rsidR="003008D7" w:rsidRPr="00BC15D6">
                          <w:rPr>
                            <w:sz w:val="22"/>
                            <w:szCs w:val="22"/>
                          </w:rPr>
                          <w:t xml:space="preserve">a bundle must contain </w:t>
                        </w:r>
                        <w:r w:rsidR="00BF0232" w:rsidRPr="00A001E8">
                          <w:rPr>
                            <w:sz w:val="22"/>
                            <w:szCs w:val="22"/>
                          </w:rPr>
                          <w:t xml:space="preserve">“distinct and identifiable” </w:t>
                        </w:r>
                        <w:r w:rsidR="00FA2F3B" w:rsidRPr="00BC15D6">
                          <w:rPr>
                            <w:sz w:val="22"/>
                            <w:szCs w:val="22"/>
                          </w:rPr>
                          <w:t>products</w:t>
                        </w:r>
                        <w:r w:rsidR="003008D7" w:rsidRPr="00BC15D6">
                          <w:rPr>
                            <w:sz w:val="22"/>
                            <w:szCs w:val="22"/>
                          </w:rPr>
                          <w:t>. In other words</w:t>
                        </w:r>
                        <w:r w:rsidR="00BF0232" w:rsidRPr="00A001E8">
                          <w:rPr>
                            <w:sz w:val="22"/>
                            <w:szCs w:val="22"/>
                          </w:rPr>
                          <w:t>, the parts of a purported bundle must be distinct and identifiable.</w:t>
                        </w:r>
                      </w:p>
                      <w:p w14:paraId="2F2A73DE" w14:textId="5F0DD37B" w:rsidR="00BF0232" w:rsidRPr="00BC15D6" w:rsidRDefault="00BF0232" w:rsidP="00BF0232">
                        <w:pPr>
                          <w:rPr>
                            <w:sz w:val="22"/>
                            <w:szCs w:val="22"/>
                          </w:rPr>
                        </w:pPr>
                        <w:r w:rsidRPr="00A001E8">
                          <w:rPr>
                            <w:sz w:val="22"/>
                            <w:szCs w:val="22"/>
                          </w:rPr>
                          <w:t>However, “distinct and identifiable” is used in Texas’s description of unrelated services</w:t>
                        </w:r>
                        <w:r w:rsidR="00FB2091" w:rsidRPr="00BC15D6">
                          <w:rPr>
                            <w:sz w:val="22"/>
                            <w:szCs w:val="22"/>
                          </w:rPr>
                          <w:t xml:space="preserve"> </w:t>
                        </w:r>
                        <w:r w:rsidRPr="00A001E8">
                          <w:rPr>
                            <w:sz w:val="22"/>
                            <w:szCs w:val="22"/>
                          </w:rPr>
                          <w:t xml:space="preserve">with the opposite effect. </w:t>
                        </w:r>
                        <w:r w:rsidR="00025E41" w:rsidRPr="00BC15D6">
                          <w:rPr>
                            <w:sz w:val="22"/>
                            <w:szCs w:val="22"/>
                          </w:rPr>
                          <w:t>S</w:t>
                        </w:r>
                        <w:r w:rsidRPr="00A001E8">
                          <w:rPr>
                            <w:sz w:val="22"/>
                            <w:szCs w:val="22"/>
                          </w:rPr>
                          <w:t>ervices are unrelated if, among other requirements, they are distinct and identifiable.</w:t>
                        </w:r>
                        <w:r w:rsidRPr="00A001E8">
                          <w:rPr>
                            <w:sz w:val="22"/>
                            <w:szCs w:val="22"/>
                            <w:vertAlign w:val="superscript"/>
                          </w:rPr>
                          <w:footnoteRef/>
                        </w:r>
                        <w:r w:rsidRPr="00A001E8">
                          <w:rPr>
                            <w:sz w:val="22"/>
                            <w:szCs w:val="22"/>
                          </w:rPr>
                          <w:t xml:space="preserve"> </w:t>
                        </w:r>
                        <w:r w:rsidR="00104102" w:rsidRPr="00BC15D6">
                          <w:rPr>
                            <w:sz w:val="22"/>
                            <w:szCs w:val="22"/>
                          </w:rPr>
                          <w:t xml:space="preserve">In Texas, </w:t>
                        </w:r>
                        <w:r w:rsidRPr="00A001E8">
                          <w:rPr>
                            <w:sz w:val="22"/>
                            <w:szCs w:val="22"/>
                          </w:rPr>
                          <w:t>distinct and identifiable service</w:t>
                        </w:r>
                        <w:r w:rsidR="00104102" w:rsidRPr="00BC15D6">
                          <w:rPr>
                            <w:sz w:val="22"/>
                            <w:szCs w:val="22"/>
                          </w:rPr>
                          <w:t>s</w:t>
                        </w:r>
                        <w:r w:rsidRPr="00A001E8">
                          <w:rPr>
                            <w:sz w:val="22"/>
                            <w:szCs w:val="22"/>
                          </w:rPr>
                          <w:t xml:space="preserve"> </w:t>
                        </w:r>
                        <w:r w:rsidR="00104102" w:rsidRPr="00BC15D6">
                          <w:rPr>
                            <w:sz w:val="22"/>
                            <w:szCs w:val="22"/>
                          </w:rPr>
                          <w:t>are</w:t>
                        </w:r>
                        <w:r w:rsidRPr="00A001E8">
                          <w:rPr>
                            <w:sz w:val="22"/>
                            <w:szCs w:val="22"/>
                          </w:rPr>
                          <w:t xml:space="preserve"> excluded from taxation</w:t>
                        </w:r>
                        <w:r w:rsidR="00104102" w:rsidRPr="00BC15D6">
                          <w:rPr>
                            <w:sz w:val="22"/>
                            <w:szCs w:val="22"/>
                          </w:rPr>
                          <w:t>. U</w:t>
                        </w:r>
                        <w:r w:rsidRPr="00A001E8">
                          <w:rPr>
                            <w:sz w:val="22"/>
                            <w:szCs w:val="22"/>
                          </w:rPr>
                          <w:t>nder the Streamlined rule</w:t>
                        </w:r>
                        <w:r w:rsidR="00104102" w:rsidRPr="00BC15D6">
                          <w:rPr>
                            <w:sz w:val="22"/>
                            <w:szCs w:val="22"/>
                          </w:rPr>
                          <w:t>s</w:t>
                        </w:r>
                        <w:r w:rsidRPr="00A001E8">
                          <w:rPr>
                            <w:sz w:val="22"/>
                            <w:szCs w:val="22"/>
                          </w:rPr>
                          <w:t>, distinct and identifiable components are included in bundles (and taxable).</w:t>
                        </w:r>
                      </w:p>
                      <w:p w14:paraId="6E6E35C9" w14:textId="273AA7A1" w:rsidR="0046465C" w:rsidRPr="00F80684" w:rsidRDefault="00E02B50" w:rsidP="0046465C">
                        <w:r w:rsidRPr="00BC15D6">
                          <w:rPr>
                            <w:sz w:val="22"/>
                            <w:szCs w:val="22"/>
                          </w:rPr>
                          <w:t>K</w:t>
                        </w:r>
                        <w:r w:rsidR="0046465C" w:rsidRPr="00A001E8">
                          <w:rPr>
                            <w:sz w:val="22"/>
                            <w:szCs w:val="22"/>
                          </w:rPr>
                          <w:t xml:space="preserve">eep in mind that terminology is not </w:t>
                        </w:r>
                        <w:r w:rsidR="00A715DF" w:rsidRPr="00BC15D6">
                          <w:rPr>
                            <w:sz w:val="22"/>
                            <w:szCs w:val="22"/>
                          </w:rPr>
                          <w:t xml:space="preserve">always </w:t>
                        </w:r>
                        <w:r w:rsidR="0046465C" w:rsidRPr="00A001E8">
                          <w:rPr>
                            <w:sz w:val="22"/>
                            <w:szCs w:val="22"/>
                          </w:rPr>
                          <w:t xml:space="preserve">uniform across </w:t>
                        </w:r>
                        <w:r w:rsidR="00A715DF" w:rsidRPr="00BC15D6">
                          <w:rPr>
                            <w:sz w:val="22"/>
                            <w:szCs w:val="22"/>
                          </w:rPr>
                          <w:t>jurisdictions</w:t>
                        </w:r>
                        <w:r w:rsidR="0046465C" w:rsidRPr="00A001E8">
                          <w:rPr>
                            <w:sz w:val="22"/>
                            <w:szCs w:val="22"/>
                          </w:rPr>
                          <w:t>.</w:t>
                        </w:r>
                      </w:p>
                      <w:p w14:paraId="0A440486" w14:textId="77777777" w:rsidR="0046465C" w:rsidRPr="00E002B8" w:rsidRDefault="0046465C" w:rsidP="00BF0232">
                        <w:pPr>
                          <w:rPr>
                            <w:color w:val="0E2841" w:themeColor="text2"/>
                            <w:sz w:val="21"/>
                            <w:szCs w:val="21"/>
                          </w:rPr>
                        </w:pPr>
                      </w:p>
                    </w:txbxContent>
                  </v:textbox>
                </v:rect>
                <v:rect id="Rectangle 1714944447" o:spid="_x0000_s1028" style="position:absolute;left:719;top:4947;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" fillcolor="#0e2841 [3215]" stroked="f" strokeweight="1pt">
                  <v:textbox inset="14.4pt,14.4pt,14.4pt,28.8pt">
                    <w:txbxContent>
                      <w:p w14:paraId="001F779F" w14:textId="77777777" w:rsidR="00BF0232" w:rsidRDefault="00BF0232" w:rsidP="00BF0232">
                        <w:pPr>
                          <w:spacing w:before="240"/>
                          <w:rPr>
                            <w:color w:val="FFFFFF" w:themeColor="background1"/>
                          </w:rPr>
                        </w:pPr>
                      </w:p>
                    </w:txbxContent>
                  </v:textbox>
                </v:rect>
                <v:rect id="Rectangle 718203228" o:spid="_x0000_s1029" style="position:absolute;left:714;top:92250;width:23317;height:202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" fillcolor="#156082 [3204]" stroked="f" strokeweight="1pt">
                  <v:textbox inset="14.4pt,14.4pt,14.4pt,28.8pt">
                    <w:txbxContent>
                      <w:p w14:paraId="7DC1092E" w14:textId="77777777" w:rsidR="00BF0232" w:rsidRDefault="00BF0232" w:rsidP="00BF0232">
                        <w:pPr>
                          <w:spacing w:before="240"/>
                          <w:rPr>
                            <w:color w:val="FFFFFF" w:themeColor="background1"/>
                          </w:rPr>
                        </w:pPr>
                      </w:p>
                    </w:txbxContent>
                  </v:textbox>
                </v:rect>
                <w10:wrap type="square" anchorx="margin" anchory="page"/>
              </v:group>
            </w:pict>
          </mc:Fallback>
        </mc:AlternateContent>
      </w:r>
      <w:r w:rsidR="00454A60">
        <w:t>5</w:t>
      </w:r>
      <w:r w:rsidR="00DD0DF4">
        <w:t xml:space="preserve">. </w:t>
      </w:r>
      <w:r w:rsidR="00EC0B3C">
        <w:t>W</w:t>
      </w:r>
      <w:r w:rsidR="00825940" w:rsidRPr="009357D0">
        <w:t xml:space="preserve">hy </w:t>
      </w:r>
      <w:r w:rsidR="00754F92" w:rsidRPr="009357D0">
        <w:t xml:space="preserve">and how </w:t>
      </w:r>
      <w:r w:rsidR="00825940" w:rsidRPr="009357D0">
        <w:t>state</w:t>
      </w:r>
      <w:r w:rsidR="00D853BC" w:rsidRPr="009357D0">
        <w:t>s</w:t>
      </w:r>
      <w:r w:rsidR="00825940" w:rsidRPr="009357D0">
        <w:t xml:space="preserve"> have developed bundling</w:t>
      </w:r>
      <w:r w:rsidR="00D853BC" w:rsidRPr="009357D0">
        <w:t xml:space="preserve"> rules</w:t>
      </w:r>
    </w:p>
    <w:p w14:paraId="767F99A1" w14:textId="628EFAEF" w:rsidR="00E25BA4" w:rsidRPr="00C40A11" w:rsidRDefault="001A03DE" w:rsidP="00E25BA4">
      <w:pPr>
        <w:rPr>
          <w:sz w:val="26"/>
          <w:szCs w:val="26"/>
        </w:rPr>
      </w:pPr>
      <w:r>
        <w:rPr>
          <w:sz w:val="26"/>
          <w:szCs w:val="26"/>
        </w:rPr>
        <w:t xml:space="preserve">State tax administrators and taxpayers </w:t>
      </w:r>
      <w:r w:rsidR="00413019">
        <w:rPr>
          <w:sz w:val="26"/>
          <w:szCs w:val="26"/>
        </w:rPr>
        <w:t xml:space="preserve">use </w:t>
      </w:r>
      <w:r>
        <w:rPr>
          <w:sz w:val="26"/>
          <w:szCs w:val="26"/>
        </w:rPr>
        <w:t>the term “b</w:t>
      </w:r>
      <w:r w:rsidR="00E25BA4" w:rsidRPr="00C40A11">
        <w:rPr>
          <w:sz w:val="26"/>
          <w:szCs w:val="26"/>
        </w:rPr>
        <w:t>undling</w:t>
      </w:r>
      <w:r>
        <w:rPr>
          <w:sz w:val="26"/>
          <w:szCs w:val="26"/>
        </w:rPr>
        <w:t>”</w:t>
      </w:r>
      <w:r w:rsidR="00E25BA4" w:rsidRPr="00C40A11">
        <w:rPr>
          <w:sz w:val="26"/>
          <w:szCs w:val="26"/>
        </w:rPr>
        <w:t xml:space="preserve"> </w:t>
      </w:r>
      <w:r>
        <w:rPr>
          <w:sz w:val="26"/>
          <w:szCs w:val="26"/>
        </w:rPr>
        <w:t>in sales and us</w:t>
      </w:r>
      <w:r w:rsidR="00B64859">
        <w:rPr>
          <w:sz w:val="26"/>
          <w:szCs w:val="26"/>
        </w:rPr>
        <w:t>e tax</w:t>
      </w:r>
      <w:r>
        <w:rPr>
          <w:sz w:val="26"/>
          <w:szCs w:val="26"/>
        </w:rPr>
        <w:t xml:space="preserve"> systems</w:t>
      </w:r>
      <w:r w:rsidR="00B64859">
        <w:rPr>
          <w:sz w:val="26"/>
          <w:szCs w:val="26"/>
        </w:rPr>
        <w:t xml:space="preserve"> </w:t>
      </w:r>
      <w:r>
        <w:rPr>
          <w:sz w:val="26"/>
          <w:szCs w:val="26"/>
        </w:rPr>
        <w:t xml:space="preserve">to address situations when </w:t>
      </w:r>
      <w:r w:rsidR="00E25BA4" w:rsidRPr="00C40A11">
        <w:rPr>
          <w:sz w:val="26"/>
          <w:szCs w:val="26"/>
        </w:rPr>
        <w:t xml:space="preserve">a </w:t>
      </w:r>
      <w:r w:rsidR="00B64859">
        <w:rPr>
          <w:sz w:val="26"/>
          <w:szCs w:val="26"/>
        </w:rPr>
        <w:t xml:space="preserve">nontaxable </w:t>
      </w:r>
      <w:r w:rsidR="00E25BA4" w:rsidRPr="00C40A11">
        <w:rPr>
          <w:sz w:val="26"/>
          <w:szCs w:val="26"/>
        </w:rPr>
        <w:t xml:space="preserve">product </w:t>
      </w:r>
      <w:r>
        <w:rPr>
          <w:sz w:val="26"/>
          <w:szCs w:val="26"/>
        </w:rPr>
        <w:t xml:space="preserve">is </w:t>
      </w:r>
      <w:r w:rsidR="00E25BA4" w:rsidRPr="00C40A11">
        <w:rPr>
          <w:sz w:val="26"/>
          <w:szCs w:val="26"/>
        </w:rPr>
        <w:t xml:space="preserve">sold </w:t>
      </w:r>
      <w:r w:rsidR="00C40A11">
        <w:rPr>
          <w:sz w:val="26"/>
          <w:szCs w:val="26"/>
        </w:rPr>
        <w:t xml:space="preserve">for a single price </w:t>
      </w:r>
      <w:r w:rsidR="00E25BA4" w:rsidRPr="00C40A11">
        <w:rPr>
          <w:sz w:val="26"/>
          <w:szCs w:val="26"/>
        </w:rPr>
        <w:t>with (</w:t>
      </w:r>
      <w:r w:rsidR="00B64859">
        <w:rPr>
          <w:sz w:val="26"/>
          <w:szCs w:val="26"/>
        </w:rPr>
        <w:t xml:space="preserve">i.e., </w:t>
      </w:r>
      <w:r w:rsidR="00E25BA4" w:rsidRPr="00C40A11">
        <w:rPr>
          <w:sz w:val="26"/>
          <w:szCs w:val="26"/>
        </w:rPr>
        <w:t xml:space="preserve">bundled with) </w:t>
      </w:r>
      <w:r w:rsidR="00B64859">
        <w:rPr>
          <w:sz w:val="26"/>
          <w:szCs w:val="26"/>
        </w:rPr>
        <w:t>one or more other</w:t>
      </w:r>
      <w:r w:rsidR="00E25BA4" w:rsidRPr="00C40A11">
        <w:rPr>
          <w:sz w:val="26"/>
          <w:szCs w:val="26"/>
        </w:rPr>
        <w:t xml:space="preserve"> </w:t>
      </w:r>
      <w:r>
        <w:rPr>
          <w:sz w:val="26"/>
          <w:szCs w:val="26"/>
        </w:rPr>
        <w:t xml:space="preserve">taxable </w:t>
      </w:r>
      <w:r w:rsidR="00E25BA4" w:rsidRPr="00C40A11">
        <w:rPr>
          <w:sz w:val="26"/>
          <w:szCs w:val="26"/>
        </w:rPr>
        <w:t>product</w:t>
      </w:r>
      <w:r w:rsidR="00B64859">
        <w:rPr>
          <w:sz w:val="26"/>
          <w:szCs w:val="26"/>
        </w:rPr>
        <w:t>s</w:t>
      </w:r>
      <w:r w:rsidR="00EC0B3C">
        <w:rPr>
          <w:sz w:val="26"/>
          <w:szCs w:val="26"/>
        </w:rPr>
        <w:t>,</w:t>
      </w:r>
      <w:r w:rsidR="00E25BA4" w:rsidRPr="00C40A11">
        <w:rPr>
          <w:sz w:val="26"/>
          <w:szCs w:val="26"/>
        </w:rPr>
        <w:t xml:space="preserve"> </w:t>
      </w:r>
      <w:r>
        <w:rPr>
          <w:sz w:val="26"/>
          <w:szCs w:val="26"/>
        </w:rPr>
        <w:t>which may result in the non-taxable product being subject to tax</w:t>
      </w:r>
      <w:r w:rsidR="00E25BA4" w:rsidRPr="00C40A11">
        <w:rPr>
          <w:sz w:val="26"/>
          <w:szCs w:val="26"/>
        </w:rPr>
        <w:t xml:space="preserve">. </w:t>
      </w:r>
      <w:r w:rsidR="00EC0B3C">
        <w:rPr>
          <w:sz w:val="26"/>
          <w:szCs w:val="26"/>
        </w:rPr>
        <w:t xml:space="preserve">Taxpayers and tax administrators in states with </w:t>
      </w:r>
      <w:r w:rsidR="00733BF4">
        <w:rPr>
          <w:sz w:val="26"/>
          <w:szCs w:val="26"/>
        </w:rPr>
        <w:t>broad</w:t>
      </w:r>
      <w:r w:rsidR="00EC0B3C">
        <w:rPr>
          <w:sz w:val="26"/>
          <w:szCs w:val="26"/>
        </w:rPr>
        <w:t>er</w:t>
      </w:r>
      <w:r w:rsidR="00733BF4">
        <w:rPr>
          <w:sz w:val="26"/>
          <w:szCs w:val="26"/>
        </w:rPr>
        <w:t xml:space="preserve"> sales and use </w:t>
      </w:r>
      <w:r w:rsidR="00E25BA4" w:rsidRPr="00C40A11">
        <w:rPr>
          <w:sz w:val="26"/>
          <w:szCs w:val="26"/>
        </w:rPr>
        <w:t>tax</w:t>
      </w:r>
      <w:r w:rsidR="00EC0B3C">
        <w:rPr>
          <w:sz w:val="26"/>
          <w:szCs w:val="26"/>
        </w:rPr>
        <w:t>es</w:t>
      </w:r>
      <w:r w:rsidR="00E25BA4" w:rsidRPr="00C40A11">
        <w:rPr>
          <w:sz w:val="26"/>
          <w:szCs w:val="26"/>
        </w:rPr>
        <w:t xml:space="preserve">—one that either exempts or taxes all products—will not face </w:t>
      </w:r>
      <w:r w:rsidR="00EC0B3C">
        <w:rPr>
          <w:sz w:val="26"/>
          <w:szCs w:val="26"/>
        </w:rPr>
        <w:t xml:space="preserve">as many bundling issues because it is </w:t>
      </w:r>
      <w:r w:rsidR="00E25BA4" w:rsidRPr="00C40A11">
        <w:rPr>
          <w:sz w:val="26"/>
          <w:szCs w:val="26"/>
        </w:rPr>
        <w:t xml:space="preserve">the distinctions within the sales tax </w:t>
      </w:r>
      <w:r w:rsidR="003B4F72">
        <w:rPr>
          <w:sz w:val="26"/>
          <w:szCs w:val="26"/>
        </w:rPr>
        <w:t xml:space="preserve">base </w:t>
      </w:r>
      <w:r w:rsidR="00E25BA4" w:rsidRPr="00C40A11">
        <w:rPr>
          <w:sz w:val="26"/>
          <w:szCs w:val="26"/>
        </w:rPr>
        <w:t xml:space="preserve">that create the </w:t>
      </w:r>
      <w:r w:rsidR="00EC0B3C">
        <w:rPr>
          <w:sz w:val="26"/>
          <w:szCs w:val="26"/>
        </w:rPr>
        <w:t>need for b</w:t>
      </w:r>
      <w:r w:rsidR="00E25BA4" w:rsidRPr="00C40A11">
        <w:rPr>
          <w:sz w:val="26"/>
          <w:szCs w:val="26"/>
        </w:rPr>
        <w:t>undling</w:t>
      </w:r>
      <w:r w:rsidR="00EC0B3C">
        <w:rPr>
          <w:sz w:val="26"/>
          <w:szCs w:val="26"/>
        </w:rPr>
        <w:t xml:space="preserve"> rules</w:t>
      </w:r>
      <w:r w:rsidR="006D2E5C">
        <w:rPr>
          <w:sz w:val="26"/>
          <w:szCs w:val="26"/>
        </w:rPr>
        <w:t>.</w:t>
      </w:r>
    </w:p>
    <w:p w14:paraId="1835A1D6" w14:textId="7D572113" w:rsidR="00E25BA4" w:rsidRPr="00C40A11" w:rsidRDefault="00E25BA4" w:rsidP="00E25BA4">
      <w:pPr>
        <w:rPr>
          <w:sz w:val="26"/>
          <w:szCs w:val="26"/>
        </w:rPr>
      </w:pPr>
      <w:r w:rsidRPr="00C40A11">
        <w:rPr>
          <w:sz w:val="26"/>
          <w:szCs w:val="26"/>
        </w:rPr>
        <w:t>The true object test</w:t>
      </w:r>
      <w:r w:rsidR="00885DFD" w:rsidRPr="00C40A11">
        <w:rPr>
          <w:rStyle w:val="FootnoteReference"/>
          <w:sz w:val="26"/>
          <w:szCs w:val="26"/>
        </w:rPr>
        <w:footnoteReference w:id="5"/>
      </w:r>
      <w:r w:rsidRPr="00C40A11">
        <w:rPr>
          <w:sz w:val="26"/>
          <w:szCs w:val="26"/>
        </w:rPr>
        <w:t xml:space="preserve"> is the original bundling rule. It is used to determine whether a transaction is classified by its taxable portion or by its nontaxable portion.</w:t>
      </w:r>
      <w:r w:rsidRPr="00C40A11">
        <w:rPr>
          <w:rStyle w:val="FootnoteReference"/>
          <w:sz w:val="26"/>
          <w:szCs w:val="26"/>
        </w:rPr>
        <w:footnoteReference w:id="6"/>
      </w:r>
      <w:r w:rsidRPr="00C40A11">
        <w:rPr>
          <w:sz w:val="26"/>
          <w:szCs w:val="26"/>
        </w:rPr>
        <w:t xml:space="preserve"> Typically, the distinction is needed between taxable tangible personal property and nontaxable services or intangibles.</w:t>
      </w:r>
      <w:r w:rsidRPr="00C40A11">
        <w:rPr>
          <w:rStyle w:val="FootnoteReference"/>
          <w:sz w:val="26"/>
          <w:szCs w:val="26"/>
        </w:rPr>
        <w:footnoteReference w:id="7"/>
      </w:r>
      <w:r w:rsidRPr="00C40A11">
        <w:rPr>
          <w:sz w:val="26"/>
          <w:szCs w:val="26"/>
        </w:rPr>
        <w:t xml:space="preserve"> There are also alternative tests, including </w:t>
      </w:r>
      <w:r w:rsidRPr="00C40A11">
        <w:rPr>
          <w:sz w:val="26"/>
          <w:szCs w:val="26"/>
        </w:rPr>
        <w:lastRenderedPageBreak/>
        <w:t>the mixed transactions doctrine,</w:t>
      </w:r>
      <w:r w:rsidRPr="00C40A11">
        <w:rPr>
          <w:rStyle w:val="FootnoteReference"/>
          <w:sz w:val="26"/>
          <w:szCs w:val="26"/>
        </w:rPr>
        <w:footnoteReference w:id="8"/>
      </w:r>
      <w:r w:rsidRPr="00C40A11">
        <w:rPr>
          <w:sz w:val="26"/>
          <w:szCs w:val="26"/>
        </w:rPr>
        <w:t xml:space="preserve"> the incidental to service test,</w:t>
      </w:r>
      <w:r w:rsidRPr="00C40A11">
        <w:rPr>
          <w:rStyle w:val="FootnoteReference"/>
          <w:sz w:val="26"/>
          <w:szCs w:val="26"/>
        </w:rPr>
        <w:footnoteReference w:id="9"/>
      </w:r>
      <w:r w:rsidRPr="00C40A11">
        <w:rPr>
          <w:sz w:val="26"/>
          <w:szCs w:val="26"/>
        </w:rPr>
        <w:t xml:space="preserve"> and the common understanding test.</w:t>
      </w:r>
      <w:r w:rsidRPr="00C40A11">
        <w:rPr>
          <w:rStyle w:val="FootnoteReference"/>
          <w:sz w:val="26"/>
          <w:szCs w:val="26"/>
        </w:rPr>
        <w:footnoteReference w:id="10"/>
      </w:r>
    </w:p>
    <w:p w14:paraId="4619A5C8" w14:textId="222A2E6D" w:rsidR="00A001E8" w:rsidRPr="003B16D5" w:rsidRDefault="00E25BA4" w:rsidP="003B16D5">
      <w:pPr>
        <w:rPr>
          <w:sz w:val="26"/>
          <w:szCs w:val="26"/>
        </w:rPr>
      </w:pPr>
      <w:r w:rsidRPr="00C40A11">
        <w:rPr>
          <w:sz w:val="26"/>
          <w:szCs w:val="26"/>
        </w:rPr>
        <w:t xml:space="preserve">The true object test is not the end of it though. </w:t>
      </w:r>
      <w:r w:rsidR="00497BE1">
        <w:rPr>
          <w:sz w:val="26"/>
          <w:szCs w:val="26"/>
        </w:rPr>
        <w:t>S</w:t>
      </w:r>
      <w:r w:rsidRPr="00C40A11">
        <w:rPr>
          <w:sz w:val="26"/>
          <w:szCs w:val="26"/>
        </w:rPr>
        <w:t xml:space="preserve">tates have developed statutes and rules to directly define and address bundled transactions. In particular, the Streamlined Sales Tax </w:t>
      </w:r>
      <w:r w:rsidR="004C26E1">
        <w:rPr>
          <w:sz w:val="26"/>
          <w:szCs w:val="26"/>
        </w:rPr>
        <w:t>Governing Board, Inc.</w:t>
      </w:r>
      <w:r w:rsidRPr="00C40A11">
        <w:rPr>
          <w:sz w:val="26"/>
          <w:szCs w:val="26"/>
        </w:rPr>
        <w:t xml:space="preserve"> (Streamlined) has developed a comprehensive </w:t>
      </w:r>
      <w:r w:rsidR="00FD7D7E">
        <w:rPr>
          <w:sz w:val="26"/>
          <w:szCs w:val="26"/>
        </w:rPr>
        <w:t>set of rules</w:t>
      </w:r>
      <w:r w:rsidR="00C40A11">
        <w:rPr>
          <w:sz w:val="26"/>
          <w:szCs w:val="26"/>
        </w:rPr>
        <w:t xml:space="preserve"> </w:t>
      </w:r>
      <w:r w:rsidRPr="00C40A11">
        <w:rPr>
          <w:sz w:val="26"/>
          <w:szCs w:val="26"/>
        </w:rPr>
        <w:t>for the question. It has been adopted by all Streamlined member states.</w:t>
      </w:r>
      <w:r w:rsidRPr="00C40A11">
        <w:rPr>
          <w:rStyle w:val="FootnoteReference"/>
          <w:sz w:val="26"/>
          <w:szCs w:val="26"/>
        </w:rPr>
        <w:footnoteReference w:id="11"/>
      </w:r>
    </w:p>
    <w:p w14:paraId="261CF391" w14:textId="1884C30C" w:rsidR="00D853BC" w:rsidRPr="009357D0" w:rsidRDefault="00454A60" w:rsidP="00DD0DF4">
      <w:pPr>
        <w:pStyle w:val="Heading1"/>
      </w:pPr>
      <w:r>
        <w:t>6</w:t>
      </w:r>
      <w:r w:rsidR="00DD0DF4">
        <w:t xml:space="preserve">. </w:t>
      </w:r>
      <w:r w:rsidR="00C71858" w:rsidRPr="009357D0">
        <w:t xml:space="preserve">Results of staff research into current state practices </w:t>
      </w:r>
      <w:r w:rsidR="00C07171" w:rsidRPr="009357D0">
        <w:t>on</w:t>
      </w:r>
      <w:r w:rsidR="00C71858" w:rsidRPr="009357D0">
        <w:t xml:space="preserve"> bundling</w:t>
      </w:r>
    </w:p>
    <w:p w14:paraId="028F7E4C" w14:textId="668620CB" w:rsidR="00B4236C" w:rsidRDefault="0074249A" w:rsidP="007B7491">
      <w:pPr>
        <w:pStyle w:val="Heading2"/>
      </w:pPr>
      <w:r>
        <w:t>A</w:t>
      </w:r>
      <w:r w:rsidR="00DD0DF4">
        <w:t xml:space="preserve">. </w:t>
      </w:r>
      <w:r w:rsidR="00C71858" w:rsidRPr="00F13587">
        <w:t xml:space="preserve">Streamlined </w:t>
      </w:r>
      <w:bookmarkStart w:id="1" w:name="_Hlk174080956"/>
      <w:r w:rsidR="00C5322F">
        <w:t>States</w:t>
      </w:r>
    </w:p>
    <w:p w14:paraId="66331845" w14:textId="5FEA7E2C" w:rsidR="007B7491" w:rsidRPr="007B7491" w:rsidRDefault="007B7491" w:rsidP="007B7491">
      <w:pPr>
        <w:pStyle w:val="Heading2"/>
        <w:numPr>
          <w:ilvl w:val="0"/>
          <w:numId w:val="5"/>
        </w:numPr>
        <w:rPr>
          <w:sz w:val="28"/>
          <w:szCs w:val="28"/>
        </w:rPr>
      </w:pPr>
      <w:r>
        <w:rPr>
          <w:rStyle w:val="Heading3Char"/>
        </w:rPr>
        <w:t>Streamlined Basics</w:t>
      </w:r>
    </w:p>
    <w:p w14:paraId="295BABF4" w14:textId="31751E1D" w:rsidR="007B7491" w:rsidRDefault="007B7491" w:rsidP="007B7491">
      <w:r>
        <w:t xml:space="preserve">As mentioned above, the Streamlined Sales Tax </w:t>
      </w:r>
      <w:r w:rsidR="00A2704D">
        <w:t>Governing Board, Inc.</w:t>
      </w:r>
      <w:r>
        <w:t xml:space="preserve"> has developed a comprehensive set of rules governing bundling.</w:t>
      </w:r>
      <w:r>
        <w:rPr>
          <w:rStyle w:val="FootnoteReference"/>
        </w:rPr>
        <w:footnoteReference w:id="12"/>
      </w:r>
      <w:r>
        <w:t xml:space="preserve"> Still, there is variation among Streamlined states. Nevada is one state that has adopted the Streamlined bundling rules nearly exactly as they appear in the Streamlined Agreement.</w:t>
      </w:r>
      <w:r>
        <w:rPr>
          <w:rStyle w:val="FootnoteReference"/>
        </w:rPr>
        <w:footnoteReference w:id="13"/>
      </w:r>
    </w:p>
    <w:p w14:paraId="46FE6B00" w14:textId="17710425" w:rsidR="007B7491" w:rsidRDefault="007B7491" w:rsidP="007B7491">
      <w:r>
        <w:t>The basic bundle definition is two or more distinct and identifiable products sold for one nonitemized price.</w:t>
      </w:r>
      <w:r>
        <w:rPr>
          <w:rStyle w:val="FootnoteReference"/>
        </w:rPr>
        <w:footnoteReference w:id="14"/>
      </w:r>
      <w:r>
        <w:t xml:space="preserve"> At one MTC work group meeting a participant stated it this way: “if you can’t unbundle it, it isn’t a bundle.” This observation alludes to an important distinction between the classic bundle considered by Streamlined and a single product that is not a bundle. </w:t>
      </w:r>
    </w:p>
    <w:p w14:paraId="587A2C10" w14:textId="1278AD27" w:rsidR="007B7491" w:rsidRDefault="007B7491" w:rsidP="007B7491">
      <w:r>
        <w:t xml:space="preserve">The classic bundle that led to the Streamlined bundling effort and rules was the cheese tray at the grocery store in which an exempt food item, cheese, is sold along with taxable </w:t>
      </w:r>
      <w:r w:rsidR="001B341B">
        <w:t xml:space="preserve">reusable </w:t>
      </w:r>
      <w:r>
        <w:t xml:space="preserve">items like a </w:t>
      </w:r>
      <w:r w:rsidR="001B341B">
        <w:t xml:space="preserve"> </w:t>
      </w:r>
      <w:r>
        <w:t>cutting board or a cheese knife</w:t>
      </w:r>
      <w:r w:rsidR="001B341B">
        <w:t xml:space="preserve"> (to distinguish from what people would generally consider just wrapping and packaging material)</w:t>
      </w:r>
      <w:r>
        <w:t xml:space="preserve">. The cheese and the cutting board are distinct and identifiable items and even if sold together, the two </w:t>
      </w:r>
      <w:r w:rsidRPr="007B7491">
        <w:rPr>
          <w:i/>
          <w:iCs/>
        </w:rPr>
        <w:t>could</w:t>
      </w:r>
      <w:r>
        <w:t xml:space="preserve"> be unbundled. On the other hand is lemonade. </w:t>
      </w:r>
      <w:r w:rsidR="00D4612E" w:rsidRPr="00306178">
        <w:rPr>
          <w:rFonts w:ascii="Times New Roman" w:hAnsi="Times New Roman" w:cs="Times New Roman"/>
          <w:noProof/>
        </w:rPr>
        <w:lastRenderedPageBreak/>
        <mc:AlternateContent>
          <mc:Choice Requires="wpg">
            <w:drawing>
              <wp:anchor distT="0" distB="0" distL="114300" distR="114300" simplePos="0" relativeHeight="251658241" behindDoc="0" locked="0" layoutInCell="1" allowOverlap="1" wp14:anchorId="561A8E3F" wp14:editId="586D1150">
                <wp:simplePos x="0" y="0"/>
                <wp:positionH relativeFrom="page">
                  <wp:posOffset>5056666</wp:posOffset>
                </wp:positionH>
                <wp:positionV relativeFrom="page">
                  <wp:posOffset>704215</wp:posOffset>
                </wp:positionV>
                <wp:extent cx="2279015" cy="6457315"/>
                <wp:effectExtent l="0" t="0" r="26035" b="19685"/>
                <wp:wrapSquare wrapText="bothSides"/>
                <wp:docPr id="211" name="Group 67"/>
                <wp:cNvGraphicFramePr/>
                <a:graphic xmlns:a="http://schemas.openxmlformats.org/drawingml/2006/main">
                  <a:graphicData uri="http://schemas.microsoft.com/office/word/2010/wordprocessingGroup">
                    <wpg:wgp>
                      <wpg:cNvGrpSpPr/>
                      <wpg:grpSpPr>
                        <a:xfrm>
                          <a:off x="0" y="0"/>
                          <a:ext cx="2279015" cy="6457315"/>
                          <a:chOff x="0" y="1"/>
                          <a:chExt cx="2475865" cy="9491847"/>
                        </a:xfrm>
                      </wpg:grpSpPr>
                      <wps:wsp>
                        <wps:cNvPr id="212" name="AutoShape 14"/>
                        <wps:cNvSpPr>
                          <a:spLocks noChangeArrowheads="1"/>
                        </wps:cNvSpPr>
                        <wps:spPr bwMode="auto">
                          <a:xfrm>
                            <a:off x="0" y="1"/>
                            <a:ext cx="2475865" cy="9491847"/>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007C0BA0" w14:textId="04C7EF9D" w:rsidR="0031742E" w:rsidRPr="000E0A90" w:rsidRDefault="0031742E" w:rsidP="0031742E">
                              <w:pPr>
                                <w:spacing w:before="880" w:after="240" w:line="240" w:lineRule="auto"/>
                                <w:rPr>
                                  <w:rFonts w:eastAsiaTheme="majorEastAsia" w:cstheme="majorBidi"/>
                                  <w:color w:val="156082" w:themeColor="accent1"/>
                                  <w:sz w:val="30"/>
                                  <w:szCs w:val="30"/>
                                </w:rPr>
                              </w:pPr>
                              <w:r w:rsidRPr="000E0A90">
                                <w:rPr>
                                  <w:rFonts w:eastAsiaTheme="majorEastAsia" w:cstheme="majorBidi"/>
                                  <w:color w:val="156082" w:themeColor="accent1"/>
                                  <w:sz w:val="30"/>
                                  <w:szCs w:val="30"/>
                                </w:rPr>
                                <w:t>Streamlined Step-by-Step</w:t>
                              </w:r>
                            </w:p>
                            <w:p w14:paraId="0927D4AB" w14:textId="07B55083" w:rsidR="0031742E" w:rsidRPr="00A2201C" w:rsidRDefault="0031742E" w:rsidP="00536161">
                              <w:pPr>
                                <w:spacing w:after="0"/>
                                <w:rPr>
                                  <w:rFonts w:eastAsia="Aptos" w:cs="Franklin Gothic Book"/>
                                  <w:kern w:val="24"/>
                                  <w:sz w:val="22"/>
                                  <w:szCs w:val="22"/>
                                  <w14:ligatures w14:val="none"/>
                                </w:rPr>
                              </w:pPr>
                              <w:r w:rsidRPr="00A2201C">
                                <w:rPr>
                                  <w:rFonts w:eastAsia="Aptos" w:cs="Franklin Gothic Book"/>
                                  <w:kern w:val="24"/>
                                  <w:sz w:val="22"/>
                                  <w:szCs w:val="22"/>
                                  <w:u w:val="single"/>
                                  <w14:ligatures w14:val="none"/>
                                </w:rPr>
                                <w:t>Step 1</w:t>
                              </w:r>
                              <w:r w:rsidRPr="00A2201C">
                                <w:rPr>
                                  <w:rFonts w:eastAsia="Aptos" w:cs="Franklin Gothic Book"/>
                                  <w:kern w:val="24"/>
                                  <w:sz w:val="22"/>
                                  <w:szCs w:val="22"/>
                                  <w14:ligatures w14:val="none"/>
                                </w:rPr>
                                <w:t>: Is there a bundled transaction?</w:t>
                              </w:r>
                            </w:p>
                            <w:p w14:paraId="3635B790" w14:textId="77777777" w:rsidR="001A6ED5" w:rsidRPr="00A2201C" w:rsidRDefault="001A6ED5" w:rsidP="00536161">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Two or more distinct and identifiable products with the following not being distinct and identifiable:</w:t>
                              </w:r>
                            </w:p>
                            <w:p w14:paraId="45CFEFAC" w14:textId="77777777" w:rsidR="001A6ED5" w:rsidRPr="00A2201C" w:rsidRDefault="001A6ED5"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Elements of sales price, e.g., material and labor costs</w:t>
                              </w:r>
                            </w:p>
                            <w:p w14:paraId="552A6396" w14:textId="53291011" w:rsidR="001A6ED5" w:rsidRPr="00A2201C" w:rsidRDefault="001A6ED5"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Packaging</w:t>
                              </w:r>
                            </w:p>
                            <w:p w14:paraId="563B63FB" w14:textId="77777777" w:rsidR="001A6ED5" w:rsidRPr="00A2201C" w:rsidRDefault="001A6ED5"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Items offered for free</w:t>
                              </w:r>
                            </w:p>
                            <w:p w14:paraId="59A0EF1F" w14:textId="2EBD7E7D" w:rsidR="00C9786D" w:rsidRPr="00A2201C" w:rsidRDefault="00C9786D" w:rsidP="00C9786D">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One nonitemized price.</w:t>
                              </w:r>
                            </w:p>
                            <w:p w14:paraId="0E027060" w14:textId="77FB3B0B" w:rsidR="00C9786D" w:rsidRPr="00A2201C" w:rsidRDefault="00C9786D" w:rsidP="00C9786D">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highlight w:val="white"/>
                                  <w14:ligatures w14:val="none"/>
                                </w:rPr>
                                <w:t xml:space="preserve">Excluding </w:t>
                              </w:r>
                              <w:r w:rsidR="00536161" w:rsidRPr="00A2201C">
                                <w:rPr>
                                  <w:rFonts w:eastAsia="Aptos" w:cs="Franklin Gothic Book"/>
                                  <w:kern w:val="24"/>
                                  <w:sz w:val="22"/>
                                  <w:szCs w:val="22"/>
                                  <w:highlight w:val="white"/>
                                  <w14:ligatures w14:val="none"/>
                                </w:rPr>
                                <w:t>any</w:t>
                              </w:r>
                              <w:r w:rsidRPr="00A2201C">
                                <w:rPr>
                                  <w:rFonts w:eastAsia="Aptos" w:cs="Franklin Gothic Book"/>
                                  <w:kern w:val="24"/>
                                  <w:sz w:val="22"/>
                                  <w:szCs w:val="22"/>
                                  <w:highlight w:val="white"/>
                                  <w14:ligatures w14:val="none"/>
                                </w:rPr>
                                <w:t xml:space="preserve"> sale </w:t>
                              </w:r>
                              <w:r w:rsidR="00536161" w:rsidRPr="00A2201C">
                                <w:rPr>
                                  <w:rFonts w:eastAsia="Aptos" w:cs="Franklin Gothic Book"/>
                                  <w:kern w:val="24"/>
                                  <w:sz w:val="22"/>
                                  <w:szCs w:val="22"/>
                                  <w:highlight w:val="white"/>
                                  <w14:ligatures w14:val="none"/>
                                </w:rPr>
                                <w:t>for</w:t>
                              </w:r>
                              <w:r w:rsidRPr="00A2201C">
                                <w:rPr>
                                  <w:rFonts w:eastAsia="Aptos" w:cs="Franklin Gothic Book"/>
                                  <w:kern w:val="24"/>
                                  <w:sz w:val="22"/>
                                  <w:szCs w:val="22"/>
                                  <w:highlight w:val="white"/>
                                  <w14:ligatures w14:val="none"/>
                                </w:rPr>
                                <w:t xml:space="preserve"> which the sales price varies</w:t>
                              </w:r>
                              <w:r w:rsidR="00536161" w:rsidRPr="00A2201C">
                                <w:rPr>
                                  <w:rFonts w:eastAsia="Aptos" w:cs="Franklin Gothic Book"/>
                                  <w:kern w:val="24"/>
                                  <w:sz w:val="22"/>
                                  <w:szCs w:val="22"/>
                                  <w:highlight w:val="white"/>
                                  <w14:ligatures w14:val="none"/>
                                </w:rPr>
                                <w:t xml:space="preserve"> </w:t>
                              </w:r>
                              <w:r w:rsidRPr="00A2201C">
                                <w:rPr>
                                  <w:rFonts w:eastAsia="Aptos" w:cs="Franklin Gothic Book"/>
                                  <w:kern w:val="24"/>
                                  <w:sz w:val="22"/>
                                  <w:szCs w:val="22"/>
                                  <w:highlight w:val="white"/>
                                  <w14:ligatures w14:val="none"/>
                                </w:rPr>
                                <w:t>or is negotiable</w:t>
                              </w:r>
                              <w:r w:rsidRPr="00A2201C">
                                <w:rPr>
                                  <w:rFonts w:eastAsia="Aptos" w:cs="Franklin Gothic Book"/>
                                  <w:kern w:val="24"/>
                                  <w:sz w:val="22"/>
                                  <w:szCs w:val="22"/>
                                  <w14:ligatures w14:val="none"/>
                                </w:rPr>
                                <w:t>.</w:t>
                              </w:r>
                              <w:r w:rsidRPr="00A2201C">
                                <w:rPr>
                                  <w:rFonts w:eastAsia="Aptos" w:cs="Franklin Gothic Book"/>
                                  <w:kern w:val="24"/>
                                  <w:sz w:val="22"/>
                                  <w:szCs w:val="22"/>
                                  <w14:ligatures w14:val="none"/>
                                </w:rPr>
                                <w:br/>
                              </w:r>
                            </w:p>
                            <w:p w14:paraId="0E9DCCDF" w14:textId="4B093478" w:rsidR="00C9786D" w:rsidRPr="00A2201C" w:rsidRDefault="00C9786D" w:rsidP="00536161">
                              <w:pPr>
                                <w:autoSpaceDE w:val="0"/>
                                <w:autoSpaceDN w:val="0"/>
                                <w:adjustRightInd w:val="0"/>
                                <w:spacing w:after="0" w:line="240" w:lineRule="auto"/>
                                <w:rPr>
                                  <w:rFonts w:eastAsia="Aptos" w:cs="Franklin Gothic Book"/>
                                  <w:kern w:val="24"/>
                                  <w:sz w:val="22"/>
                                  <w:szCs w:val="22"/>
                                  <w14:ligatures w14:val="none"/>
                                </w:rPr>
                              </w:pPr>
                              <w:r w:rsidRPr="00A2201C">
                                <w:rPr>
                                  <w:rFonts w:eastAsia="Aptos" w:cs="Franklin Gothic Book"/>
                                  <w:kern w:val="24"/>
                                  <w:sz w:val="22"/>
                                  <w:szCs w:val="22"/>
                                  <w:u w:val="single"/>
                                  <w14:ligatures w14:val="none"/>
                                </w:rPr>
                                <w:t>Step 2</w:t>
                              </w:r>
                              <w:r w:rsidRPr="00A2201C">
                                <w:rPr>
                                  <w:rFonts w:eastAsia="Aptos" w:cs="Franklin Gothic Book"/>
                                  <w:kern w:val="24"/>
                                  <w:sz w:val="22"/>
                                  <w:szCs w:val="22"/>
                                  <w14:ligatures w14:val="none"/>
                                </w:rPr>
                                <w:t xml:space="preserve">: </w:t>
                              </w:r>
                              <w:r w:rsidR="00F0687C" w:rsidRPr="00A2201C">
                                <w:rPr>
                                  <w:rFonts w:eastAsia="Aptos" w:cs="Franklin Gothic Book"/>
                                  <w:kern w:val="24"/>
                                  <w:sz w:val="22"/>
                                  <w:szCs w:val="22"/>
                                  <w14:ligatures w14:val="none"/>
                                </w:rPr>
                                <w:t>Is there an exclusion?</w:t>
                              </w:r>
                            </w:p>
                            <w:p w14:paraId="56C9511D" w14:textId="08F3735E" w:rsidR="00C9786D" w:rsidRPr="00A2201C" w:rsidRDefault="000A1344" w:rsidP="00536161">
                              <w:pPr>
                                <w:numPr>
                                  <w:ilvl w:val="0"/>
                                  <w:numId w:val="15"/>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Exception</w:t>
                              </w:r>
                              <w:r w:rsidR="00F0687C" w:rsidRPr="00A2201C">
                                <w:rPr>
                                  <w:rFonts w:eastAsia="Aptos" w:cs="Franklin Gothic Book"/>
                                  <w:kern w:val="24"/>
                                  <w:sz w:val="22"/>
                                  <w:szCs w:val="22"/>
                                  <w14:ligatures w14:val="none"/>
                                </w:rPr>
                                <w:t xml:space="preserve"> t</w:t>
                              </w:r>
                              <w:r w:rsidR="00C9786D" w:rsidRPr="00A2201C">
                                <w:rPr>
                                  <w:rFonts w:eastAsia="Aptos" w:cs="Franklin Gothic Book"/>
                                  <w:kern w:val="24"/>
                                  <w:sz w:val="22"/>
                                  <w:szCs w:val="22"/>
                                  <w14:ligatures w14:val="none"/>
                                </w:rPr>
                                <w:t>ransactions</w:t>
                              </w:r>
                              <w:r w:rsidR="00F0687C" w:rsidRPr="00A2201C">
                                <w:rPr>
                                  <w:rFonts w:eastAsia="Aptos" w:cs="Franklin Gothic Book"/>
                                  <w:kern w:val="24"/>
                                  <w:sz w:val="22"/>
                                  <w:szCs w:val="22"/>
                                  <w14:ligatures w14:val="none"/>
                                </w:rPr>
                                <w:t>:</w:t>
                              </w:r>
                            </w:p>
                            <w:p w14:paraId="0439B808" w14:textId="0D68FE84" w:rsidR="00C9786D" w:rsidRPr="00A2201C" w:rsidRDefault="00C9786D" w:rsidP="00536161">
                              <w:pPr>
                                <w:numPr>
                                  <w:ilvl w:val="0"/>
                                  <w:numId w:val="31"/>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 xml:space="preserve">The true object </w:t>
                              </w:r>
                              <w:r w:rsidR="0048739F" w:rsidRPr="00A2201C">
                                <w:rPr>
                                  <w:rFonts w:eastAsia="Aptos" w:cs="Franklin Gothic Book"/>
                                  <w:kern w:val="0"/>
                                  <w:sz w:val="22"/>
                                  <w:szCs w:val="22"/>
                                  <w14:ligatures w14:val="none"/>
                                </w:rPr>
                                <w:t>is not taxable</w:t>
                              </w:r>
                              <w:r w:rsidRPr="00A2201C">
                                <w:rPr>
                                  <w:rFonts w:eastAsia="Aptos" w:cs="Franklin Gothic Book"/>
                                  <w:kern w:val="0"/>
                                  <w:sz w:val="22"/>
                                  <w:szCs w:val="22"/>
                                  <w14:ligatures w14:val="none"/>
                                </w:rPr>
                                <w:t>.</w:t>
                              </w:r>
                            </w:p>
                            <w:p w14:paraId="3555AD00" w14:textId="77777777" w:rsidR="00C9786D" w:rsidRPr="00A2201C" w:rsidRDefault="00C9786D" w:rsidP="00536161">
                              <w:pPr>
                                <w:numPr>
                                  <w:ilvl w:val="0"/>
                                  <w:numId w:val="31"/>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The taxable product is de minimis</w:t>
                              </w:r>
                            </w:p>
                            <w:p w14:paraId="32DAA547" w14:textId="037B40F7" w:rsidR="00C9786D" w:rsidRPr="00A2201C" w:rsidRDefault="00C9786D" w:rsidP="00536161">
                              <w:pPr>
                                <w:numPr>
                                  <w:ilvl w:val="0"/>
                                  <w:numId w:val="31"/>
                                </w:numPr>
                                <w:autoSpaceDE w:val="0"/>
                                <w:autoSpaceDN w:val="0"/>
                                <w:adjustRightInd w:val="0"/>
                                <w:spacing w:after="0" w:line="240" w:lineRule="auto"/>
                                <w:ind w:left="630"/>
                                <w:rPr>
                                  <w:rFonts w:eastAsia="Aptos" w:cs="Franklin Gothic Book"/>
                                  <w:kern w:val="0"/>
                                  <w:sz w:val="22"/>
                                  <w:szCs w:val="22"/>
                                  <w:highlight w:val="white"/>
                                  <w14:ligatures w14:val="none"/>
                                </w:rPr>
                              </w:pPr>
                              <w:r w:rsidRPr="00A2201C">
                                <w:rPr>
                                  <w:rFonts w:eastAsia="Aptos" w:cs="Franklin Gothic Book"/>
                                  <w:kern w:val="0"/>
                                  <w:sz w:val="22"/>
                                  <w:szCs w:val="22"/>
                                  <w:highlight w:val="white"/>
                                  <w14:ligatures w14:val="none"/>
                                </w:rPr>
                                <w:t xml:space="preserve">The transaction contains specified industry products (food, drugs, etc.) and the taxable products are </w:t>
                              </w:r>
                              <w:r w:rsidR="00F0687C" w:rsidRPr="00A2201C">
                                <w:rPr>
                                  <w:rFonts w:eastAsia="Aptos" w:cs="Franklin Gothic Book"/>
                                  <w:kern w:val="0"/>
                                  <w:sz w:val="22"/>
                                  <w:szCs w:val="22"/>
                                  <w:highlight w:val="white"/>
                                  <w14:ligatures w14:val="none"/>
                                </w:rPr>
                                <w:t>X</w:t>
                              </w:r>
                              <w:r w:rsidRPr="00A2201C">
                                <w:rPr>
                                  <w:rFonts w:eastAsia="Aptos" w:cs="Franklin Gothic Book"/>
                                  <w:kern w:val="0"/>
                                  <w:sz w:val="22"/>
                                  <w:szCs w:val="22"/>
                                  <w:highlight w:val="white"/>
                                  <w14:ligatures w14:val="none"/>
                                </w:rPr>
                                <w:t>% or less of the purchase price.</w:t>
                              </w:r>
                            </w:p>
                            <w:p w14:paraId="09036B30" w14:textId="77777777" w:rsidR="00C9786D" w:rsidRPr="00A2201C" w:rsidRDefault="00C9786D" w:rsidP="00C9786D">
                              <w:pPr>
                                <w:autoSpaceDE w:val="0"/>
                                <w:autoSpaceDN w:val="0"/>
                                <w:adjustRightInd w:val="0"/>
                                <w:spacing w:after="0" w:line="240" w:lineRule="auto"/>
                                <w:ind w:left="1956"/>
                                <w:rPr>
                                  <w:rFonts w:eastAsia="Aptos" w:cs="Franklin Gothic Book"/>
                                  <w:kern w:val="0"/>
                                  <w:sz w:val="22"/>
                                  <w:szCs w:val="22"/>
                                  <w:highlight w:val="white"/>
                                  <w14:ligatures w14:val="none"/>
                                </w:rPr>
                              </w:pPr>
                            </w:p>
                            <w:p w14:paraId="6333D478" w14:textId="326D8E7C" w:rsidR="00C9786D" w:rsidRPr="002318E7" w:rsidRDefault="00C9786D" w:rsidP="00536161">
                              <w:pPr>
                                <w:autoSpaceDE w:val="0"/>
                                <w:autoSpaceDN w:val="0"/>
                                <w:adjustRightInd w:val="0"/>
                                <w:spacing w:after="0" w:line="240" w:lineRule="auto"/>
                                <w:rPr>
                                  <w:rFonts w:eastAsia="Aptos" w:cs="Franklin Gothic Book"/>
                                  <w:kern w:val="24"/>
                                  <w14:ligatures w14:val="none"/>
                                </w:rPr>
                              </w:pPr>
                              <w:r w:rsidRPr="00A2201C">
                                <w:rPr>
                                  <w:rFonts w:eastAsia="Aptos" w:cs="Franklin Gothic Book"/>
                                  <w:kern w:val="24"/>
                                  <w:sz w:val="22"/>
                                  <w:szCs w:val="22"/>
                                  <w:highlight w:val="white"/>
                                  <w:u w:val="single"/>
                                  <w14:ligatures w14:val="none"/>
                                </w:rPr>
                                <w:t>Step 3</w:t>
                              </w:r>
                              <w:r w:rsidRPr="00A2201C">
                                <w:rPr>
                                  <w:rFonts w:eastAsia="Aptos" w:cs="Franklin Gothic Book"/>
                                  <w:kern w:val="24"/>
                                  <w:sz w:val="22"/>
                                  <w:szCs w:val="22"/>
                                  <w:highlight w:val="white"/>
                                  <w14:ligatures w14:val="none"/>
                                </w:rPr>
                                <w:t>: Specify tax treatment of bundled transactions and exception transactions</w:t>
                              </w:r>
                              <w:r w:rsidR="009C17C6" w:rsidRPr="00A2201C">
                                <w:rPr>
                                  <w:rFonts w:eastAsia="Aptos" w:cs="Franklin Gothic Book"/>
                                  <w:kern w:val="24"/>
                                  <w:sz w:val="22"/>
                                  <w:szCs w:val="22"/>
                                  <w:highlight w:val="white"/>
                                  <w14:ligatures w14:val="none"/>
                                </w:rPr>
                                <w:t xml:space="preserve">; apply </w:t>
                              </w:r>
                              <w:r w:rsidRPr="00A2201C">
                                <w:rPr>
                                  <w:rFonts w:eastAsia="Aptos" w:cs="Franklin Gothic Book"/>
                                  <w:kern w:val="24"/>
                                  <w:sz w:val="22"/>
                                  <w:szCs w:val="22"/>
                                  <w:highlight w:val="white"/>
                                  <w14:ligatures w14:val="none"/>
                                </w:rPr>
                                <w:t>applicable unbundling rules.</w:t>
                              </w:r>
                            </w:p>
                            <w:p w14:paraId="0C3A5E06" w14:textId="77777777" w:rsidR="001A6ED5" w:rsidRDefault="001A6ED5" w:rsidP="0031742E">
                              <w:pPr>
                                <w:rPr>
                                  <w:rFonts w:ascii="Times New Roman" w:hAnsi="Times New Roman" w:cs="Times New Roman"/>
                                  <w:sz w:val="21"/>
                                  <w:szCs w:val="21"/>
                                </w:rPr>
                              </w:pPr>
                            </w:p>
                            <w:p w14:paraId="774234A8" w14:textId="77777777" w:rsidR="00536A37" w:rsidRPr="00E002B8" w:rsidRDefault="00536A37" w:rsidP="0031742E">
                              <w:pPr>
                                <w:rPr>
                                  <w:rFonts w:ascii="Times New Roman" w:hAnsi="Times New Roman" w:cs="Times New Roman"/>
                                  <w:sz w:val="21"/>
                                  <w:szCs w:val="21"/>
                                </w:rPr>
                              </w:pPr>
                            </w:p>
                          </w:txbxContent>
                        </wps:txbx>
                        <wps:bodyPr rot="0" vert="horz" wrap="square" lIns="182880" tIns="457200" rIns="182880" bIns="73152" anchor="t" anchorCtr="0" upright="1">
                          <a:noAutofit/>
                        </wps:bodyPr>
                      </wps:wsp>
                      <wps:wsp>
                        <wps:cNvPr id="213" name="Rectangle 213"/>
                        <wps:cNvSpPr/>
                        <wps:spPr>
                          <a:xfrm>
                            <a:off x="71919" y="544726"/>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DCE4C" w14:textId="77777777" w:rsidR="0031742E" w:rsidRDefault="0031742E" w:rsidP="0031742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2EA28" w14:textId="77777777" w:rsidR="0031742E" w:rsidRDefault="0031742E" w:rsidP="0031742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1A8E3F" id="_x0000_s1030" style="position:absolute;margin-left:398.15pt;margin-top:55.45pt;width:179.45pt;height:508.45pt;z-index:251658241;mso-position-horizontal-relative:page;mso-position-vertical-relative:page" coordorigin="" coordsize="24758,9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">
                <v:rect id="AutoShape 14" o:spid="_x0000_s1031" style="position:absolute;width:24758;height:94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37373 [1614]" strokeweight="1.25pt">
                  <v:textbox inset="14.4pt,36pt,14.4pt,5.76pt">
                    <w:txbxContent>
                      <w:p w14:paraId="007C0BA0" w14:textId="04C7EF9D" w:rsidR="0031742E" w:rsidRPr="000E0A90" w:rsidRDefault="0031742E" w:rsidP="0031742E">
                        <w:pPr>
                          <w:spacing w:before="880" w:after="240" w:line="240" w:lineRule="auto"/>
                          <w:rPr>
                            <w:rFonts w:eastAsiaTheme="majorEastAsia" w:cstheme="majorBidi"/>
                            <w:color w:val="156082" w:themeColor="accent1"/>
                            <w:sz w:val="30"/>
                            <w:szCs w:val="30"/>
                          </w:rPr>
                        </w:pPr>
                        <w:r w:rsidRPr="000E0A90">
                          <w:rPr>
                            <w:rFonts w:eastAsiaTheme="majorEastAsia" w:cstheme="majorBidi"/>
                            <w:color w:val="156082" w:themeColor="accent1"/>
                            <w:sz w:val="30"/>
                            <w:szCs w:val="30"/>
                          </w:rPr>
                          <w:t>Streamlined Step-by-Step</w:t>
                        </w:r>
                      </w:p>
                      <w:p w14:paraId="0927D4AB" w14:textId="07B55083" w:rsidR="0031742E" w:rsidRPr="00A2201C" w:rsidRDefault="0031742E" w:rsidP="00536161">
                        <w:pPr>
                          <w:spacing w:after="0"/>
                          <w:rPr>
                            <w:rFonts w:eastAsia="Aptos" w:cs="Franklin Gothic Book"/>
                            <w:kern w:val="24"/>
                            <w:sz w:val="22"/>
                            <w:szCs w:val="22"/>
                            <w14:ligatures w14:val="none"/>
                          </w:rPr>
                        </w:pPr>
                        <w:r w:rsidRPr="00A2201C">
                          <w:rPr>
                            <w:rFonts w:eastAsia="Aptos" w:cs="Franklin Gothic Book"/>
                            <w:kern w:val="24"/>
                            <w:sz w:val="22"/>
                            <w:szCs w:val="22"/>
                            <w:u w:val="single"/>
                            <w14:ligatures w14:val="none"/>
                          </w:rPr>
                          <w:t>Step 1</w:t>
                        </w:r>
                        <w:r w:rsidRPr="00A2201C">
                          <w:rPr>
                            <w:rFonts w:eastAsia="Aptos" w:cs="Franklin Gothic Book"/>
                            <w:kern w:val="24"/>
                            <w:sz w:val="22"/>
                            <w:szCs w:val="22"/>
                            <w14:ligatures w14:val="none"/>
                          </w:rPr>
                          <w:t>: Is there a bundled transaction?</w:t>
                        </w:r>
                      </w:p>
                      <w:p w14:paraId="3635B790" w14:textId="77777777" w:rsidR="001A6ED5" w:rsidRPr="00A2201C" w:rsidRDefault="001A6ED5" w:rsidP="00536161">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Two or more distinct and identifiable products with the following not being distinct and identifiable:</w:t>
                        </w:r>
                      </w:p>
                      <w:p w14:paraId="45CFEFAC" w14:textId="77777777" w:rsidR="001A6ED5" w:rsidRPr="00A2201C" w:rsidRDefault="001A6ED5"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Elements of sales price, e.g., material and labor costs</w:t>
                        </w:r>
                      </w:p>
                      <w:p w14:paraId="552A6396" w14:textId="53291011" w:rsidR="001A6ED5" w:rsidRPr="00A2201C" w:rsidRDefault="001A6ED5"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Packaging</w:t>
                        </w:r>
                      </w:p>
                      <w:p w14:paraId="563B63FB" w14:textId="77777777" w:rsidR="001A6ED5" w:rsidRPr="00A2201C" w:rsidRDefault="001A6ED5"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Items offered for free</w:t>
                        </w:r>
                      </w:p>
                      <w:p w14:paraId="59A0EF1F" w14:textId="2EBD7E7D" w:rsidR="00C9786D" w:rsidRPr="00A2201C" w:rsidRDefault="00C9786D" w:rsidP="00C9786D">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One nonitemized price.</w:t>
                        </w:r>
                      </w:p>
                      <w:p w14:paraId="0E027060" w14:textId="77FB3B0B" w:rsidR="00C9786D" w:rsidRPr="00A2201C" w:rsidRDefault="00C9786D" w:rsidP="00C9786D">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highlight w:val="white"/>
                            <w14:ligatures w14:val="none"/>
                          </w:rPr>
                          <w:t xml:space="preserve">Excluding </w:t>
                        </w:r>
                        <w:r w:rsidR="00536161" w:rsidRPr="00A2201C">
                          <w:rPr>
                            <w:rFonts w:eastAsia="Aptos" w:cs="Franklin Gothic Book"/>
                            <w:kern w:val="24"/>
                            <w:sz w:val="22"/>
                            <w:szCs w:val="22"/>
                            <w:highlight w:val="white"/>
                            <w14:ligatures w14:val="none"/>
                          </w:rPr>
                          <w:t>any</w:t>
                        </w:r>
                        <w:r w:rsidRPr="00A2201C">
                          <w:rPr>
                            <w:rFonts w:eastAsia="Aptos" w:cs="Franklin Gothic Book"/>
                            <w:kern w:val="24"/>
                            <w:sz w:val="22"/>
                            <w:szCs w:val="22"/>
                            <w:highlight w:val="white"/>
                            <w14:ligatures w14:val="none"/>
                          </w:rPr>
                          <w:t xml:space="preserve"> sale </w:t>
                        </w:r>
                        <w:r w:rsidR="00536161" w:rsidRPr="00A2201C">
                          <w:rPr>
                            <w:rFonts w:eastAsia="Aptos" w:cs="Franklin Gothic Book"/>
                            <w:kern w:val="24"/>
                            <w:sz w:val="22"/>
                            <w:szCs w:val="22"/>
                            <w:highlight w:val="white"/>
                            <w14:ligatures w14:val="none"/>
                          </w:rPr>
                          <w:t>for</w:t>
                        </w:r>
                        <w:r w:rsidRPr="00A2201C">
                          <w:rPr>
                            <w:rFonts w:eastAsia="Aptos" w:cs="Franklin Gothic Book"/>
                            <w:kern w:val="24"/>
                            <w:sz w:val="22"/>
                            <w:szCs w:val="22"/>
                            <w:highlight w:val="white"/>
                            <w14:ligatures w14:val="none"/>
                          </w:rPr>
                          <w:t xml:space="preserve"> which the sales price varies</w:t>
                        </w:r>
                        <w:r w:rsidR="00536161" w:rsidRPr="00A2201C">
                          <w:rPr>
                            <w:rFonts w:eastAsia="Aptos" w:cs="Franklin Gothic Book"/>
                            <w:kern w:val="24"/>
                            <w:sz w:val="22"/>
                            <w:szCs w:val="22"/>
                            <w:highlight w:val="white"/>
                            <w14:ligatures w14:val="none"/>
                          </w:rPr>
                          <w:t xml:space="preserve"> </w:t>
                        </w:r>
                        <w:r w:rsidRPr="00A2201C">
                          <w:rPr>
                            <w:rFonts w:eastAsia="Aptos" w:cs="Franklin Gothic Book"/>
                            <w:kern w:val="24"/>
                            <w:sz w:val="22"/>
                            <w:szCs w:val="22"/>
                            <w:highlight w:val="white"/>
                            <w14:ligatures w14:val="none"/>
                          </w:rPr>
                          <w:t>or is negotiable</w:t>
                        </w:r>
                        <w:r w:rsidRPr="00A2201C">
                          <w:rPr>
                            <w:rFonts w:eastAsia="Aptos" w:cs="Franklin Gothic Book"/>
                            <w:kern w:val="24"/>
                            <w:sz w:val="22"/>
                            <w:szCs w:val="22"/>
                            <w14:ligatures w14:val="none"/>
                          </w:rPr>
                          <w:t>.</w:t>
                        </w:r>
                        <w:r w:rsidRPr="00A2201C">
                          <w:rPr>
                            <w:rFonts w:eastAsia="Aptos" w:cs="Franklin Gothic Book"/>
                            <w:kern w:val="24"/>
                            <w:sz w:val="22"/>
                            <w:szCs w:val="22"/>
                            <w14:ligatures w14:val="none"/>
                          </w:rPr>
                          <w:br/>
                        </w:r>
                      </w:p>
                      <w:p w14:paraId="0E9DCCDF" w14:textId="4B093478" w:rsidR="00C9786D" w:rsidRPr="00A2201C" w:rsidRDefault="00C9786D" w:rsidP="00536161">
                        <w:pPr>
                          <w:autoSpaceDE w:val="0"/>
                          <w:autoSpaceDN w:val="0"/>
                          <w:adjustRightInd w:val="0"/>
                          <w:spacing w:after="0" w:line="240" w:lineRule="auto"/>
                          <w:rPr>
                            <w:rFonts w:eastAsia="Aptos" w:cs="Franklin Gothic Book"/>
                            <w:kern w:val="24"/>
                            <w:sz w:val="22"/>
                            <w:szCs w:val="22"/>
                            <w14:ligatures w14:val="none"/>
                          </w:rPr>
                        </w:pPr>
                        <w:r w:rsidRPr="00A2201C">
                          <w:rPr>
                            <w:rFonts w:eastAsia="Aptos" w:cs="Franklin Gothic Book"/>
                            <w:kern w:val="24"/>
                            <w:sz w:val="22"/>
                            <w:szCs w:val="22"/>
                            <w:u w:val="single"/>
                            <w14:ligatures w14:val="none"/>
                          </w:rPr>
                          <w:t>Step 2</w:t>
                        </w:r>
                        <w:r w:rsidRPr="00A2201C">
                          <w:rPr>
                            <w:rFonts w:eastAsia="Aptos" w:cs="Franklin Gothic Book"/>
                            <w:kern w:val="24"/>
                            <w:sz w:val="22"/>
                            <w:szCs w:val="22"/>
                            <w14:ligatures w14:val="none"/>
                          </w:rPr>
                          <w:t xml:space="preserve">: </w:t>
                        </w:r>
                        <w:r w:rsidR="00F0687C" w:rsidRPr="00A2201C">
                          <w:rPr>
                            <w:rFonts w:eastAsia="Aptos" w:cs="Franklin Gothic Book"/>
                            <w:kern w:val="24"/>
                            <w:sz w:val="22"/>
                            <w:szCs w:val="22"/>
                            <w14:ligatures w14:val="none"/>
                          </w:rPr>
                          <w:t>Is there an exclusion?</w:t>
                        </w:r>
                      </w:p>
                      <w:p w14:paraId="56C9511D" w14:textId="08F3735E" w:rsidR="00C9786D" w:rsidRPr="00A2201C" w:rsidRDefault="000A1344" w:rsidP="00536161">
                        <w:pPr>
                          <w:numPr>
                            <w:ilvl w:val="0"/>
                            <w:numId w:val="15"/>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Exception</w:t>
                        </w:r>
                        <w:r w:rsidR="00F0687C" w:rsidRPr="00A2201C">
                          <w:rPr>
                            <w:rFonts w:eastAsia="Aptos" w:cs="Franklin Gothic Book"/>
                            <w:kern w:val="24"/>
                            <w:sz w:val="22"/>
                            <w:szCs w:val="22"/>
                            <w14:ligatures w14:val="none"/>
                          </w:rPr>
                          <w:t xml:space="preserve"> t</w:t>
                        </w:r>
                        <w:r w:rsidR="00C9786D" w:rsidRPr="00A2201C">
                          <w:rPr>
                            <w:rFonts w:eastAsia="Aptos" w:cs="Franklin Gothic Book"/>
                            <w:kern w:val="24"/>
                            <w:sz w:val="22"/>
                            <w:szCs w:val="22"/>
                            <w14:ligatures w14:val="none"/>
                          </w:rPr>
                          <w:t>ransactions</w:t>
                        </w:r>
                        <w:r w:rsidR="00F0687C" w:rsidRPr="00A2201C">
                          <w:rPr>
                            <w:rFonts w:eastAsia="Aptos" w:cs="Franklin Gothic Book"/>
                            <w:kern w:val="24"/>
                            <w:sz w:val="22"/>
                            <w:szCs w:val="22"/>
                            <w14:ligatures w14:val="none"/>
                          </w:rPr>
                          <w:t>:</w:t>
                        </w:r>
                      </w:p>
                      <w:p w14:paraId="0439B808" w14:textId="0D68FE84" w:rsidR="00C9786D" w:rsidRPr="00A2201C" w:rsidRDefault="00C9786D" w:rsidP="00536161">
                        <w:pPr>
                          <w:numPr>
                            <w:ilvl w:val="0"/>
                            <w:numId w:val="31"/>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 xml:space="preserve">The true object </w:t>
                        </w:r>
                        <w:r w:rsidR="0048739F" w:rsidRPr="00A2201C">
                          <w:rPr>
                            <w:rFonts w:eastAsia="Aptos" w:cs="Franklin Gothic Book"/>
                            <w:kern w:val="0"/>
                            <w:sz w:val="22"/>
                            <w:szCs w:val="22"/>
                            <w14:ligatures w14:val="none"/>
                          </w:rPr>
                          <w:t>is not taxable</w:t>
                        </w:r>
                        <w:r w:rsidRPr="00A2201C">
                          <w:rPr>
                            <w:rFonts w:eastAsia="Aptos" w:cs="Franklin Gothic Book"/>
                            <w:kern w:val="0"/>
                            <w:sz w:val="22"/>
                            <w:szCs w:val="22"/>
                            <w14:ligatures w14:val="none"/>
                          </w:rPr>
                          <w:t>.</w:t>
                        </w:r>
                      </w:p>
                      <w:p w14:paraId="3555AD00" w14:textId="77777777" w:rsidR="00C9786D" w:rsidRPr="00A2201C" w:rsidRDefault="00C9786D" w:rsidP="00536161">
                        <w:pPr>
                          <w:numPr>
                            <w:ilvl w:val="0"/>
                            <w:numId w:val="31"/>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The taxable product is de minimis</w:t>
                        </w:r>
                      </w:p>
                      <w:p w14:paraId="32DAA547" w14:textId="037B40F7" w:rsidR="00C9786D" w:rsidRPr="00A2201C" w:rsidRDefault="00C9786D" w:rsidP="00536161">
                        <w:pPr>
                          <w:numPr>
                            <w:ilvl w:val="0"/>
                            <w:numId w:val="31"/>
                          </w:numPr>
                          <w:autoSpaceDE w:val="0"/>
                          <w:autoSpaceDN w:val="0"/>
                          <w:adjustRightInd w:val="0"/>
                          <w:spacing w:after="0" w:line="240" w:lineRule="auto"/>
                          <w:ind w:left="630"/>
                          <w:rPr>
                            <w:rFonts w:eastAsia="Aptos" w:cs="Franklin Gothic Book"/>
                            <w:kern w:val="0"/>
                            <w:sz w:val="22"/>
                            <w:szCs w:val="22"/>
                            <w:highlight w:val="white"/>
                            <w14:ligatures w14:val="none"/>
                          </w:rPr>
                        </w:pPr>
                        <w:r w:rsidRPr="00A2201C">
                          <w:rPr>
                            <w:rFonts w:eastAsia="Aptos" w:cs="Franklin Gothic Book"/>
                            <w:kern w:val="0"/>
                            <w:sz w:val="22"/>
                            <w:szCs w:val="22"/>
                            <w:highlight w:val="white"/>
                            <w14:ligatures w14:val="none"/>
                          </w:rPr>
                          <w:t xml:space="preserve">The transaction contains specified industry products (food, drugs, etc.) and the taxable products are </w:t>
                        </w:r>
                        <w:r w:rsidR="00F0687C" w:rsidRPr="00A2201C">
                          <w:rPr>
                            <w:rFonts w:eastAsia="Aptos" w:cs="Franklin Gothic Book"/>
                            <w:kern w:val="0"/>
                            <w:sz w:val="22"/>
                            <w:szCs w:val="22"/>
                            <w:highlight w:val="white"/>
                            <w14:ligatures w14:val="none"/>
                          </w:rPr>
                          <w:t>X</w:t>
                        </w:r>
                        <w:r w:rsidRPr="00A2201C">
                          <w:rPr>
                            <w:rFonts w:eastAsia="Aptos" w:cs="Franklin Gothic Book"/>
                            <w:kern w:val="0"/>
                            <w:sz w:val="22"/>
                            <w:szCs w:val="22"/>
                            <w:highlight w:val="white"/>
                            <w14:ligatures w14:val="none"/>
                          </w:rPr>
                          <w:t>% or less of the purchase price.</w:t>
                        </w:r>
                      </w:p>
                      <w:p w14:paraId="09036B30" w14:textId="77777777" w:rsidR="00C9786D" w:rsidRPr="00A2201C" w:rsidRDefault="00C9786D" w:rsidP="00C9786D">
                        <w:pPr>
                          <w:autoSpaceDE w:val="0"/>
                          <w:autoSpaceDN w:val="0"/>
                          <w:adjustRightInd w:val="0"/>
                          <w:spacing w:after="0" w:line="240" w:lineRule="auto"/>
                          <w:ind w:left="1956"/>
                          <w:rPr>
                            <w:rFonts w:eastAsia="Aptos" w:cs="Franklin Gothic Book"/>
                            <w:kern w:val="0"/>
                            <w:sz w:val="22"/>
                            <w:szCs w:val="22"/>
                            <w:highlight w:val="white"/>
                            <w14:ligatures w14:val="none"/>
                          </w:rPr>
                        </w:pPr>
                      </w:p>
                      <w:p w14:paraId="6333D478" w14:textId="326D8E7C" w:rsidR="00C9786D" w:rsidRPr="002318E7" w:rsidRDefault="00C9786D" w:rsidP="00536161">
                        <w:pPr>
                          <w:autoSpaceDE w:val="0"/>
                          <w:autoSpaceDN w:val="0"/>
                          <w:adjustRightInd w:val="0"/>
                          <w:spacing w:after="0" w:line="240" w:lineRule="auto"/>
                          <w:rPr>
                            <w:rFonts w:eastAsia="Aptos" w:cs="Franklin Gothic Book"/>
                            <w:kern w:val="24"/>
                            <w14:ligatures w14:val="none"/>
                          </w:rPr>
                        </w:pPr>
                        <w:r w:rsidRPr="00A2201C">
                          <w:rPr>
                            <w:rFonts w:eastAsia="Aptos" w:cs="Franklin Gothic Book"/>
                            <w:kern w:val="24"/>
                            <w:sz w:val="22"/>
                            <w:szCs w:val="22"/>
                            <w:highlight w:val="white"/>
                            <w:u w:val="single"/>
                            <w14:ligatures w14:val="none"/>
                          </w:rPr>
                          <w:t>Step 3</w:t>
                        </w:r>
                        <w:r w:rsidRPr="00A2201C">
                          <w:rPr>
                            <w:rFonts w:eastAsia="Aptos" w:cs="Franklin Gothic Book"/>
                            <w:kern w:val="24"/>
                            <w:sz w:val="22"/>
                            <w:szCs w:val="22"/>
                            <w:highlight w:val="white"/>
                            <w14:ligatures w14:val="none"/>
                          </w:rPr>
                          <w:t>: Specify tax treatment of bundled transactions and exception transactions</w:t>
                        </w:r>
                        <w:r w:rsidR="009C17C6" w:rsidRPr="00A2201C">
                          <w:rPr>
                            <w:rFonts w:eastAsia="Aptos" w:cs="Franklin Gothic Book"/>
                            <w:kern w:val="24"/>
                            <w:sz w:val="22"/>
                            <w:szCs w:val="22"/>
                            <w:highlight w:val="white"/>
                            <w14:ligatures w14:val="none"/>
                          </w:rPr>
                          <w:t xml:space="preserve">; apply </w:t>
                        </w:r>
                        <w:r w:rsidRPr="00A2201C">
                          <w:rPr>
                            <w:rFonts w:eastAsia="Aptos" w:cs="Franklin Gothic Book"/>
                            <w:kern w:val="24"/>
                            <w:sz w:val="22"/>
                            <w:szCs w:val="22"/>
                            <w:highlight w:val="white"/>
                            <w14:ligatures w14:val="none"/>
                          </w:rPr>
                          <w:t>applicable unbundling rules.</w:t>
                        </w:r>
                      </w:p>
                      <w:p w14:paraId="0C3A5E06" w14:textId="77777777" w:rsidR="001A6ED5" w:rsidRDefault="001A6ED5" w:rsidP="0031742E">
                        <w:pPr>
                          <w:rPr>
                            <w:rFonts w:ascii="Times New Roman" w:hAnsi="Times New Roman" w:cs="Times New Roman"/>
                            <w:sz w:val="21"/>
                            <w:szCs w:val="21"/>
                          </w:rPr>
                        </w:pPr>
                      </w:p>
                      <w:p w14:paraId="774234A8" w14:textId="77777777" w:rsidR="00536A37" w:rsidRPr="00E002B8" w:rsidRDefault="00536A37" w:rsidP="0031742E">
                        <w:pPr>
                          <w:rPr>
                            <w:rFonts w:ascii="Times New Roman" w:hAnsi="Times New Roman" w:cs="Times New Roman"/>
                            <w:sz w:val="21"/>
                            <w:szCs w:val="21"/>
                          </w:rPr>
                        </w:pPr>
                      </w:p>
                    </w:txbxContent>
                  </v:textbox>
                </v:rect>
                <v:rect id="Rectangle 213" o:spid="_x0000_s1032" style="position:absolute;left:719;top:5447;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0e2841 [3215]" stroked="f" strokeweight="1pt">
                  <v:textbox inset="14.4pt,14.4pt,14.4pt,28.8pt">
                    <w:txbxContent>
                      <w:p w14:paraId="6A6DCE4C" w14:textId="77777777" w:rsidR="0031742E" w:rsidRDefault="0031742E" w:rsidP="0031742E">
                        <w:pPr>
                          <w:spacing w:before="240"/>
                          <w:rPr>
                            <w:color w:val="FFFFFF" w:themeColor="background1"/>
                          </w:rPr>
                        </w:pPr>
                      </w:p>
                    </w:txbxContent>
                  </v:textbox>
                </v:rect>
                <v:rect id="Rectangle 214" o:spid="_x0000_s1033"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156082 [3204]" stroked="f" strokeweight="1pt">
                  <v:textbox inset="14.4pt,14.4pt,14.4pt,28.8pt">
                    <w:txbxContent>
                      <w:p w14:paraId="62F2EA28" w14:textId="77777777" w:rsidR="0031742E" w:rsidRDefault="0031742E" w:rsidP="0031742E">
                        <w:pPr>
                          <w:spacing w:before="240"/>
                          <w:rPr>
                            <w:color w:val="FFFFFF" w:themeColor="background1"/>
                          </w:rPr>
                        </w:pPr>
                      </w:p>
                    </w:txbxContent>
                  </v:textbox>
                </v:rect>
                <w10:wrap type="square" anchorx="page" anchory="page"/>
              </v:group>
            </w:pict>
          </mc:Fallback>
        </mc:AlternateContent>
      </w:r>
      <w:r>
        <w:t xml:space="preserve">Lemonade is a single product, </w:t>
      </w:r>
      <w:r w:rsidR="008D443D">
        <w:t>which</w:t>
      </w:r>
      <w:r>
        <w:t xml:space="preserve"> cannot be unbundled. You cannot get the lemons back and you cannot get the sugar back.</w:t>
      </w:r>
    </w:p>
    <w:p w14:paraId="61F958A6" w14:textId="77777777" w:rsidR="007B7491" w:rsidRDefault="007B7491" w:rsidP="007B7491">
      <w:r>
        <w:t>The above paragraphs demonstrate “distinct and identifiable,” but the term is defined, though only in the negative. The definition excludes packaging materials, bags, bottles, and other similar items. The definition also excludes things “provided free of charge with the required purchase of another product” as well as items included in the purchase price.</w:t>
      </w:r>
      <w:r>
        <w:rPr>
          <w:rStyle w:val="FootnoteReference"/>
        </w:rPr>
        <w:footnoteReference w:id="15"/>
      </w:r>
    </w:p>
    <w:p w14:paraId="09F6B493" w14:textId="0A8E5C54" w:rsidR="007B7491" w:rsidRDefault="007B7491" w:rsidP="007B7491">
      <w:r>
        <w:t>It is important here to note that the adage “if you can’t unbundle it, it isn’t a bundle” does not go both ways. As with bags and packaging materials, these items could easily be unbundled, but that does not mean they make a bundle as they are excluded</w:t>
      </w:r>
      <w:r w:rsidR="003D720F">
        <w:t xml:space="preserve"> from the taxability analysis</w:t>
      </w:r>
      <w:r>
        <w:t>.</w:t>
      </w:r>
    </w:p>
    <w:p w14:paraId="7CEBF1CD" w14:textId="085C99BD" w:rsidR="007B7491" w:rsidRPr="007B7491" w:rsidRDefault="007B7491" w:rsidP="007B7491">
      <w:r>
        <w:t>“One nonitemized price” is also defined, and only in the negative. It is defined as excluding a price that is separately identified by product on a receipt or other sales-related documentation that is made available to the customer. Qualifying documentation includes invoices, bills of sale, contracts, service or lease agreements, rate cards, and other similar documentation.</w:t>
      </w:r>
      <w:r>
        <w:rPr>
          <w:rStyle w:val="FootnoteReference"/>
        </w:rPr>
        <w:footnoteReference w:id="16"/>
      </w:r>
    </w:p>
    <w:p w14:paraId="63F732C0" w14:textId="2F912DB5" w:rsidR="00A363B6" w:rsidRDefault="00C5322F" w:rsidP="00A363B6">
      <w:pPr>
        <w:pStyle w:val="Heading2"/>
        <w:numPr>
          <w:ilvl w:val="0"/>
          <w:numId w:val="5"/>
        </w:numPr>
        <w:rPr>
          <w:rStyle w:val="Heading3Char"/>
        </w:rPr>
      </w:pPr>
      <w:r>
        <w:rPr>
          <w:rStyle w:val="Heading3Char"/>
        </w:rPr>
        <w:t xml:space="preserve">Streamlined </w:t>
      </w:r>
      <w:r w:rsidR="00A363B6">
        <w:rPr>
          <w:rStyle w:val="Heading3Char"/>
        </w:rPr>
        <w:t>Exclusions</w:t>
      </w:r>
    </w:p>
    <w:p w14:paraId="2ADBD3BF" w14:textId="53EE3C57" w:rsidR="00A363B6" w:rsidRPr="00A363B6" w:rsidRDefault="00A363B6" w:rsidP="00A363B6">
      <w:r>
        <w:t>There are several exclusions from the Streamlined rules</w:t>
      </w:r>
      <w:r w:rsidR="0033465C">
        <w:t>.</w:t>
      </w:r>
    </w:p>
    <w:p w14:paraId="196DBE68" w14:textId="28CA9DE8" w:rsidR="0033465C" w:rsidRDefault="0033465C" w:rsidP="007B7491">
      <w:pPr>
        <w:pStyle w:val="Heading2"/>
        <w:numPr>
          <w:ilvl w:val="1"/>
          <w:numId w:val="5"/>
        </w:numPr>
        <w:rPr>
          <w:rStyle w:val="Heading3Char"/>
        </w:rPr>
      </w:pPr>
      <w:r>
        <w:rPr>
          <w:rStyle w:val="Heading3Char"/>
        </w:rPr>
        <w:t>True object exclusion</w:t>
      </w:r>
    </w:p>
    <w:p w14:paraId="10BF4ABD" w14:textId="5426A3B9" w:rsidR="005511AE" w:rsidRPr="0033465C" w:rsidRDefault="0033465C" w:rsidP="0033465C">
      <w:r>
        <w:t xml:space="preserve">The true object exclusion from the Streamlined bundling rules is the most interesting one. The true object exclusion states that if the taxable tangible personal property is essential to the exempt service, </w:t>
      </w:r>
      <w:r w:rsidRPr="0033465C">
        <w:rPr>
          <w:i/>
          <w:iCs/>
        </w:rPr>
        <w:t>and</w:t>
      </w:r>
      <w:r>
        <w:t xml:space="preserve"> is provided only in connection with the exempt service, </w:t>
      </w:r>
      <w:r w:rsidRPr="0033465C">
        <w:rPr>
          <w:i/>
          <w:iCs/>
        </w:rPr>
        <w:t>and</w:t>
      </w:r>
      <w:r>
        <w:t xml:space="preserve"> the true object of the entire transaction is the exempt service component, then the transaction is excluded from the Streamlined bundling rule.</w:t>
      </w:r>
      <w:r>
        <w:rPr>
          <w:rStyle w:val="FootnoteReference"/>
        </w:rPr>
        <w:footnoteReference w:id="17"/>
      </w:r>
      <w:r>
        <w:t xml:space="preserve"> This means that even if the true object of a transaction is an exempt service, the transaction might still be treated under the Streamlined bundling rule, unless some other exception applies.</w:t>
      </w:r>
    </w:p>
    <w:p w14:paraId="20F7A499" w14:textId="58E9B88A" w:rsidR="0033465C" w:rsidRDefault="0033465C" w:rsidP="007B7491">
      <w:pPr>
        <w:pStyle w:val="Heading2"/>
        <w:numPr>
          <w:ilvl w:val="1"/>
          <w:numId w:val="5"/>
        </w:numPr>
        <w:rPr>
          <w:rStyle w:val="Heading3Char"/>
        </w:rPr>
      </w:pPr>
      <w:r>
        <w:rPr>
          <w:rStyle w:val="Heading3Char"/>
        </w:rPr>
        <w:lastRenderedPageBreak/>
        <w:t>De minimis exclusion</w:t>
      </w:r>
    </w:p>
    <w:p w14:paraId="22B89D90" w14:textId="46DEAA2A" w:rsidR="0033465C" w:rsidRPr="0033465C" w:rsidRDefault="000D1AAD" w:rsidP="0033465C">
      <w:r>
        <w:t>The de minimis exclusion is what it sounds like. It excludes from a bundle a transaction that includes both taxable and nontaxable products if the purchase price or sales price of the taxable product is 10 percent or less of the total purchase or sales price.</w:t>
      </w:r>
      <w:r>
        <w:rPr>
          <w:rStyle w:val="FootnoteReference"/>
        </w:rPr>
        <w:footnoteReference w:id="18"/>
      </w:r>
    </w:p>
    <w:p w14:paraId="56F3C962" w14:textId="155FDDE1" w:rsidR="0033465C" w:rsidRDefault="0033465C" w:rsidP="007B7491">
      <w:pPr>
        <w:pStyle w:val="Heading2"/>
        <w:numPr>
          <w:ilvl w:val="1"/>
          <w:numId w:val="5"/>
        </w:numPr>
        <w:rPr>
          <w:rStyle w:val="Heading3Char"/>
        </w:rPr>
      </w:pPr>
      <w:r>
        <w:rPr>
          <w:rStyle w:val="Heading3Char"/>
        </w:rPr>
        <w:t>Variable sales price</w:t>
      </w:r>
      <w:r w:rsidR="003E3B77">
        <w:rPr>
          <w:rStyle w:val="Heading3Char"/>
        </w:rPr>
        <w:t xml:space="preserve"> exclusion</w:t>
      </w:r>
    </w:p>
    <w:p w14:paraId="143297EC" w14:textId="71AF50B7" w:rsidR="0033465C" w:rsidRPr="0033465C" w:rsidRDefault="000D1AAD" w:rsidP="0033465C">
      <w:r>
        <w:t xml:space="preserve">This exclusion excludes transactions where the sales price is variable or negotiable based on the purchaser’s selections. For example, </w:t>
      </w:r>
      <w:r w:rsidR="009B7AAD">
        <w:t>in a situation where a vendor offered “mix and match” packages where the customer got some choice in the package and the discounting depended on those choices, the Department of Revenue determined the sales price varied based on the purchaser’s selections and the transaction was not a bundle.</w:t>
      </w:r>
      <w:r w:rsidR="009B7AAD">
        <w:rPr>
          <w:rStyle w:val="FootnoteReference"/>
        </w:rPr>
        <w:footnoteReference w:id="19"/>
      </w:r>
    </w:p>
    <w:p w14:paraId="465C1A97" w14:textId="24AACC79" w:rsidR="0033465C" w:rsidRDefault="0033465C" w:rsidP="007B7491">
      <w:pPr>
        <w:pStyle w:val="Heading2"/>
        <w:numPr>
          <w:ilvl w:val="1"/>
          <w:numId w:val="5"/>
        </w:numPr>
        <w:rPr>
          <w:rStyle w:val="Heading3Char"/>
        </w:rPr>
      </w:pPr>
      <w:r>
        <w:rPr>
          <w:rStyle w:val="Heading3Char"/>
        </w:rPr>
        <w:t>Food, drug, and medical equipment exclusion</w:t>
      </w:r>
    </w:p>
    <w:p w14:paraId="5E2BBC64" w14:textId="07A6EA74" w:rsidR="002318E7" w:rsidRDefault="005511AE" w:rsidP="0033465C">
      <w:r>
        <w:t>This exclusion is a version of the de minimis rule. The exclusion states that if the transaction involves food, drugs, or certain medical equipment or devices and the purchase price or sales price of the taxable portion is 50 percent or less of the total purchase price or sales price, then the transaction is not a bundle.</w:t>
      </w:r>
      <w:r>
        <w:rPr>
          <w:rStyle w:val="FootnoteReference"/>
        </w:rPr>
        <w:footnoteReference w:id="20"/>
      </w:r>
      <w:r>
        <w:t xml:space="preserve"> Although the language is not clear, this exemption is likely meant to apply when the transaction involves </w:t>
      </w:r>
      <w:r w:rsidRPr="00E364CF">
        <w:rPr>
          <w:i/>
          <w:iCs/>
        </w:rPr>
        <w:t>exempt</w:t>
      </w:r>
      <w:r w:rsidR="00E364CF">
        <w:t xml:space="preserve"> food, drugs, or certain medical equipment or devices.</w:t>
      </w:r>
    </w:p>
    <w:bookmarkEnd w:id="1"/>
    <w:p w14:paraId="24CB0AB2" w14:textId="4B75B840" w:rsidR="00E364CF" w:rsidRDefault="0074249A" w:rsidP="00E364CF">
      <w:pPr>
        <w:pStyle w:val="Heading2"/>
      </w:pPr>
      <w:r>
        <w:t>B</w:t>
      </w:r>
      <w:r w:rsidR="00DD0DF4">
        <w:t xml:space="preserve">. </w:t>
      </w:r>
      <w:proofErr w:type="gramStart"/>
      <w:r w:rsidR="00C71858" w:rsidRPr="00F13587">
        <w:t>Non-streamlined</w:t>
      </w:r>
      <w:proofErr w:type="gramEnd"/>
      <w:r w:rsidR="00C71858" w:rsidRPr="00F13587">
        <w:t xml:space="preserve"> states</w:t>
      </w:r>
    </w:p>
    <w:p w14:paraId="200B12AE" w14:textId="77777777" w:rsidR="00E364CF" w:rsidRDefault="00E364CF" w:rsidP="00E364CF">
      <w:r>
        <w:t>Outside of the rules and definitions created by Streamlined, there are not many explicit bundling statutes out there, especially as a tax imposition. Mostly there are administrative rules and other guidance relying on the definition of sales price being inclusive enough to tax things that are sold along with tangible personal property or other taxable items. There is also the true object test.</w:t>
      </w:r>
    </w:p>
    <w:p w14:paraId="63D86524" w14:textId="308A2EAA" w:rsidR="00E364CF" w:rsidRDefault="00023299" w:rsidP="00E364CF">
      <w:pPr>
        <w:pStyle w:val="Heading2"/>
        <w:numPr>
          <w:ilvl w:val="0"/>
          <w:numId w:val="6"/>
        </w:numPr>
        <w:rPr>
          <w:rStyle w:val="Heading3Char"/>
        </w:rPr>
      </w:pPr>
      <w:r>
        <w:rPr>
          <w:rStyle w:val="Heading3Char"/>
        </w:rPr>
        <w:t>The role</w:t>
      </w:r>
      <w:r w:rsidR="00E364CF">
        <w:rPr>
          <w:rStyle w:val="Heading3Char"/>
        </w:rPr>
        <w:t xml:space="preserve"> of sales price</w:t>
      </w:r>
    </w:p>
    <w:p w14:paraId="42A47598" w14:textId="21295303" w:rsidR="00207DE5" w:rsidRDefault="00207DE5" w:rsidP="00207DE5">
      <w:r>
        <w:t xml:space="preserve">Many states address </w:t>
      </w:r>
      <w:r w:rsidR="00C57020">
        <w:t>the issue raised by bundling</w:t>
      </w:r>
      <w:r>
        <w:t xml:space="preserve"> in some form, </w:t>
      </w:r>
      <w:r w:rsidR="00C57020">
        <w:t>whether through</w:t>
      </w:r>
      <w:r>
        <w:t xml:space="preserve"> </w:t>
      </w:r>
      <w:r w:rsidR="00C57020">
        <w:t xml:space="preserve">case law or in regulations. </w:t>
      </w:r>
      <w:r w:rsidR="00B526C8">
        <w:t>In both cases, state</w:t>
      </w:r>
      <w:r w:rsidR="00BE5479">
        <w:t>s</w:t>
      </w:r>
      <w:r w:rsidR="00B526C8">
        <w:t xml:space="preserve"> often rel</w:t>
      </w:r>
      <w:r w:rsidR="00BE5479">
        <w:t>y</w:t>
      </w:r>
      <w:r w:rsidR="00B526C8">
        <w:t xml:space="preserve"> on the definition of “sales price” or an equivalent term</w:t>
      </w:r>
      <w:r w:rsidR="00BE5479">
        <w:t xml:space="preserve"> in their sales taxes. A </w:t>
      </w:r>
      <w:r w:rsidR="005E2312">
        <w:t>straightforward</w:t>
      </w:r>
      <w:r w:rsidR="00BE5479">
        <w:t xml:space="preserve"> </w:t>
      </w:r>
      <w:r w:rsidR="00BE5479" w:rsidRPr="005E2312">
        <w:t>example of this is</w:t>
      </w:r>
      <w:r w:rsidR="00FA30BB">
        <w:t xml:space="preserve"> Florida’s definition of “sales price”</w:t>
      </w:r>
      <w:r w:rsidR="00607030">
        <w:t xml:space="preserve"> as the total amount paid, including any services that are part of the sale.</w:t>
      </w:r>
      <w:r w:rsidR="00607030">
        <w:rPr>
          <w:rStyle w:val="FootnoteReference"/>
        </w:rPr>
        <w:footnoteReference w:id="21"/>
      </w:r>
      <w:r w:rsidR="005E2312">
        <w:t xml:space="preserve"> Florida </w:t>
      </w:r>
      <w:r w:rsidR="004B360C">
        <w:t>then</w:t>
      </w:r>
      <w:r w:rsidR="005E2312">
        <w:t xml:space="preserve"> </w:t>
      </w:r>
      <w:r w:rsidR="004B360C">
        <w:t>from tax</w:t>
      </w:r>
      <w:r w:rsidR="009C7A50">
        <w:t xml:space="preserve"> professional or personal services transactions involving taxable sales </w:t>
      </w:r>
      <w:r w:rsidR="004B360C">
        <w:t xml:space="preserve">that are </w:t>
      </w:r>
      <w:r w:rsidR="00B367F5">
        <w:t xml:space="preserve">inconsequential and </w:t>
      </w:r>
      <w:r w:rsidR="004B360C">
        <w:t>not separately stated.</w:t>
      </w:r>
    </w:p>
    <w:p w14:paraId="12429B2E" w14:textId="6A9D09CB" w:rsidR="003375CD" w:rsidRDefault="003375CD" w:rsidP="00207DE5">
      <w:r>
        <w:t>Taken together, this creates a bundling rule</w:t>
      </w:r>
      <w:r w:rsidR="00494EDC">
        <w:t xml:space="preserve"> under which any transaction that includes taxable TPP is taxable on the entire amount charged, regardless of the inclusion of nontaxable services</w:t>
      </w:r>
      <w:r w:rsidR="00633C67">
        <w:t>, unless those services are both inconsequential and separately stated.</w:t>
      </w:r>
    </w:p>
    <w:p w14:paraId="085CABE8" w14:textId="29F4F073" w:rsidR="00287D3D" w:rsidRPr="00207DE5" w:rsidRDefault="00287D3D" w:rsidP="00207DE5">
      <w:r>
        <w:lastRenderedPageBreak/>
        <w:t xml:space="preserve">Idaho </w:t>
      </w:r>
      <w:r w:rsidR="00B02795">
        <w:t>has adopted a</w:t>
      </w:r>
      <w:r>
        <w:t xml:space="preserve"> regulation under the</w:t>
      </w:r>
      <w:r w:rsidR="00B02795">
        <w:t>ir</w:t>
      </w:r>
      <w:r>
        <w:t xml:space="preserve"> statutory definitions of “retail sale,” “sale,” and “sales price.”</w:t>
      </w:r>
      <w:r w:rsidR="006C7A9C">
        <w:rPr>
          <w:rStyle w:val="FootnoteReference"/>
        </w:rPr>
        <w:footnoteReference w:id="22"/>
      </w:r>
      <w:r>
        <w:t xml:space="preserve"> </w:t>
      </w:r>
      <w:r w:rsidR="008D5A06">
        <w:t xml:space="preserve">The rule provides that when a sale of TPP includes incidental services, </w:t>
      </w:r>
      <w:r w:rsidR="0054744C">
        <w:t>sales tax applies to the entire amount charged.</w:t>
      </w:r>
      <w:r w:rsidR="008F2586">
        <w:t xml:space="preserve"> The rule further provides that if </w:t>
      </w:r>
      <w:r w:rsidR="00515E9C">
        <w:t xml:space="preserve">a service transaction includes incidental </w:t>
      </w:r>
      <w:r w:rsidR="008F2586">
        <w:t>TPP, the transaction is not taxable</w:t>
      </w:r>
      <w:r w:rsidR="00515E9C">
        <w:t>. The rule provides</w:t>
      </w:r>
      <w:r w:rsidR="00EC700D">
        <w:t xml:space="preserve"> that the test is whether the </w:t>
      </w:r>
      <w:r w:rsidR="009629E4">
        <w:t>service involved is consequential or inconsequential.</w:t>
      </w:r>
    </w:p>
    <w:p w14:paraId="473C43F8" w14:textId="24446A73" w:rsidR="000656D3" w:rsidRPr="008A4DAD" w:rsidRDefault="00023299" w:rsidP="00836A73">
      <w:pPr>
        <w:pStyle w:val="Heading2"/>
        <w:numPr>
          <w:ilvl w:val="0"/>
          <w:numId w:val="6"/>
        </w:numPr>
        <w:rPr>
          <w:sz w:val="28"/>
          <w:szCs w:val="28"/>
        </w:rPr>
      </w:pPr>
      <w:r>
        <w:rPr>
          <w:rStyle w:val="Heading3Char"/>
        </w:rPr>
        <w:t>Sample n</w:t>
      </w:r>
      <w:r w:rsidR="00EC0B60">
        <w:rPr>
          <w:rStyle w:val="Heading3Char"/>
        </w:rPr>
        <w:t>on-streamlined</w:t>
      </w:r>
      <w:r w:rsidR="006C61BB">
        <w:rPr>
          <w:rStyle w:val="Heading3Char"/>
        </w:rPr>
        <w:t xml:space="preserve"> bundling rules</w:t>
      </w:r>
    </w:p>
    <w:p w14:paraId="13E2B9F8" w14:textId="1254637F" w:rsidR="006025E9" w:rsidRPr="00154984" w:rsidRDefault="006025E9" w:rsidP="00836A73">
      <w:pPr>
        <w:rPr>
          <w:b/>
          <w:bCs/>
        </w:rPr>
      </w:pPr>
      <w:r w:rsidRPr="00154984">
        <w:rPr>
          <w:b/>
          <w:bCs/>
        </w:rPr>
        <w:t>Colorado</w:t>
      </w:r>
    </w:p>
    <w:p w14:paraId="4B2EFEA0" w14:textId="63BE3ACD" w:rsidR="00EB57CA" w:rsidRDefault="008A4DAD" w:rsidP="00836A73">
      <w:r w:rsidRPr="008A4DAD">
        <w:t>Colorado imposes tax on the entire price of a bundled transaction, unless the value of the taxable item is de minimis.</w:t>
      </w:r>
      <w:r>
        <w:rPr>
          <w:rStyle w:val="FootnoteReference"/>
        </w:rPr>
        <w:footnoteReference w:id="23"/>
      </w:r>
      <w:r w:rsidR="0071073E">
        <w:t xml:space="preserve"> Colorado also provides that </w:t>
      </w:r>
      <w:r w:rsidR="00427BFF">
        <w:t>s</w:t>
      </w:r>
      <w:r w:rsidR="00427BFF" w:rsidRPr="00427BFF">
        <w:t>ervices that are otherwise excluded from sales tax are taxable if provided as part of a mixed transaction that includes the sale of TPP or taxable services.</w:t>
      </w:r>
      <w:r w:rsidR="00427BFF">
        <w:rPr>
          <w:rStyle w:val="FootnoteReference"/>
        </w:rPr>
        <w:footnoteReference w:id="24"/>
      </w:r>
      <w:r w:rsidR="00925A91">
        <w:t xml:space="preserve"> </w:t>
      </w:r>
      <w:r w:rsidR="00996335" w:rsidRPr="00996335">
        <w:t xml:space="preserve">Colorado law uses the term “separable” for bundling analysis. This </w:t>
      </w:r>
      <w:r w:rsidR="00655AA5">
        <w:t xml:space="preserve">concept </w:t>
      </w:r>
      <w:r w:rsidR="00996335" w:rsidRPr="00996335">
        <w:t xml:space="preserve">is from the </w:t>
      </w:r>
      <w:r w:rsidR="00996335" w:rsidRPr="00996335">
        <w:rPr>
          <w:i/>
          <w:iCs/>
        </w:rPr>
        <w:t>A.D. Store</w:t>
      </w:r>
      <w:r w:rsidR="00996335" w:rsidRPr="00996335">
        <w:t xml:space="preserve"> case.</w:t>
      </w:r>
      <w:r w:rsidR="00996335" w:rsidRPr="00996335">
        <w:rPr>
          <w:vertAlign w:val="superscript"/>
        </w:rPr>
        <w:footnoteReference w:id="25"/>
      </w:r>
      <w:r w:rsidR="00996335" w:rsidRPr="00996335">
        <w:t xml:space="preserve"> This is a similar concept to “distinct and identifiable” under Streamlined. </w:t>
      </w:r>
      <w:r w:rsidR="00925A91">
        <w:t>Colorado Special Rule 18</w:t>
      </w:r>
      <w:r w:rsidR="00925A91">
        <w:rPr>
          <w:rStyle w:val="FootnoteReference"/>
        </w:rPr>
        <w:footnoteReference w:id="26"/>
      </w:r>
      <w:r w:rsidR="00925A91">
        <w:t xml:space="preserve"> states that transportation charges are not taxable if they are both separable and stated separately on a written invoice. In general, the Department requires the nontaxable items to be separately stated to avoid tax if those items are separable.</w:t>
      </w:r>
    </w:p>
    <w:p w14:paraId="7A97E421" w14:textId="73E1E7E4" w:rsidR="003A2985" w:rsidRDefault="00996335" w:rsidP="00836A73">
      <w:r w:rsidRPr="00996335">
        <w:t xml:space="preserve">Colorado </w:t>
      </w:r>
      <w:r w:rsidR="00E733E6">
        <w:t>Private Letter Ruling 23-004</w:t>
      </w:r>
      <w:r w:rsidR="003029D9">
        <w:t xml:space="preserve"> addresses the</w:t>
      </w:r>
      <w:r w:rsidRPr="00996335">
        <w:t xml:space="preserve"> concept of separability</w:t>
      </w:r>
      <w:r w:rsidR="00555729">
        <w:t>.</w:t>
      </w:r>
      <w:r w:rsidR="00245169">
        <w:t xml:space="preserve"> The ruling describes an item as separable if its </w:t>
      </w:r>
      <w:r w:rsidR="00CF3F21">
        <w:t>nature remains the same whether it is contracted for as part of the mixed transaction or at a later time, and purchase of the item at a later time is possible.</w:t>
      </w:r>
      <w:r w:rsidR="009019ED">
        <w:rPr>
          <w:rStyle w:val="FootnoteReference"/>
        </w:rPr>
        <w:footnoteReference w:id="27"/>
      </w:r>
      <w:r w:rsidR="00424F35">
        <w:t xml:space="preserve"> The ruling addressed travel experience packages that were sold for a fixed price. The ruling turned</w:t>
      </w:r>
      <w:r w:rsidR="00A3030F">
        <w:t xml:space="preserve"> on the fact that the seller did not market or sell the parts of the package separately. Th</w:t>
      </w:r>
      <w:r w:rsidR="00E877D7">
        <w:t>e Department determined this</w:t>
      </w:r>
      <w:r w:rsidR="00A3030F">
        <w:t xml:space="preserve"> meant the</w:t>
      </w:r>
      <w:r w:rsidR="00555729">
        <w:t xml:space="preserve"> elements were not separable</w:t>
      </w:r>
      <w:r w:rsidR="00E877D7">
        <w:t>.</w:t>
      </w:r>
      <w:r w:rsidR="00555729">
        <w:t xml:space="preserve"> </w:t>
      </w:r>
      <w:r w:rsidR="00E877D7">
        <w:t>Because the items were not separable, the true object test applied rather than the bundling treatment</w:t>
      </w:r>
      <w:r w:rsidR="00555729">
        <w:t>.</w:t>
      </w:r>
      <w:r w:rsidR="00F873C9">
        <w:t xml:space="preserve"> The Department then determined the true object of the transaction was the two-day train travel experience.</w:t>
      </w:r>
    </w:p>
    <w:p w14:paraId="383C346D" w14:textId="6088D983" w:rsidR="006025E9" w:rsidRPr="00154984" w:rsidRDefault="006025E9" w:rsidP="00836A73">
      <w:pPr>
        <w:rPr>
          <w:b/>
          <w:bCs/>
        </w:rPr>
      </w:pPr>
      <w:r w:rsidRPr="00154984">
        <w:rPr>
          <w:b/>
          <w:bCs/>
        </w:rPr>
        <w:t>Arizona</w:t>
      </w:r>
    </w:p>
    <w:p w14:paraId="07DB23B3" w14:textId="5C146C18" w:rsidR="006025E9" w:rsidRDefault="006025E9" w:rsidP="00836A73">
      <w:r>
        <w:t xml:space="preserve">Arizona appears to have </w:t>
      </w:r>
      <w:r w:rsidR="00F27373">
        <w:t xml:space="preserve">a statutory bundling provision, but it is undercut by court opinions using the true object test, or its variants, instead. </w:t>
      </w:r>
    </w:p>
    <w:p w14:paraId="58AC2901" w14:textId="08CD9259" w:rsidR="00F27373" w:rsidRDefault="003568C0" w:rsidP="00836A73">
      <w:r>
        <w:t>In Arizona,</w:t>
      </w:r>
      <w:r w:rsidR="00AF71B1" w:rsidRPr="00AF71B1">
        <w:rPr>
          <w:rFonts w:ascii="Calibri" w:eastAsia="Times New Roman" w:hAnsi="Calibri" w:cs="Calibri"/>
          <w:color w:val="000000"/>
          <w:kern w:val="0"/>
          <w14:ligatures w14:val="none"/>
        </w:rPr>
        <w:t xml:space="preserve"> </w:t>
      </w:r>
      <w:r w:rsidR="00AF71B1" w:rsidRPr="00AF71B1">
        <w:t>TPP and services that are transferred together for a single, non-segregated price are taxable on the entire amount charged, if the property is a consequential element of the transaction.</w:t>
      </w:r>
      <w:r w:rsidR="00AF71B1">
        <w:rPr>
          <w:rStyle w:val="FootnoteReference"/>
        </w:rPr>
        <w:footnoteReference w:id="28"/>
      </w:r>
      <w:r w:rsidR="00435649">
        <w:t xml:space="preserve"> </w:t>
      </w:r>
      <w:r w:rsidR="00EC77FD">
        <w:lastRenderedPageBreak/>
        <w:t xml:space="preserve">Arizona also provides that </w:t>
      </w:r>
      <w:r w:rsidR="00EB37AC">
        <w:t>w</w:t>
      </w:r>
      <w:r w:rsidR="00EB37AC" w:rsidRPr="00EB37AC">
        <w:t>here the TPP is an inconsequential element of rendering the nontaxable service, then the entire amount is not taxed.</w:t>
      </w:r>
      <w:r w:rsidR="00EB37AC">
        <w:rPr>
          <w:rStyle w:val="FootnoteReference"/>
        </w:rPr>
        <w:footnoteReference w:id="29"/>
      </w:r>
      <w:r w:rsidR="00A30082">
        <w:t xml:space="preserve"> T</w:t>
      </w:r>
      <w:r w:rsidR="00374396">
        <w:t xml:space="preserve">o qualify as an “inconsequential element:” (1) the amount paid by the </w:t>
      </w:r>
      <w:r w:rsidR="00184B50">
        <w:t>service provider for the TPP must be less than 15% of the amount charged by the service provider for their service; the TPP must not be in a form that is subject to retail sale; and (3)</w:t>
      </w:r>
      <w:r w:rsidR="009870EC">
        <w:t xml:space="preserve"> there is no separately stated charge for the TPP.</w:t>
      </w:r>
      <w:r w:rsidR="009870EC">
        <w:rPr>
          <w:rStyle w:val="FootnoteReference"/>
        </w:rPr>
        <w:footnoteReference w:id="30"/>
      </w:r>
    </w:p>
    <w:p w14:paraId="39E058DB" w14:textId="6A98F31A" w:rsidR="009B0C4B" w:rsidRPr="00836A73" w:rsidRDefault="009B0C4B" w:rsidP="00836A73">
      <w:r>
        <w:t xml:space="preserve">However, when the </w:t>
      </w:r>
      <w:r w:rsidR="0054454F">
        <w:t>issue came up regarding direct mail advertising, the Arizona Supreme Court applied a true object test analysis</w:t>
      </w:r>
      <w:r w:rsidR="00B6033B">
        <w:t xml:space="preserve"> rather than applying the rules cited above</w:t>
      </w:r>
      <w:r w:rsidR="0054454F">
        <w:t>.</w:t>
      </w:r>
      <w:r w:rsidR="0054454F">
        <w:rPr>
          <w:rStyle w:val="FootnoteReference"/>
        </w:rPr>
        <w:footnoteReference w:id="31"/>
      </w:r>
    </w:p>
    <w:p w14:paraId="7208081C" w14:textId="42A1B206" w:rsidR="00567A85" w:rsidRDefault="00736E6B" w:rsidP="00E364CF">
      <w:pPr>
        <w:pStyle w:val="Heading2"/>
      </w:pPr>
      <w:r>
        <w:t>C</w:t>
      </w:r>
      <w:r w:rsidR="00E364CF">
        <w:t>. True object test and variants</w:t>
      </w:r>
    </w:p>
    <w:p w14:paraId="79BDD8B3" w14:textId="6C0A89BF" w:rsidR="00A2201C" w:rsidRDefault="000E4716" w:rsidP="000E4716">
      <w:r>
        <w:t xml:space="preserve">Codified bundling rules and the true object test are related. The true object test is the default bundling </w:t>
      </w:r>
      <w:r w:rsidR="00C41AC9">
        <w:t>rule,</w:t>
      </w:r>
      <w:r>
        <w:t xml:space="preserve"> and the various bundling rules are attempts at codifying the certain aspects and results of the true object test. Another way to word this is that bundling takes certain transactions, like those including two or more distinct and identifiable products, and denies those transactions treatment under the true object test.</w:t>
      </w:r>
      <w:r w:rsidR="00106514">
        <w:t xml:space="preserve"> Bundling is (probably) always a statute; true object test is case law.</w:t>
      </w:r>
    </w:p>
    <w:p w14:paraId="51EF0C52" w14:textId="34C60127" w:rsidR="00F548E6" w:rsidRDefault="00F548E6" w:rsidP="00F548E6">
      <w:pPr>
        <w:pStyle w:val="Heading3"/>
        <w:numPr>
          <w:ilvl w:val="0"/>
          <w:numId w:val="33"/>
        </w:numPr>
      </w:pPr>
      <w:r>
        <w:t>True object</w:t>
      </w:r>
    </w:p>
    <w:p w14:paraId="762CD0D1" w14:textId="2F898372" w:rsidR="00A2201C" w:rsidRPr="00A2201C" w:rsidRDefault="00A2201C" w:rsidP="00645B41">
      <w:pPr>
        <w:rPr>
          <w:b/>
          <w:bCs/>
        </w:rPr>
      </w:pPr>
      <w:r w:rsidRPr="00A2201C">
        <w:rPr>
          <w:b/>
          <w:bCs/>
        </w:rPr>
        <w:t>Tennessee</w:t>
      </w:r>
    </w:p>
    <w:p w14:paraId="753D8C10" w14:textId="5AB894AE" w:rsidR="00645B41" w:rsidRDefault="00645B41" w:rsidP="00645B41">
      <w:r>
        <w:t>Tennessee has had extensive development in their true object test case law, so this section will use their law to provide the basics.</w:t>
      </w:r>
    </w:p>
    <w:p w14:paraId="3BFB3275" w14:textId="4E5BA59A" w:rsidR="009F14F6" w:rsidRDefault="00925E55" w:rsidP="00925E55">
      <w:r>
        <w:t>In Tennessee, as in many states, t</w:t>
      </w:r>
      <w:r w:rsidRPr="00925E55">
        <w:t xml:space="preserve">he true object test is used in situations involving inseparable transfers of taxable and nontaxable components. The fact that it is used in inseparable transfers already highlights that it might not be the best to use in conjunction with bundling, as </w:t>
      </w:r>
      <w:r w:rsidR="00BF31AB">
        <w:t>we have</w:t>
      </w:r>
      <w:r w:rsidRPr="00925E55">
        <w:t xml:space="preserve"> heard it well said that “if you can’t unbundle it, it isn’t a bundle.”</w:t>
      </w:r>
    </w:p>
    <w:p w14:paraId="5A44963A" w14:textId="5920020B" w:rsidR="00925E55" w:rsidRPr="00925E55" w:rsidRDefault="00925E55" w:rsidP="00925E55">
      <w:r w:rsidRPr="00925E55">
        <w:t>Examples of transactions subject to the true object test in Tennessee: a painting an artist was commissioned to make, discount cards, and for an example with two services, a staffing company that provides workers, which is a nontaxable service, to a company that repairs TPP, which is a taxable service.</w:t>
      </w:r>
      <w:r w:rsidRPr="00925E55">
        <w:rPr>
          <w:vertAlign w:val="superscript"/>
        </w:rPr>
        <w:footnoteReference w:id="32"/>
      </w:r>
    </w:p>
    <w:p w14:paraId="144415CD" w14:textId="092688B1" w:rsidR="00925E55" w:rsidRPr="00925E55" w:rsidRDefault="00925E55" w:rsidP="00925E55">
      <w:r w:rsidRPr="00925E55">
        <w:t xml:space="preserve">In Tennessee, there are </w:t>
      </w:r>
      <w:r w:rsidR="006D75F5">
        <w:t xml:space="preserve">three categories of </w:t>
      </w:r>
      <w:r w:rsidRPr="00925E55">
        <w:t>results:</w:t>
      </w:r>
      <w:r w:rsidRPr="00925E55">
        <w:rPr>
          <w:vertAlign w:val="superscript"/>
        </w:rPr>
        <w:footnoteReference w:id="33"/>
      </w:r>
    </w:p>
    <w:p w14:paraId="43F9B602" w14:textId="0215E720" w:rsidR="00925E55" w:rsidRPr="00925E55" w:rsidRDefault="00925E55" w:rsidP="00D81E83">
      <w:r w:rsidRPr="00925E55">
        <w:t xml:space="preserve">1: A taxable true object and any crucial, essential, necessary, consequential, or integral elements of the transaction are taxable. This is not an all or nothing result, this is saying that even with a taxable true object, only the crucial, essential, necessary, consequential, or integral things come along with it </w:t>
      </w:r>
      <w:r w:rsidRPr="00925E55">
        <w:lastRenderedPageBreak/>
        <w:t>for taxation. Components that are not crucial, essential, necessary, consequential, or integral are treated some other way, even though the true object is taxable.</w:t>
      </w:r>
    </w:p>
    <w:p w14:paraId="69260763" w14:textId="3FF55802" w:rsidR="00925E55" w:rsidRPr="00925E55" w:rsidRDefault="00925E55" w:rsidP="00925E55">
      <w:r w:rsidRPr="00925E55">
        <w:t>2: A transaction with any taxable component that is crucial, essential, necessary, consequential, or integral is taxable, even if the true object is not independently taxable. This is a way to tax a transaction even if the true object is not taxable. As discussed above, under the Streamlined true object exclusion, there is a way to tax an entire transaction all even if the true object is nontaxable. This is another way, but is an opposite of Streamlined.</w:t>
      </w:r>
    </w:p>
    <w:p w14:paraId="77B2B0FC" w14:textId="4BD89F1E" w:rsidR="00645B41" w:rsidRPr="00645B41" w:rsidRDefault="00925E55" w:rsidP="00645B41">
      <w:r w:rsidRPr="00925E55">
        <w:t>3: If the true object is not taxable and the taxable items are merely incidental to the true object, then the transaction is not taxable. This one is more straightforward, but still not all or nothing.</w:t>
      </w:r>
    </w:p>
    <w:p w14:paraId="167477AE" w14:textId="70DE0C05" w:rsidR="00F548E6" w:rsidRDefault="00F548E6" w:rsidP="00F548E6">
      <w:pPr>
        <w:pStyle w:val="Heading3"/>
        <w:numPr>
          <w:ilvl w:val="0"/>
          <w:numId w:val="33"/>
        </w:numPr>
      </w:pPr>
      <w:r>
        <w:t xml:space="preserve">Variants </w:t>
      </w:r>
    </w:p>
    <w:p w14:paraId="688F7B48" w14:textId="77777777" w:rsidR="00DA441E" w:rsidRDefault="00DA441E" w:rsidP="00DA441E">
      <w:pPr>
        <w:spacing w:after="0" w:line="240" w:lineRule="auto"/>
      </w:pPr>
      <w:r w:rsidRPr="00E91102">
        <w:rPr>
          <w:b/>
        </w:rPr>
        <w:t>Common Understanding Test</w:t>
      </w:r>
      <w:r>
        <w:rPr>
          <w:rStyle w:val="FootnoteReference"/>
        </w:rPr>
        <w:footnoteReference w:id="34"/>
      </w:r>
    </w:p>
    <w:p w14:paraId="637B3633" w14:textId="77777777" w:rsidR="00DA441E" w:rsidRDefault="00DA441E" w:rsidP="00DA441E">
      <w:pPr>
        <w:spacing w:after="0" w:line="240" w:lineRule="auto"/>
      </w:pPr>
    </w:p>
    <w:p w14:paraId="772DC596" w14:textId="63796DE5" w:rsidR="00A61550" w:rsidRDefault="00DA441E" w:rsidP="00DA441E">
      <w:r>
        <w:t>The common understanding test looks to the common understanding that an average purchaser would attribute to a transaction.</w:t>
      </w:r>
      <w:r>
        <w:rPr>
          <w:rStyle w:val="FootnoteReference"/>
        </w:rPr>
        <w:footnoteReference w:id="35"/>
      </w:r>
      <w:r>
        <w:t xml:space="preserve"> An early case using this method considered a provider of credit ratings that provided those rating in physical books.</w:t>
      </w:r>
      <w:r>
        <w:rPr>
          <w:rStyle w:val="FootnoteReference"/>
        </w:rPr>
        <w:footnoteReference w:id="36"/>
      </w:r>
      <w:r>
        <w:t xml:space="preserve"> The court relied on the common understanding of what was important, the rating of credit, not the books themselves.</w:t>
      </w:r>
      <w:r>
        <w:rPr>
          <w:rStyle w:val="FootnoteReference"/>
        </w:rPr>
        <w:footnoteReference w:id="37"/>
      </w:r>
    </w:p>
    <w:p w14:paraId="3BEB2730" w14:textId="05585AFB" w:rsidR="00DA441E" w:rsidRDefault="00875506" w:rsidP="00DA441E">
      <w:r>
        <w:t>A</w:t>
      </w:r>
      <w:r w:rsidR="001E0FE7">
        <w:t xml:space="preserve"> more modern adoption of the common understanding test can be found in </w:t>
      </w:r>
      <w:r w:rsidR="00EB741A" w:rsidRPr="00BC3A8B">
        <w:rPr>
          <w:i/>
          <w:iCs/>
        </w:rPr>
        <w:t xml:space="preserve">City of Boulder v. </w:t>
      </w:r>
      <w:proofErr w:type="spellStart"/>
      <w:r w:rsidR="00EB741A" w:rsidRPr="00BC3A8B">
        <w:rPr>
          <w:i/>
          <w:iCs/>
        </w:rPr>
        <w:t>Leanin</w:t>
      </w:r>
      <w:proofErr w:type="spellEnd"/>
      <w:r w:rsidR="00EB741A" w:rsidRPr="00BC3A8B">
        <w:rPr>
          <w:i/>
          <w:iCs/>
        </w:rPr>
        <w:t>’ Tree, Inc.</w:t>
      </w:r>
      <w:r w:rsidR="00EB741A" w:rsidRPr="00EB741A">
        <w:rPr>
          <w:rStyle w:val="FootnoteReference"/>
        </w:rPr>
        <w:footnoteReference w:id="38"/>
      </w:r>
      <w:r w:rsidR="00EB741A">
        <w:t xml:space="preserve"> There, the </w:t>
      </w:r>
      <w:r w:rsidR="00554D9E">
        <w:t xml:space="preserve">Colorado Supreme Court surveyed the </w:t>
      </w:r>
      <w:r w:rsidR="000D1143">
        <w:t>numerous</w:t>
      </w:r>
      <w:r w:rsidR="00554D9E">
        <w:t xml:space="preserve"> tests and eventually adopted a case-by-case approach considering the totality of the circumstances and whether the transaction is commonly viewed as a sale of service or sale of goods.</w:t>
      </w:r>
    </w:p>
    <w:p w14:paraId="50B94611" w14:textId="77777777" w:rsidR="00774185" w:rsidRDefault="00774185" w:rsidP="00774185">
      <w:r>
        <w:t>The Arizona Court of Appeals applied both the true object test and the common understanding test, with some value of the TPP versus the intangibles analysis as well.</w:t>
      </w:r>
      <w:r>
        <w:rPr>
          <w:rStyle w:val="FootnoteReference"/>
        </w:rPr>
        <w:footnoteReference w:id="39"/>
      </w:r>
      <w:r>
        <w:t xml:space="preserve"> In </w:t>
      </w:r>
      <w:r w:rsidRPr="00906AFC">
        <w:rPr>
          <w:i/>
          <w:iCs/>
        </w:rPr>
        <w:t>Val-Pak East</w:t>
      </w:r>
      <w:r>
        <w:rPr>
          <w:i/>
          <w:iCs/>
        </w:rPr>
        <w:t xml:space="preserve"> Valley</w:t>
      </w:r>
      <w:r>
        <w:t xml:space="preserve">, the Arizona court held that two tests were considered to determine the categorization of a transaction. </w:t>
      </w:r>
    </w:p>
    <w:p w14:paraId="55538AC3" w14:textId="38CD38FE" w:rsidR="00482945" w:rsidRDefault="00E352A0" w:rsidP="00774185">
      <w:r>
        <w:t xml:space="preserve">The court determined the dominant purpose, or true object, of the transaction was to </w:t>
      </w:r>
      <w:r w:rsidR="007C50BE">
        <w:t xml:space="preserve">obtain design, mailing, and printing services, not TPP. </w:t>
      </w:r>
      <w:r w:rsidR="00B34A2A">
        <w:t xml:space="preserve">Before moving on from the true object test, the court mentioned that the </w:t>
      </w:r>
      <w:r w:rsidR="000B2566">
        <w:t xml:space="preserve">paper had little practical value without the design, printing, and mailing services, bringing in the relative value assessment as part of the true object test analysis. </w:t>
      </w:r>
      <w:r w:rsidR="007C50BE">
        <w:t>The court then determined that under the common understanding test</w:t>
      </w:r>
      <w:r w:rsidR="000B2566">
        <w:t xml:space="preserve"> </w:t>
      </w:r>
      <w:r w:rsidR="007C50BE">
        <w:t xml:space="preserve">no one would </w:t>
      </w:r>
      <w:r w:rsidR="000D249D">
        <w:t>in the general public would conder the taxpayer to be in the paper selling business.</w:t>
      </w:r>
    </w:p>
    <w:p w14:paraId="6BC9CA5B" w14:textId="77777777" w:rsidR="00101122" w:rsidRDefault="00101122" w:rsidP="00DA441E">
      <w:pPr>
        <w:rPr>
          <w:b/>
          <w:bCs/>
        </w:rPr>
      </w:pPr>
    </w:p>
    <w:p w14:paraId="6FBF23E9" w14:textId="73FDD463" w:rsidR="00274D5B" w:rsidRPr="00274D5B" w:rsidRDefault="00274D5B" w:rsidP="00DA441E">
      <w:pPr>
        <w:rPr>
          <w:b/>
          <w:bCs/>
        </w:rPr>
      </w:pPr>
      <w:r w:rsidRPr="00274D5B">
        <w:rPr>
          <w:b/>
          <w:bCs/>
        </w:rPr>
        <w:lastRenderedPageBreak/>
        <w:t>Overriding purpose test</w:t>
      </w:r>
    </w:p>
    <w:p w14:paraId="76440FD1" w14:textId="77777777" w:rsidR="009E7570" w:rsidRPr="008B5118" w:rsidRDefault="00F00937" w:rsidP="00DA441E">
      <w:r w:rsidRPr="008B5118">
        <w:t xml:space="preserve">In </w:t>
      </w:r>
      <w:r w:rsidRPr="008B5118">
        <w:rPr>
          <w:i/>
          <w:iCs/>
        </w:rPr>
        <w:t xml:space="preserve">Emery </w:t>
      </w:r>
      <w:r w:rsidRPr="008B5118">
        <w:t>Industries, Inc. v. Limbach, the Ohio Supreme Court adopted the overriding purpose test.</w:t>
      </w:r>
      <w:r w:rsidRPr="008B5118">
        <w:rPr>
          <w:rStyle w:val="FootnoteReference"/>
        </w:rPr>
        <w:footnoteReference w:id="40"/>
      </w:r>
      <w:r w:rsidRPr="008B5118">
        <w:t xml:space="preserve"> </w:t>
      </w:r>
      <w:r w:rsidR="006A43B3" w:rsidRPr="008B5118">
        <w:t xml:space="preserve">The is a version of the true object test that </w:t>
      </w:r>
      <w:r w:rsidRPr="008B5118">
        <w:t xml:space="preserve">includes a requirement of consequential amounts of TPP as a backup. </w:t>
      </w:r>
    </w:p>
    <w:p w14:paraId="05EEE148" w14:textId="0A82AC0B" w:rsidR="00050362" w:rsidRDefault="00A153E4" w:rsidP="00DA441E">
      <w:r w:rsidRPr="00851DD4">
        <w:t xml:space="preserve">The court held that </w:t>
      </w:r>
      <w:r w:rsidR="005A55AD" w:rsidRPr="00851DD4">
        <w:t xml:space="preserve">a contract </w:t>
      </w:r>
      <w:r w:rsidR="001B1C92" w:rsidRPr="00851DD4">
        <w:t xml:space="preserve">for </w:t>
      </w:r>
      <w:r w:rsidRPr="00851DD4">
        <w:t xml:space="preserve">design services provided to enable the installation of equipment </w:t>
      </w:r>
      <w:r w:rsidR="001B1C92" w:rsidRPr="00851DD4">
        <w:t xml:space="preserve">was for services, not TPP despite the </w:t>
      </w:r>
      <w:r w:rsidR="00050362" w:rsidRPr="00851DD4">
        <w:t xml:space="preserve">plans being delivered as physical plans. </w:t>
      </w:r>
      <w:r w:rsidR="00851DD4">
        <w:t xml:space="preserve">The court states that the overriding purpose of </w:t>
      </w:r>
      <w:r w:rsidR="00C521CB">
        <w:t>the buyer was to have the equipment installed</w:t>
      </w:r>
      <w:r w:rsidR="008B5118">
        <w:t xml:space="preserve"> and that the bid documents were inconsequential</w:t>
      </w:r>
      <w:r w:rsidR="00851DD4">
        <w:t xml:space="preserve">. </w:t>
      </w:r>
      <w:r w:rsidR="00050362" w:rsidRPr="00851DD4">
        <w:t>The court disavows a contrary result in a similar case holding that the true object of a contract for engineering services was TPP.</w:t>
      </w:r>
    </w:p>
    <w:p w14:paraId="51C9CA60" w14:textId="61C29284" w:rsidR="00D87DB4" w:rsidRPr="00257CC0" w:rsidRDefault="00B24555" w:rsidP="00DA441E">
      <w:r>
        <w:t xml:space="preserve">This test seems very similar to the true object test as both rely on the </w:t>
      </w:r>
      <w:r w:rsidR="00D1340E">
        <w:t xml:space="preserve">subjective intent of the buyer. The overriding purpose test seems to have a consequential TPP requirement as a backup. This requirement prevents the result in the engineering services case </w:t>
      </w:r>
      <w:r w:rsidR="00E578ED">
        <w:t>described above by requiring that any TPP relied upon in the analysis be consequential.</w:t>
      </w:r>
      <w:r w:rsidR="00257CC0">
        <w:t xml:space="preserve"> </w:t>
      </w:r>
      <w:r w:rsidR="00EF024B" w:rsidRPr="00F852E3">
        <w:t xml:space="preserve">The court contrasted </w:t>
      </w:r>
      <w:r w:rsidR="00257CC0" w:rsidRPr="00F852E3">
        <w:t>an</w:t>
      </w:r>
      <w:r w:rsidR="00EF024B" w:rsidRPr="00F852E3">
        <w:t xml:space="preserve"> attorney </w:t>
      </w:r>
      <w:r w:rsidR="00257CC0" w:rsidRPr="00F852E3">
        <w:t xml:space="preserve">drafting a will </w:t>
      </w:r>
      <w:r w:rsidR="00EF024B" w:rsidRPr="00F852E3">
        <w:t xml:space="preserve">with </w:t>
      </w:r>
      <w:r w:rsidR="005329D8" w:rsidRPr="00F852E3">
        <w:t>photograph</w:t>
      </w:r>
      <w:r w:rsidR="00D104C8" w:rsidRPr="00F852E3">
        <w:t>y services</w:t>
      </w:r>
      <w:r w:rsidR="00EF024B" w:rsidRPr="00F852E3">
        <w:t>. The court stated the latter</w:t>
      </w:r>
      <w:r w:rsidR="00D104C8" w:rsidRPr="00F852E3">
        <w:t xml:space="preserve"> would be a contract for TPP because the photographs are what is important</w:t>
      </w:r>
      <w:r w:rsidR="00F852E3">
        <w:t xml:space="preserve"> (they are not inconsequential)</w:t>
      </w:r>
      <w:r w:rsidR="00B60208" w:rsidRPr="00F852E3">
        <w:t xml:space="preserve">, even though the customer </w:t>
      </w:r>
      <w:r w:rsidR="00042033" w:rsidRPr="00F852E3">
        <w:t>may have sought</w:t>
      </w:r>
      <w:r w:rsidR="00B60208" w:rsidRPr="00F852E3">
        <w:t xml:space="preserve"> an accomplished photographer. </w:t>
      </w:r>
    </w:p>
    <w:p w14:paraId="64ADFB83" w14:textId="55BEF65A" w:rsidR="001464EC" w:rsidRDefault="006126C0" w:rsidP="00DA441E">
      <w:r>
        <w:t>There are a variety of other approaches</w:t>
      </w:r>
      <w:r w:rsidR="005C03F9">
        <w:t xml:space="preserve"> various courts have relied on</w:t>
      </w:r>
      <w:r w:rsidR="0002071A" w:rsidRPr="0002071A">
        <w:t>.</w:t>
      </w:r>
      <w:r w:rsidR="0002071A" w:rsidRPr="0002071A">
        <w:rPr>
          <w:vertAlign w:val="superscript"/>
        </w:rPr>
        <w:footnoteReference w:id="41"/>
      </w:r>
      <w:r w:rsidR="00334877">
        <w:t xml:space="preserve"> </w:t>
      </w:r>
    </w:p>
    <w:p w14:paraId="24359D58" w14:textId="1B4940E3" w:rsidR="00957DFC" w:rsidRPr="00957DFC" w:rsidRDefault="00957DFC" w:rsidP="00DA441E">
      <w:pPr>
        <w:rPr>
          <w:b/>
          <w:bCs/>
        </w:rPr>
      </w:pPr>
      <w:r w:rsidRPr="00957DFC">
        <w:rPr>
          <w:b/>
          <w:bCs/>
        </w:rPr>
        <w:t>Relevant factors</w:t>
      </w:r>
      <w:r w:rsidR="00AA7BF6">
        <w:rPr>
          <w:b/>
          <w:bCs/>
        </w:rPr>
        <w:t xml:space="preserve"> (short of a separate test)</w:t>
      </w:r>
    </w:p>
    <w:p w14:paraId="0A5B4B6D" w14:textId="313A4A00" w:rsidR="005C03F9" w:rsidRPr="00EB741A" w:rsidRDefault="00F00783" w:rsidP="00DA441E">
      <w:r>
        <w:t xml:space="preserve">There are also a variety of factors courts have </w:t>
      </w:r>
      <w:r w:rsidR="007A3476">
        <w:t>considered helpful</w:t>
      </w:r>
      <w:r w:rsidR="00E01865">
        <w:t>, including</w:t>
      </w:r>
      <w:r w:rsidR="008C51D5">
        <w:t>:</w:t>
      </w:r>
      <w:r w:rsidR="00E01865">
        <w:t xml:space="preserve"> </w:t>
      </w:r>
      <w:r w:rsidR="00F40274">
        <w:t xml:space="preserve">the </w:t>
      </w:r>
      <w:r w:rsidR="00F40274" w:rsidRPr="00F40274">
        <w:t>value of TPP versus the intangibles;</w:t>
      </w:r>
      <w:r w:rsidR="00F40274" w:rsidRPr="00F40274">
        <w:rPr>
          <w:vertAlign w:val="superscript"/>
        </w:rPr>
        <w:footnoteReference w:id="42"/>
      </w:r>
      <w:r w:rsidR="00F40274" w:rsidRPr="00F40274">
        <w:t xml:space="preserve"> whether there was an alternative method of transfer;</w:t>
      </w:r>
      <w:r w:rsidR="00F40274" w:rsidRPr="00F40274">
        <w:rPr>
          <w:vertAlign w:val="superscript"/>
        </w:rPr>
        <w:footnoteReference w:id="43"/>
      </w:r>
      <w:r w:rsidR="00F40274" w:rsidRPr="00F40274">
        <w:t xml:space="preserve"> the length of time the information provided retains its value;</w:t>
      </w:r>
      <w:r w:rsidR="00F40274" w:rsidRPr="00F40274">
        <w:rPr>
          <w:vertAlign w:val="superscript"/>
        </w:rPr>
        <w:footnoteReference w:id="44"/>
      </w:r>
      <w:r w:rsidR="00F40274" w:rsidRPr="00F40274">
        <w:t xml:space="preserve"> constraints on the buyer’s ability to use the property;</w:t>
      </w:r>
      <w:r w:rsidR="00F40274" w:rsidRPr="00F40274">
        <w:rPr>
          <w:vertAlign w:val="superscript"/>
        </w:rPr>
        <w:footnoteReference w:id="45"/>
      </w:r>
      <w:r w:rsidR="00F40274" w:rsidRPr="00F40274">
        <w:t xml:space="preserve"> what is eventually done with the TPP;</w:t>
      </w:r>
      <w:r w:rsidR="00F40274" w:rsidRPr="00F40274">
        <w:rPr>
          <w:vertAlign w:val="superscript"/>
        </w:rPr>
        <w:footnoteReference w:id="46"/>
      </w:r>
      <w:r w:rsidR="00F40274" w:rsidRPr="00F40274">
        <w:t xml:space="preserve"> and whether the TPP is the product the purchaser sought.</w:t>
      </w:r>
      <w:r w:rsidR="00F40274" w:rsidRPr="00F40274">
        <w:rPr>
          <w:vertAlign w:val="superscript"/>
        </w:rPr>
        <w:footnoteReference w:id="47"/>
      </w:r>
    </w:p>
    <w:p w14:paraId="69AF4DEE" w14:textId="106C9F3E" w:rsidR="00AE5648" w:rsidRPr="00EB741A" w:rsidRDefault="00AE5648" w:rsidP="00DA441E"/>
    <w:p w14:paraId="51F56702" w14:textId="6EF67750" w:rsidR="00851021" w:rsidRDefault="00F548E6" w:rsidP="00F548E6">
      <w:pPr>
        <w:pStyle w:val="Heading3"/>
        <w:numPr>
          <w:ilvl w:val="0"/>
          <w:numId w:val="33"/>
        </w:numPr>
      </w:pPr>
      <w:r>
        <w:lastRenderedPageBreak/>
        <w:t>Mixed Transactions</w:t>
      </w:r>
    </w:p>
    <w:p w14:paraId="3492F139" w14:textId="77777777" w:rsidR="00F548E6" w:rsidRPr="00C04A7E" w:rsidRDefault="00F548E6" w:rsidP="00F548E6">
      <w:r w:rsidRPr="00C04A7E">
        <w:t xml:space="preserve">There are situations where the true object test is not applicable. One of these is “mixed transactions.” Mixed transactions are those where the various items being analyzed are not packaged, bundled, or intertwined enough to be viewed as one. </w:t>
      </w:r>
      <w:proofErr w:type="gramStart"/>
      <w:r w:rsidRPr="00C04A7E">
        <w:t>Or,</w:t>
      </w:r>
      <w:proofErr w:type="gramEnd"/>
      <w:r w:rsidRPr="00C04A7E">
        <w:t xml:space="preserve"> have too much independence from one another to be viewed as one. The following cases illustrate several examples of this.</w:t>
      </w:r>
    </w:p>
    <w:p w14:paraId="47D6CF47" w14:textId="1B9ABE6F" w:rsidR="00666EC4" w:rsidRPr="00666EC4" w:rsidRDefault="00F548E6" w:rsidP="00F548E6">
      <w:pPr>
        <w:rPr>
          <w:b/>
          <w:bCs/>
        </w:rPr>
      </w:pPr>
      <w:r w:rsidRPr="00666EC4">
        <w:rPr>
          <w:b/>
        </w:rPr>
        <w:t>Tennessee</w:t>
      </w:r>
    </w:p>
    <w:p w14:paraId="043CDBAC" w14:textId="53ED0B49" w:rsidR="00F548E6" w:rsidRPr="00C04A7E" w:rsidRDefault="00F548E6" w:rsidP="00F548E6">
      <w:r w:rsidRPr="00C04A7E">
        <w:t xml:space="preserve">In </w:t>
      </w:r>
      <w:r w:rsidRPr="00C04A7E">
        <w:rPr>
          <w:i/>
          <w:iCs/>
        </w:rPr>
        <w:t>Penske Truck Leasing Co. v. Huddleston</w:t>
      </w:r>
      <w:r w:rsidRPr="00C04A7E">
        <w:t>, a case predating Streamlined, the Tennessee Supreme Court held that a long-term lease agreement and fuel agreement included in a single contract warranted separate analysis for sales tax.</w:t>
      </w:r>
      <w:r w:rsidRPr="00C04A7E">
        <w:rPr>
          <w:vertAlign w:val="superscript"/>
        </w:rPr>
        <w:footnoteReference w:id="48"/>
      </w:r>
      <w:r w:rsidRPr="00C04A7E">
        <w:t xml:space="preserve"> The fuel was optional, but if the option was taken, the fuel was paid for in advance, at the time of the lease. The fuel option did not affect the price of the truck lease. The court distinguished the case from its </w:t>
      </w:r>
      <w:r w:rsidRPr="00C04A7E">
        <w:rPr>
          <w:i/>
          <w:iCs/>
        </w:rPr>
        <w:t>Magnavox</w:t>
      </w:r>
      <w:r w:rsidRPr="00C04A7E">
        <w:t xml:space="preserve"> case, where the vendor of leased trucks was required to provide fuel with the trucks in all cases.</w:t>
      </w:r>
      <w:r w:rsidRPr="00C04A7E">
        <w:rPr>
          <w:vertAlign w:val="superscript"/>
        </w:rPr>
        <w:footnoteReference w:id="49"/>
      </w:r>
      <w:r w:rsidRPr="00C04A7E">
        <w:t xml:space="preserve"> The court’s holding in </w:t>
      </w:r>
      <w:r w:rsidRPr="00C04A7E">
        <w:rPr>
          <w:i/>
          <w:iCs/>
        </w:rPr>
        <w:t>Penske</w:t>
      </w:r>
      <w:r w:rsidRPr="00C04A7E">
        <w:t xml:space="preserve"> meant that the lease of the trucks and the sale of the fuel were considered independently for sales tax purposes, rather than being analyzed as a single contract using the true object test.</w:t>
      </w:r>
    </w:p>
    <w:p w14:paraId="560FCA6A" w14:textId="36D52CF5" w:rsidR="00666EC4" w:rsidRPr="00666EC4" w:rsidRDefault="00F548E6" w:rsidP="00F548E6">
      <w:pPr>
        <w:rPr>
          <w:b/>
          <w:bCs/>
        </w:rPr>
      </w:pPr>
      <w:r w:rsidRPr="00666EC4">
        <w:rPr>
          <w:b/>
          <w:bCs/>
        </w:rPr>
        <w:t xml:space="preserve">Texas </w:t>
      </w:r>
    </w:p>
    <w:p w14:paraId="2DC3FF4C" w14:textId="5F803F78" w:rsidR="00F548E6" w:rsidRDefault="00F548E6" w:rsidP="00F548E6">
      <w:r w:rsidRPr="00C04A7E">
        <w:t xml:space="preserve">In </w:t>
      </w:r>
      <w:r w:rsidRPr="00C04A7E">
        <w:rPr>
          <w:i/>
          <w:iCs/>
        </w:rPr>
        <w:t>Rylander v. San Antonio SMSA L.P.,</w:t>
      </w:r>
      <w:r w:rsidRPr="00C04A7E">
        <w:rPr>
          <w:vertAlign w:val="superscript"/>
        </w:rPr>
        <w:footnoteReference w:id="50"/>
      </w:r>
      <w:r w:rsidRPr="00C04A7E">
        <w:rPr>
          <w:i/>
          <w:iCs/>
        </w:rPr>
        <w:t xml:space="preserve"> </w:t>
      </w:r>
      <w:r w:rsidRPr="00C04A7E">
        <w:t xml:space="preserve">the court considered transactions for network equipment and engineering services to configure the equipment. The equipment and services were priced separately but invoiced together. The court held the equipment and the engineering services were independently desired and independently provided, were readily separable, and neither was “incident” to the other. The result was that the two things are analyzed separately for taxability. In </w:t>
      </w:r>
      <w:r w:rsidRPr="00C04A7E">
        <w:rPr>
          <w:i/>
          <w:iCs/>
        </w:rPr>
        <w:t>SMSA</w:t>
      </w:r>
      <w:r w:rsidRPr="00C04A7E">
        <w:t xml:space="preserve">, the Texas court cited to </w:t>
      </w:r>
      <w:r w:rsidRPr="00C04A7E">
        <w:rPr>
          <w:i/>
          <w:iCs/>
        </w:rPr>
        <w:t>New England Tel. &amp; Tel. Co. v. Clark</w:t>
      </w:r>
      <w:r w:rsidRPr="00C04A7E">
        <w:t>,</w:t>
      </w:r>
      <w:r w:rsidRPr="00C04A7E">
        <w:rPr>
          <w:vertAlign w:val="superscript"/>
        </w:rPr>
        <w:footnoteReference w:id="51"/>
      </w:r>
      <w:r w:rsidRPr="00C04A7E">
        <w:t xml:space="preserve"> a Rhode Island case, extensively. In </w:t>
      </w:r>
      <w:r w:rsidRPr="00C04A7E">
        <w:rPr>
          <w:i/>
          <w:iCs/>
        </w:rPr>
        <w:t>Clark</w:t>
      </w:r>
      <w:r w:rsidRPr="00C04A7E">
        <w:t>, the issue and result were similar.</w:t>
      </w:r>
    </w:p>
    <w:p w14:paraId="7FABF14F" w14:textId="4BE8F3AD" w:rsidR="00666EC4" w:rsidRPr="00666EC4" w:rsidRDefault="00666EC4" w:rsidP="00F548E6">
      <w:pPr>
        <w:spacing w:after="0" w:line="240" w:lineRule="auto"/>
        <w:rPr>
          <w:b/>
          <w:bCs/>
        </w:rPr>
      </w:pPr>
      <w:r w:rsidRPr="00666EC4">
        <w:rPr>
          <w:b/>
          <w:bCs/>
        </w:rPr>
        <w:t>California</w:t>
      </w:r>
    </w:p>
    <w:p w14:paraId="1BDDC264" w14:textId="77777777" w:rsidR="00666EC4" w:rsidRDefault="00666EC4" w:rsidP="00F548E6">
      <w:pPr>
        <w:spacing w:after="0" w:line="240" w:lineRule="auto"/>
      </w:pPr>
    </w:p>
    <w:p w14:paraId="5325C7B9" w14:textId="1A8872E1" w:rsidR="00F548E6" w:rsidRDefault="00F548E6" w:rsidP="00F548E6">
      <w:pPr>
        <w:spacing w:after="0" w:line="240" w:lineRule="auto"/>
      </w:pPr>
      <w:r>
        <w:t xml:space="preserve">Finally, there is </w:t>
      </w:r>
      <w:r w:rsidRPr="000041B1">
        <w:rPr>
          <w:i/>
          <w:iCs/>
        </w:rPr>
        <w:t>Dell, Inc. v. Superior Ct. of San Francisco</w:t>
      </w:r>
      <w:r>
        <w:t>,</w:t>
      </w:r>
      <w:r>
        <w:rPr>
          <w:rStyle w:val="FootnoteReference"/>
          <w:i/>
          <w:iCs/>
        </w:rPr>
        <w:footnoteReference w:id="52"/>
      </w:r>
      <w:r w:rsidRPr="00C6435A">
        <w:t xml:space="preserve"> </w:t>
      </w:r>
      <w:r>
        <w:t>with</w:t>
      </w:r>
      <w:r w:rsidRPr="00C6435A">
        <w:t xml:space="preserve"> a similar result. The California court held that Dell’s computers and warranty contracts are mixed transactions that are severable and partially taxable.</w:t>
      </w:r>
      <w:r>
        <w:t xml:space="preserve"> </w:t>
      </w:r>
      <w:r w:rsidRPr="00C43475">
        <w:rPr>
          <w:i/>
          <w:iCs/>
        </w:rPr>
        <w:t>Dell</w:t>
      </w:r>
      <w:r>
        <w:t xml:space="preserve"> provides three potential situations: </w:t>
      </w:r>
    </w:p>
    <w:p w14:paraId="6B6BD820" w14:textId="77777777" w:rsidR="00F548E6" w:rsidRDefault="00F548E6" w:rsidP="00F548E6">
      <w:pPr>
        <w:spacing w:after="0" w:line="240" w:lineRule="auto"/>
      </w:pPr>
    </w:p>
    <w:p w14:paraId="234F2E40" w14:textId="77777777" w:rsidR="00F548E6" w:rsidRDefault="00F548E6" w:rsidP="00F548E6">
      <w:pPr>
        <w:spacing w:after="0" w:line="240" w:lineRule="auto"/>
        <w:ind w:left="720"/>
      </w:pPr>
      <w:r>
        <w:t xml:space="preserve">(1) TPP is true object and whole thing is taxed; </w:t>
      </w:r>
    </w:p>
    <w:p w14:paraId="2FAE1302" w14:textId="77777777" w:rsidR="00F548E6" w:rsidRDefault="00F548E6" w:rsidP="00F548E6">
      <w:pPr>
        <w:spacing w:after="0" w:line="240" w:lineRule="auto"/>
        <w:ind w:left="720"/>
      </w:pPr>
      <w:r>
        <w:t>(2) service is true object and entire thing is not taxed; and</w:t>
      </w:r>
    </w:p>
    <w:p w14:paraId="441C11B0" w14:textId="77777777" w:rsidR="00F548E6" w:rsidRDefault="00F548E6" w:rsidP="00F548E6">
      <w:pPr>
        <w:spacing w:after="0" w:line="240" w:lineRule="auto"/>
        <w:ind w:left="720"/>
      </w:pPr>
      <w:r>
        <w:t>(3) transaction is a mixed transaction and is severable and partially taxable (true object test does not apply).</w:t>
      </w:r>
      <w:r>
        <w:rPr>
          <w:rStyle w:val="FootnoteReference"/>
        </w:rPr>
        <w:footnoteReference w:id="53"/>
      </w:r>
    </w:p>
    <w:p w14:paraId="03DF5E3D" w14:textId="77777777" w:rsidR="00F548E6" w:rsidRDefault="00F548E6" w:rsidP="00F548E6">
      <w:pPr>
        <w:spacing w:after="0" w:line="240" w:lineRule="auto"/>
      </w:pPr>
    </w:p>
    <w:p w14:paraId="7E4D4528" w14:textId="26F1A3BA" w:rsidR="000E25F7" w:rsidRPr="00F548E6" w:rsidRDefault="00F548E6" w:rsidP="00F548E6">
      <w:r w:rsidRPr="000041B1">
        <w:rPr>
          <w:i/>
          <w:iCs/>
        </w:rPr>
        <w:lastRenderedPageBreak/>
        <w:t>Dell</w:t>
      </w:r>
      <w:r>
        <w:t xml:space="preserve"> and </w:t>
      </w:r>
      <w:r w:rsidRPr="000041B1">
        <w:rPr>
          <w:i/>
          <w:iCs/>
        </w:rPr>
        <w:t>SMSA</w:t>
      </w:r>
      <w:r>
        <w:t xml:space="preserve"> can be distinguished if we want to. In </w:t>
      </w:r>
      <w:r w:rsidRPr="00792043">
        <w:rPr>
          <w:i/>
          <w:iCs/>
        </w:rPr>
        <w:t>SMSA</w:t>
      </w:r>
      <w:r>
        <w:rPr>
          <w:i/>
          <w:iCs/>
        </w:rPr>
        <w:t xml:space="preserve"> </w:t>
      </w:r>
      <w:r>
        <w:t xml:space="preserve">(and </w:t>
      </w:r>
      <w:r w:rsidRPr="0072620F">
        <w:rPr>
          <w:i/>
          <w:iCs/>
        </w:rPr>
        <w:t>Clark</w:t>
      </w:r>
      <w:r>
        <w:t xml:space="preserve">), the engineering services and the equipment had value separately. The result of the case depended on them being independently desired and independently provided. This made them not “incident” to one another. In </w:t>
      </w:r>
      <w:r w:rsidRPr="00792043">
        <w:rPr>
          <w:i/>
          <w:iCs/>
        </w:rPr>
        <w:t>Dell</w:t>
      </w:r>
      <w:r>
        <w:t xml:space="preserve">, the add-on warranties were valueless without a Dell computer, they couldn’t be used for other computers. So would the result in </w:t>
      </w:r>
      <w:r w:rsidRPr="0072620F">
        <w:rPr>
          <w:i/>
          <w:iCs/>
        </w:rPr>
        <w:t>Dell</w:t>
      </w:r>
      <w:r>
        <w:t xml:space="preserve"> be the same under Texas’s rule? Either way, in both cases the true object test was inappropriate.</w:t>
      </w:r>
    </w:p>
    <w:p w14:paraId="3EAF702D" w14:textId="070B2A30" w:rsidR="00C71858" w:rsidRDefault="00454A60" w:rsidP="00595435">
      <w:pPr>
        <w:pStyle w:val="Heading1"/>
      </w:pPr>
      <w:r>
        <w:t>7</w:t>
      </w:r>
      <w:r w:rsidR="00355D29">
        <w:t xml:space="preserve">. </w:t>
      </w:r>
      <w:r w:rsidR="00A10F28" w:rsidRPr="009357D0">
        <w:t>Results of s</w:t>
      </w:r>
      <w:r w:rsidR="00016EDA" w:rsidRPr="009357D0">
        <w:t>takeholder discussions about bundling and digital products</w:t>
      </w:r>
    </w:p>
    <w:p w14:paraId="7B689119" w14:textId="7B55F630" w:rsidR="007D6405" w:rsidRDefault="00FE4A6B" w:rsidP="007D6405">
      <w:r>
        <w:t xml:space="preserve">At the July 30, </w:t>
      </w:r>
      <w:proofErr w:type="gramStart"/>
      <w:r>
        <w:t>2024</w:t>
      </w:r>
      <w:proofErr w:type="gramEnd"/>
      <w:r>
        <w:t xml:space="preserve"> Uniformity Committee meeting in Denver, CO, the </w:t>
      </w:r>
      <w:r w:rsidR="007B3CB1">
        <w:t xml:space="preserve">digital products </w:t>
      </w:r>
      <w:r>
        <w:t>work group chair, vice-chair, and s</w:t>
      </w:r>
      <w:r w:rsidR="007D6405">
        <w:t xml:space="preserve">taff </w:t>
      </w:r>
      <w:r>
        <w:t>reported on the s</w:t>
      </w:r>
      <w:r w:rsidR="007D6405">
        <w:t xml:space="preserve">takeholder calls </w:t>
      </w:r>
      <w:r>
        <w:t xml:space="preserve">conducted </w:t>
      </w:r>
      <w:r w:rsidR="007D6405">
        <w:t>with taxpayers, their representatives, and other non-state representatives to solicit input on their experiences and information they want to share with the work group</w:t>
      </w:r>
      <w:r w:rsidR="007B3CB1">
        <w:t xml:space="preserve"> about bundling and digital products</w:t>
      </w:r>
      <w:r w:rsidR="007D6405">
        <w:t>.</w:t>
      </w:r>
      <w:r w:rsidR="00025113">
        <w:rPr>
          <w:rStyle w:val="FootnoteReference"/>
        </w:rPr>
        <w:footnoteReference w:id="54"/>
      </w:r>
      <w:r w:rsidR="007D6405">
        <w:t xml:space="preserve"> </w:t>
      </w:r>
    </w:p>
    <w:p w14:paraId="1FAC578C" w14:textId="412EB9FA" w:rsidR="004A48AB" w:rsidRPr="004A48AB" w:rsidRDefault="00903D1A" w:rsidP="00903D1A">
      <w:pPr>
        <w:pStyle w:val="Heading2"/>
      </w:pPr>
      <w:r>
        <w:t xml:space="preserve">A. </w:t>
      </w:r>
      <w:r w:rsidR="004A48AB" w:rsidRPr="004A48AB">
        <w:t>Stakeholders who provided input</w:t>
      </w:r>
    </w:p>
    <w:p w14:paraId="31A75540" w14:textId="6AB3DD89" w:rsidR="004A48AB" w:rsidRPr="00EA0DB1" w:rsidRDefault="00C421EE" w:rsidP="00C421EE">
      <w:pPr>
        <w:pStyle w:val="Heading3"/>
      </w:pPr>
      <w:r>
        <w:t xml:space="preserve">i. </w:t>
      </w:r>
      <w:r w:rsidR="004A48AB" w:rsidRPr="00EA0DB1">
        <w:t>Academics</w:t>
      </w:r>
    </w:p>
    <w:p w14:paraId="7B7E4559" w14:textId="694F6505" w:rsidR="004A48AB" w:rsidRPr="00EA0DB1" w:rsidRDefault="004A48AB" w:rsidP="00EA0DB1">
      <w:pPr>
        <w:ind w:firstLine="720"/>
      </w:pPr>
      <w:r w:rsidRPr="00EA0DB1">
        <w:t>Andrew Appleby, Stetson College of Law</w:t>
      </w:r>
    </w:p>
    <w:p w14:paraId="0604AA86" w14:textId="65AAC355" w:rsidR="004A48AB" w:rsidRPr="00EA0DB1" w:rsidRDefault="00C421EE" w:rsidP="00C421EE">
      <w:pPr>
        <w:pStyle w:val="Heading3"/>
      </w:pPr>
      <w:r>
        <w:t xml:space="preserve">ii. </w:t>
      </w:r>
      <w:r w:rsidR="004A48AB" w:rsidRPr="00EA0DB1">
        <w:t>Streamlined Representatives</w:t>
      </w:r>
    </w:p>
    <w:p w14:paraId="7C0E8B93" w14:textId="6B8B550E" w:rsidR="004A48AB" w:rsidRPr="00EA0DB1" w:rsidRDefault="004A48AB" w:rsidP="009C7AB2">
      <w:pPr>
        <w:spacing w:after="0"/>
        <w:ind w:left="720"/>
      </w:pPr>
      <w:r w:rsidRPr="00EA0DB1">
        <w:t>Craig Johnson &amp; Christie Comanita (work group ex officio members)</w:t>
      </w:r>
    </w:p>
    <w:p w14:paraId="550D8FBF" w14:textId="66C9D6B2" w:rsidR="004A48AB" w:rsidRPr="00EA0DB1" w:rsidRDefault="004A48AB" w:rsidP="009C7AB2">
      <w:pPr>
        <w:spacing w:after="0"/>
        <w:ind w:left="720"/>
      </w:pPr>
      <w:r w:rsidRPr="00EA0DB1">
        <w:t>Sherry Hathaway &amp; Michael Ward (TN)</w:t>
      </w:r>
    </w:p>
    <w:p w14:paraId="1C0A021B" w14:textId="560026FC" w:rsidR="004A48AB" w:rsidRPr="00EA0DB1" w:rsidRDefault="00C421EE" w:rsidP="009C7AB2">
      <w:pPr>
        <w:pStyle w:val="Heading3"/>
        <w:spacing w:before="0" w:after="0"/>
      </w:pPr>
      <w:r>
        <w:t xml:space="preserve">iii. </w:t>
      </w:r>
      <w:r w:rsidR="004A48AB" w:rsidRPr="00EA0DB1">
        <w:t>Taxpayers</w:t>
      </w:r>
    </w:p>
    <w:p w14:paraId="46FF9741" w14:textId="006DBA0F" w:rsidR="004A48AB" w:rsidRPr="00EA0DB1" w:rsidRDefault="004A48AB" w:rsidP="009C7AB2">
      <w:pPr>
        <w:spacing w:after="0"/>
        <w:ind w:left="720"/>
      </w:pPr>
      <w:r w:rsidRPr="00EA0DB1">
        <w:t>Amazon – Jessie Eisenmenger &amp; Roger Price</w:t>
      </w:r>
    </w:p>
    <w:p w14:paraId="565A8376" w14:textId="5FBA09EC" w:rsidR="004A48AB" w:rsidRPr="00EA0DB1" w:rsidRDefault="004A48AB" w:rsidP="009C7AB2">
      <w:pPr>
        <w:spacing w:after="0"/>
        <w:ind w:left="720"/>
      </w:pPr>
      <w:r w:rsidRPr="00EA0DB1">
        <w:t>Apple – Terry Ryan and Sheila Bayley</w:t>
      </w:r>
    </w:p>
    <w:p w14:paraId="69722074" w14:textId="5F38C609" w:rsidR="004A48AB" w:rsidRPr="00EA0DB1" w:rsidRDefault="004A48AB" w:rsidP="009C7AB2">
      <w:pPr>
        <w:spacing w:after="0"/>
        <w:ind w:left="720"/>
      </w:pPr>
      <w:r w:rsidRPr="00EA0DB1">
        <w:t>Charter Communications – Brandi Drake</w:t>
      </w:r>
    </w:p>
    <w:p w14:paraId="6E1F673B" w14:textId="4251F33A" w:rsidR="004A48AB" w:rsidRPr="00EA0DB1" w:rsidRDefault="00C421EE" w:rsidP="00C421EE">
      <w:pPr>
        <w:pStyle w:val="Heading3"/>
      </w:pPr>
      <w:r>
        <w:t xml:space="preserve">iv. </w:t>
      </w:r>
      <w:r w:rsidR="005E57DC" w:rsidRPr="00EA0DB1">
        <w:t>P</w:t>
      </w:r>
      <w:r w:rsidR="004A48AB" w:rsidRPr="00EA0DB1">
        <w:t>ractitioners &amp; Taxpayer Representatives</w:t>
      </w:r>
    </w:p>
    <w:p w14:paraId="45C844E2" w14:textId="5574C067" w:rsidR="004A48AB" w:rsidRPr="00EA0DB1" w:rsidRDefault="004A48AB" w:rsidP="009C7AB2">
      <w:pPr>
        <w:spacing w:after="0" w:line="240" w:lineRule="auto"/>
        <w:ind w:left="720"/>
      </w:pPr>
      <w:r w:rsidRPr="00EA0DB1">
        <w:t>Eversheds Sutherland – Michele Borens and Charlie Helms</w:t>
      </w:r>
    </w:p>
    <w:p w14:paraId="2F077515" w14:textId="35864DA5" w:rsidR="004A48AB" w:rsidRPr="00EA0DB1" w:rsidRDefault="004A48AB" w:rsidP="009C7AB2">
      <w:pPr>
        <w:spacing w:after="0" w:line="240" w:lineRule="auto"/>
        <w:ind w:left="720"/>
      </w:pPr>
      <w:r w:rsidRPr="00EA0DB1">
        <w:t>Kranz &amp; Associates – Carolyn Kranz</w:t>
      </w:r>
    </w:p>
    <w:p w14:paraId="243ADF5B" w14:textId="502FECCD" w:rsidR="00534656" w:rsidRPr="00EA0DB1" w:rsidRDefault="00534656" w:rsidP="009C7AB2">
      <w:pPr>
        <w:spacing w:after="0" w:line="240" w:lineRule="auto"/>
        <w:ind w:left="720"/>
      </w:pPr>
      <w:r w:rsidRPr="00EA0DB1">
        <w:t>Moss Adams – Phil Horwitz</w:t>
      </w:r>
    </w:p>
    <w:p w14:paraId="4C237E72" w14:textId="0309A63B" w:rsidR="004A48AB" w:rsidRPr="00EA0DB1" w:rsidRDefault="004A48AB" w:rsidP="009C7AB2">
      <w:pPr>
        <w:spacing w:after="0" w:line="240" w:lineRule="auto"/>
        <w:ind w:left="720"/>
      </w:pPr>
      <w:proofErr w:type="spellStart"/>
      <w:r w:rsidRPr="00EA0DB1">
        <w:t>MultiState</w:t>
      </w:r>
      <w:proofErr w:type="spellEnd"/>
      <w:r w:rsidRPr="00EA0DB1">
        <w:t xml:space="preserve"> Associates – Deborah Bierbaum</w:t>
      </w:r>
    </w:p>
    <w:p w14:paraId="08B6B0C3" w14:textId="2F3C52B2" w:rsidR="004A48AB" w:rsidRPr="00EA0DB1" w:rsidRDefault="004A48AB" w:rsidP="009C7AB2">
      <w:pPr>
        <w:spacing w:after="0" w:line="240" w:lineRule="auto"/>
        <w:ind w:left="720"/>
      </w:pPr>
      <w:r w:rsidRPr="00EA0DB1">
        <w:t>Yetter Tax – Diane Yetter</w:t>
      </w:r>
    </w:p>
    <w:p w14:paraId="63A7D80B" w14:textId="21FE8548" w:rsidR="004A48AB" w:rsidRDefault="004A48AB" w:rsidP="009C7AB2">
      <w:pPr>
        <w:spacing w:after="0" w:line="240" w:lineRule="auto"/>
        <w:ind w:left="720"/>
      </w:pPr>
      <w:r w:rsidRPr="00EA0DB1">
        <w:t>Pillsbury Winthrop Shaw Pittman - Zach Atkins</w:t>
      </w:r>
    </w:p>
    <w:p w14:paraId="1358F5A1" w14:textId="5050BEE0" w:rsidR="004A48AB" w:rsidRPr="00EA0DB1" w:rsidRDefault="00C421EE" w:rsidP="00C421EE">
      <w:pPr>
        <w:pStyle w:val="Heading3"/>
      </w:pPr>
      <w:r>
        <w:t xml:space="preserve">v. </w:t>
      </w:r>
      <w:r w:rsidR="004A48AB" w:rsidRPr="00EA0DB1">
        <w:t>Organizations &amp; Compliance Vendors</w:t>
      </w:r>
    </w:p>
    <w:p w14:paraId="56D3CFCB" w14:textId="4F39BA3E" w:rsidR="004A48AB" w:rsidRPr="00EA0DB1" w:rsidRDefault="004A48AB" w:rsidP="009C7AB2">
      <w:pPr>
        <w:spacing w:after="0"/>
        <w:ind w:left="720"/>
      </w:pPr>
      <w:r w:rsidRPr="00EA0DB1">
        <w:t>Avalara – Scott Peterson (via comments to the press)</w:t>
      </w:r>
    </w:p>
    <w:p w14:paraId="16D78254" w14:textId="5681642B" w:rsidR="004A48AB" w:rsidRPr="00EA0DB1" w:rsidRDefault="004A48AB" w:rsidP="009C7AB2">
      <w:pPr>
        <w:spacing w:after="0"/>
        <w:ind w:left="720"/>
      </w:pPr>
      <w:r w:rsidRPr="00EA0DB1">
        <w:t>Council On State Taxation – Fred Nicely</w:t>
      </w:r>
    </w:p>
    <w:p w14:paraId="64AF935A" w14:textId="5E8B6E12" w:rsidR="004A48AB" w:rsidRPr="00EA0DB1" w:rsidRDefault="004A48AB" w:rsidP="009C7AB2">
      <w:pPr>
        <w:spacing w:after="0"/>
        <w:ind w:left="720"/>
      </w:pPr>
      <w:proofErr w:type="spellStart"/>
      <w:r w:rsidRPr="00EA0DB1">
        <w:t>SofTec</w:t>
      </w:r>
      <w:proofErr w:type="spellEnd"/>
      <w:r w:rsidRPr="00EA0DB1">
        <w:t xml:space="preserve"> – Mark Nebergall</w:t>
      </w:r>
    </w:p>
    <w:p w14:paraId="3EB4BE6F" w14:textId="7D1E8A90" w:rsidR="004A48AB" w:rsidRPr="00EA0DB1" w:rsidRDefault="004A48AB" w:rsidP="009C7AB2">
      <w:pPr>
        <w:spacing w:after="0"/>
        <w:ind w:left="720"/>
      </w:pPr>
      <w:proofErr w:type="spellStart"/>
      <w:r w:rsidRPr="00EA0DB1">
        <w:lastRenderedPageBreak/>
        <w:t>Sovos</w:t>
      </w:r>
      <w:proofErr w:type="spellEnd"/>
      <w:r w:rsidRPr="00EA0DB1">
        <w:t xml:space="preserve"> – Charles (Chuck) Maniace</w:t>
      </w:r>
    </w:p>
    <w:p w14:paraId="1AF9C74F" w14:textId="77777777" w:rsidR="00EA0DB1" w:rsidRDefault="004A48AB" w:rsidP="009C7AB2">
      <w:pPr>
        <w:spacing w:after="0"/>
        <w:ind w:left="720"/>
      </w:pPr>
      <w:proofErr w:type="spellStart"/>
      <w:r w:rsidRPr="00EA0DB1">
        <w:t>TaxCloud</w:t>
      </w:r>
      <w:proofErr w:type="spellEnd"/>
      <w:r w:rsidRPr="00EA0DB1">
        <w:t xml:space="preserve"> – Bruce Johnson</w:t>
      </w:r>
    </w:p>
    <w:p w14:paraId="6C0FAF94" w14:textId="03F17199" w:rsidR="00534656" w:rsidRDefault="000F2BEB" w:rsidP="00EA0DB1">
      <w:pPr>
        <w:pStyle w:val="Heading2"/>
      </w:pPr>
      <w:r>
        <w:t>B.</w:t>
      </w:r>
      <w:r w:rsidR="00AF6D58">
        <w:t xml:space="preserve">  </w:t>
      </w:r>
      <w:r w:rsidR="003B7885">
        <w:t xml:space="preserve">Stakeholder </w:t>
      </w:r>
      <w:r w:rsidR="00220678">
        <w:t>p</w:t>
      </w:r>
      <w:r w:rsidR="00226054">
        <w:t>erspectives</w:t>
      </w:r>
    </w:p>
    <w:p w14:paraId="0473E49B" w14:textId="0B7C96AB" w:rsidR="003B7885" w:rsidRDefault="003B7885" w:rsidP="003B7885">
      <w:r>
        <w:t xml:space="preserve">This subsection presents a </w:t>
      </w:r>
      <w:r w:rsidR="001B2CE3">
        <w:t xml:space="preserve">general </w:t>
      </w:r>
      <w:r>
        <w:t xml:space="preserve">summary of the stakeholder perspectives without specific attribution. Some </w:t>
      </w:r>
      <w:r w:rsidR="00F9120F">
        <w:t xml:space="preserve">stakeholder perspectives </w:t>
      </w:r>
      <w:r>
        <w:t xml:space="preserve">are </w:t>
      </w:r>
      <w:r w:rsidR="00F9120F">
        <w:t>noted</w:t>
      </w:r>
      <w:r>
        <w:t xml:space="preserve"> elsewhere in the paper</w:t>
      </w:r>
      <w:r w:rsidR="00FA6CB4">
        <w:t xml:space="preserve"> and identified as such</w:t>
      </w:r>
      <w:r>
        <w:t>.</w:t>
      </w:r>
      <w:r w:rsidR="00FA6CB4">
        <w:t xml:space="preserve"> </w:t>
      </w:r>
    </w:p>
    <w:p w14:paraId="14E072F0" w14:textId="01FFF993" w:rsidR="00DC6AC3" w:rsidRDefault="00DC6AC3" w:rsidP="00DC6AC3">
      <w:pPr>
        <w:pStyle w:val="Heading3"/>
      </w:pPr>
      <w:r>
        <w:t>i.</w:t>
      </w:r>
      <w:r>
        <w:tab/>
      </w:r>
      <w:r w:rsidRPr="00DC6AC3">
        <w:rPr>
          <w:u w:val="single"/>
        </w:rPr>
        <w:t xml:space="preserve">General </w:t>
      </w:r>
      <w:r w:rsidR="005D2894">
        <w:rPr>
          <w:u w:val="single"/>
        </w:rPr>
        <w:t>o</w:t>
      </w:r>
      <w:r w:rsidRPr="00DC6AC3">
        <w:rPr>
          <w:u w:val="single"/>
        </w:rPr>
        <w:t>bservations</w:t>
      </w:r>
    </w:p>
    <w:p w14:paraId="7BD93EAA" w14:textId="77777777" w:rsidR="00500F88" w:rsidRDefault="00500F88" w:rsidP="00500F88">
      <w:r>
        <w:t xml:space="preserve">Many stakeholders explained that confusion exists when working with bundling issues generally across the states in addition to when digital products are part of a bundle. The confusion frequently concerns what is a bundle versus what is a single product with multiple attributes versus when does a situation most accurately call for application of the true object test. </w:t>
      </w:r>
    </w:p>
    <w:p w14:paraId="6890540A" w14:textId="1847D406" w:rsidR="00F9120F" w:rsidRDefault="00F9120F" w:rsidP="00DC6AC3">
      <w:r>
        <w:t xml:space="preserve">Some </w:t>
      </w:r>
      <w:r w:rsidR="00FA6CB4">
        <w:t>stakeholder</w:t>
      </w:r>
      <w:r w:rsidR="0089539C">
        <w:t>s</w:t>
      </w:r>
      <w:r w:rsidR="00FA6CB4">
        <w:t xml:space="preserve"> </w:t>
      </w:r>
      <w:r>
        <w:t>say bundling with digital products is more difficult</w:t>
      </w:r>
      <w:r w:rsidR="00FA6CB4">
        <w:t xml:space="preserve"> that with other products</w:t>
      </w:r>
      <w:r>
        <w:t>.</w:t>
      </w:r>
      <w:r w:rsidR="00FA6CB4">
        <w:t xml:space="preserve"> That said, s</w:t>
      </w:r>
      <w:r>
        <w:t xml:space="preserve">ellers like bundles: </w:t>
      </w:r>
      <w:r w:rsidR="00FA6CB4">
        <w:t xml:space="preserve">it </w:t>
      </w:r>
      <w:r w:rsidRPr="00753FAA">
        <w:t>create</w:t>
      </w:r>
      <w:r w:rsidR="00FA6CB4">
        <w:t>s</w:t>
      </w:r>
      <w:r w:rsidRPr="00753FAA">
        <w:t xml:space="preserve"> perceived value to </w:t>
      </w:r>
      <w:r w:rsidR="00002144">
        <w:t xml:space="preserve">purchasers to </w:t>
      </w:r>
      <w:r w:rsidR="00FA6CB4">
        <w:t xml:space="preserve">receive </w:t>
      </w:r>
      <w:r w:rsidRPr="00753FAA">
        <w:t xml:space="preserve">a </w:t>
      </w:r>
      <w:r w:rsidR="00FA6CB4">
        <w:t>group</w:t>
      </w:r>
      <w:r w:rsidRPr="00753FAA">
        <w:t xml:space="preserve"> of items for one price</w:t>
      </w:r>
      <w:r w:rsidR="00FA6CB4">
        <w:t>. M</w:t>
      </w:r>
      <w:r w:rsidRPr="00753FAA">
        <w:t>arketing staff</w:t>
      </w:r>
      <w:r w:rsidR="00FA6CB4">
        <w:t xml:space="preserve">, who are not </w:t>
      </w:r>
      <w:r w:rsidR="00387F84">
        <w:t>generally</w:t>
      </w:r>
      <w:r w:rsidR="00FA6CB4">
        <w:t xml:space="preserve"> thinking about taxability issues,</w:t>
      </w:r>
      <w:r w:rsidRPr="00753FAA">
        <w:t xml:space="preserve"> </w:t>
      </w:r>
      <w:r w:rsidR="00FA6CB4">
        <w:t xml:space="preserve">may </w:t>
      </w:r>
      <w:r w:rsidRPr="00753FAA">
        <w:t xml:space="preserve">want to sell a product for a single price that does not require tax </w:t>
      </w:r>
      <w:r w:rsidR="00387F84">
        <w:t xml:space="preserve">being added </w:t>
      </w:r>
      <w:r w:rsidR="00FA6CB4">
        <w:t xml:space="preserve">to be in line </w:t>
      </w:r>
      <w:r w:rsidR="00387F84">
        <w:t xml:space="preserve">with </w:t>
      </w:r>
      <w:r w:rsidR="00FA6CB4">
        <w:t xml:space="preserve">or look better than what </w:t>
      </w:r>
      <w:r w:rsidR="00387F84">
        <w:t xml:space="preserve">their </w:t>
      </w:r>
      <w:r w:rsidR="00FA6CB4">
        <w:t>competitors offer</w:t>
      </w:r>
      <w:r w:rsidRPr="00753FAA">
        <w:t xml:space="preserve">. Thus, </w:t>
      </w:r>
      <w:r w:rsidR="00FA6CB4">
        <w:t>bundles</w:t>
      </w:r>
      <w:r w:rsidRPr="00753FAA">
        <w:t xml:space="preserve"> are here to stay.</w:t>
      </w:r>
    </w:p>
    <w:p w14:paraId="69E31770" w14:textId="113305BB" w:rsidR="00F9120F" w:rsidRDefault="00FA6CB4" w:rsidP="00DC6AC3">
      <w:r>
        <w:t>Digital apps frequently have various components/attributes</w:t>
      </w:r>
      <w:r w:rsidR="0089539C">
        <w:t xml:space="preserve"> which </w:t>
      </w:r>
      <w:r w:rsidR="00FF0A56">
        <w:t>create</w:t>
      </w:r>
      <w:r w:rsidR="0089539C">
        <w:t xml:space="preserve"> confusion as to whether an app is a bundled product or not</w:t>
      </w:r>
      <w:r>
        <w:t xml:space="preserve">. More than one </w:t>
      </w:r>
      <w:r w:rsidR="00FF0A56">
        <w:t xml:space="preserve">stakeholder </w:t>
      </w:r>
      <w:r>
        <w:t>noted that a</w:t>
      </w:r>
      <w:r w:rsidR="00F9120F">
        <w:t>ll digital services have some component of software.</w:t>
      </w:r>
      <w:r>
        <w:t xml:space="preserve"> </w:t>
      </w:r>
      <w:r w:rsidR="00FF0A56">
        <w:t>It was also noted that a</w:t>
      </w:r>
      <w:r w:rsidR="00F9120F">
        <w:t>ny digital attribute can be removed from a digital product, so digital products are not like tangible products.</w:t>
      </w:r>
      <w:r w:rsidR="00F9120F" w:rsidRPr="004663B4">
        <w:t xml:space="preserve"> </w:t>
      </w:r>
      <w:r>
        <w:t>Think in terms of the lemonade example</w:t>
      </w:r>
      <w:r w:rsidR="00387F84">
        <w:t xml:space="preserve"> in section X of this white paper</w:t>
      </w:r>
      <w:r>
        <w:t>: once made, you can</w:t>
      </w:r>
      <w:r w:rsidR="00F9120F" w:rsidRPr="004663B4">
        <w:t>’t get the sugar back, can’t get the lemon juice back, can’t get the water back.</w:t>
      </w:r>
      <w:r w:rsidR="00FF0A56">
        <w:t xml:space="preserve"> If you make digital lemonade, you can get the sugar back, the lemon juice back, and the water back.</w:t>
      </w:r>
    </w:p>
    <w:p w14:paraId="36E98BC6" w14:textId="6FE6E2F1" w:rsidR="00F9120F" w:rsidRDefault="0089539C" w:rsidP="00DC6AC3">
      <w:r>
        <w:t xml:space="preserve">Stakeholders made mention of </w:t>
      </w:r>
      <w:r w:rsidR="00F9120F">
        <w:t>I</w:t>
      </w:r>
      <w:r w:rsidR="004640A4">
        <w:t xml:space="preserve">nternet </w:t>
      </w:r>
      <w:r w:rsidR="00F9120F">
        <w:t>T</w:t>
      </w:r>
      <w:r w:rsidR="004640A4">
        <w:t xml:space="preserve">ax </w:t>
      </w:r>
      <w:r w:rsidR="00F9120F">
        <w:t>F</w:t>
      </w:r>
      <w:r w:rsidR="004640A4">
        <w:t xml:space="preserve">reedom </w:t>
      </w:r>
      <w:r w:rsidR="00F9120F">
        <w:t>A</w:t>
      </w:r>
      <w:r w:rsidR="004640A4">
        <w:t>ct (ITFA)</w:t>
      </w:r>
      <w:r w:rsidR="00102D8B">
        <w:rPr>
          <w:rStyle w:val="FootnoteReference"/>
        </w:rPr>
        <w:footnoteReference w:id="55"/>
      </w:r>
      <w:r w:rsidR="00F9120F">
        <w:t xml:space="preserve"> definitions</w:t>
      </w:r>
      <w:r>
        <w:t xml:space="preserve"> and the </w:t>
      </w:r>
      <w:r w:rsidR="00F9120F">
        <w:t xml:space="preserve">implications </w:t>
      </w:r>
      <w:r>
        <w:t>of</w:t>
      </w:r>
      <w:r w:rsidR="00F9120F">
        <w:t xml:space="preserve"> the ITFA accounting rule.</w:t>
      </w:r>
      <w:r>
        <w:t xml:space="preserve"> S</w:t>
      </w:r>
      <w:r w:rsidR="004640A4">
        <w:t>ome s</w:t>
      </w:r>
      <w:r>
        <w:t xml:space="preserve">takeholders left an impression that taxpayers </w:t>
      </w:r>
      <w:r w:rsidR="004640A4">
        <w:t xml:space="preserve">and states are not generally </w:t>
      </w:r>
      <w:r>
        <w:t xml:space="preserve">as aware of the ITFA </w:t>
      </w:r>
      <w:r w:rsidR="004640A4">
        <w:t xml:space="preserve">accounting rule </w:t>
      </w:r>
      <w:r>
        <w:t>as tax practitioners are.</w:t>
      </w:r>
    </w:p>
    <w:p w14:paraId="38A3F110" w14:textId="229CB20F" w:rsidR="00F9120F" w:rsidRDefault="00F9120F" w:rsidP="00DC6AC3">
      <w:r>
        <w:t xml:space="preserve">Software maintenance </w:t>
      </w:r>
      <w:r w:rsidR="0089539C">
        <w:t xml:space="preserve">services </w:t>
      </w:r>
      <w:r>
        <w:t>come up frequently in bundles.</w:t>
      </w:r>
    </w:p>
    <w:p w14:paraId="03C5F34F" w14:textId="4CFB8932" w:rsidR="00F9120F" w:rsidRDefault="001332EC" w:rsidP="00DC6AC3">
      <w:r>
        <w:t xml:space="preserve">Streaming products can create disputes and the need for additional information. </w:t>
      </w:r>
      <w:r w:rsidR="0089539C">
        <w:t>Tax agencies o</w:t>
      </w:r>
      <w:r w:rsidR="00F9120F">
        <w:t xml:space="preserve">ften ask about percentages of different parts of a </w:t>
      </w:r>
      <w:r w:rsidR="00C5188E">
        <w:t xml:space="preserve">streaming </w:t>
      </w:r>
      <w:r w:rsidR="00F9120F">
        <w:t>product</w:t>
      </w:r>
      <w:r w:rsidR="00C5188E">
        <w:t>; tax agency staff may</w:t>
      </w:r>
      <w:r w:rsidR="00F9120F">
        <w:t xml:space="preserve"> </w:t>
      </w:r>
      <w:r w:rsidR="00C5188E">
        <w:t>request</w:t>
      </w:r>
      <w:r w:rsidR="00F9120F">
        <w:t xml:space="preserve"> the percentage of downloads vs streamed views</w:t>
      </w:r>
      <w:r w:rsidR="00C5188E">
        <w:t xml:space="preserve"> to determine taxability</w:t>
      </w:r>
      <w:r w:rsidR="00F9120F">
        <w:t xml:space="preserve">. Some </w:t>
      </w:r>
      <w:r>
        <w:t>stakeholders said</w:t>
      </w:r>
      <w:r w:rsidR="00F9120F">
        <w:t xml:space="preserve"> the ability to download an otherwise streaming digital product should not be considered downloaded software</w:t>
      </w:r>
      <w:r>
        <w:t>, which can be a taxable item in states</w:t>
      </w:r>
      <w:r w:rsidR="00C5188E">
        <w:t>, because in their view</w:t>
      </w:r>
      <w:r w:rsidR="00F9120F">
        <w:t xml:space="preserve"> the true object is the streaming.</w:t>
      </w:r>
    </w:p>
    <w:p w14:paraId="1F68E746" w14:textId="7CB1ED39" w:rsidR="00D41C8C" w:rsidRDefault="009770BD" w:rsidP="009770BD">
      <w:pPr>
        <w:pStyle w:val="Heading3"/>
        <w:rPr>
          <w:u w:val="single"/>
        </w:rPr>
      </w:pPr>
      <w:r>
        <w:t>i</w:t>
      </w:r>
      <w:r w:rsidR="004C1F4A">
        <w:t>i</w:t>
      </w:r>
      <w:r>
        <w:t xml:space="preserve">. </w:t>
      </w:r>
      <w:r w:rsidR="00027101">
        <w:tab/>
      </w:r>
      <w:r w:rsidR="00851CA7" w:rsidRPr="00851CA7">
        <w:rPr>
          <w:u w:val="single"/>
        </w:rPr>
        <w:t>Coding compliance software</w:t>
      </w:r>
    </w:p>
    <w:p w14:paraId="09A4E3F5" w14:textId="65262368" w:rsidR="001821C6" w:rsidRDefault="00A46D48" w:rsidP="00D41C8C">
      <w:r>
        <w:t xml:space="preserve">Stakeholders were aligned </w:t>
      </w:r>
      <w:r w:rsidR="001765AE">
        <w:t xml:space="preserve">that </w:t>
      </w:r>
      <w:r w:rsidR="001821C6">
        <w:t>coding bundl</w:t>
      </w:r>
      <w:r w:rsidR="001765AE">
        <w:t>ed</w:t>
      </w:r>
      <w:r w:rsidR="001821C6">
        <w:t xml:space="preserve"> </w:t>
      </w:r>
      <w:r w:rsidR="001765AE">
        <w:t>products with the correct taxability determination is</w:t>
      </w:r>
      <w:r w:rsidR="001821C6">
        <w:t xml:space="preserve"> very challenging for </w:t>
      </w:r>
      <w:r w:rsidR="001765AE">
        <w:t xml:space="preserve">taxpayers who customize their </w:t>
      </w:r>
      <w:r w:rsidR="001821C6">
        <w:t xml:space="preserve">sales tax compliance systems and </w:t>
      </w:r>
      <w:r w:rsidR="00582EC3">
        <w:t xml:space="preserve">for </w:t>
      </w:r>
      <w:r w:rsidR="001821C6">
        <w:t xml:space="preserve">sales tax </w:t>
      </w:r>
      <w:r w:rsidR="001821C6">
        <w:lastRenderedPageBreak/>
        <w:t>compliance software vendors</w:t>
      </w:r>
      <w:r w:rsidR="001765AE">
        <w:t xml:space="preserve"> who work with taxpayers</w:t>
      </w:r>
      <w:r w:rsidR="001821C6">
        <w:t>.</w:t>
      </w:r>
      <w:r w:rsidR="00851CA7">
        <w:t xml:space="preserve"> One </w:t>
      </w:r>
      <w:r w:rsidR="006078F0">
        <w:t>taxpayer</w:t>
      </w:r>
      <w:r w:rsidR="00851CA7">
        <w:t xml:space="preserve"> </w:t>
      </w:r>
      <w:r w:rsidR="006078F0">
        <w:t>stated</w:t>
      </w:r>
      <w:r w:rsidR="00851CA7">
        <w:t xml:space="preserve"> it had been working for years with its </w:t>
      </w:r>
      <w:r w:rsidR="00582EC3">
        <w:t>third</w:t>
      </w:r>
      <w:r>
        <w:t>-</w:t>
      </w:r>
      <w:r w:rsidR="00851CA7">
        <w:t xml:space="preserve">party software provider to customize its platform </w:t>
      </w:r>
      <w:r w:rsidR="006078F0">
        <w:t xml:space="preserve">to address </w:t>
      </w:r>
      <w:r w:rsidR="00582EC3">
        <w:t xml:space="preserve">the </w:t>
      </w:r>
      <w:r w:rsidR="006078F0">
        <w:t>bundled products it sells</w:t>
      </w:r>
      <w:r w:rsidR="003558EB">
        <w:t>,</w:t>
      </w:r>
      <w:r w:rsidR="006078F0">
        <w:t xml:space="preserve"> </w:t>
      </w:r>
      <w:r w:rsidR="00851CA7">
        <w:t xml:space="preserve">and </w:t>
      </w:r>
      <w:r w:rsidR="006078F0">
        <w:t xml:space="preserve">further stated that </w:t>
      </w:r>
      <w:r w:rsidR="00851CA7">
        <w:t>representatives for that platform told th</w:t>
      </w:r>
      <w:r w:rsidR="00582EC3">
        <w:t>e</w:t>
      </w:r>
      <w:r w:rsidR="00851CA7">
        <w:t xml:space="preserve"> seller the platform had </w:t>
      </w:r>
      <w:r w:rsidR="00582EC3">
        <w:t xml:space="preserve">been working for years and was still not able </w:t>
      </w:r>
      <w:r w:rsidR="00851CA7">
        <w:t xml:space="preserve">to offer any standardized </w:t>
      </w:r>
      <w:r w:rsidR="00582EC3">
        <w:t xml:space="preserve">product and taxability codes </w:t>
      </w:r>
      <w:r w:rsidR="00851CA7">
        <w:t>for bundl</w:t>
      </w:r>
      <w:r w:rsidR="006078F0">
        <w:t>ed</w:t>
      </w:r>
      <w:r w:rsidR="00851CA7">
        <w:t xml:space="preserve"> </w:t>
      </w:r>
      <w:r w:rsidR="006078F0">
        <w:t>products</w:t>
      </w:r>
      <w:r w:rsidR="00851CA7">
        <w:t xml:space="preserve"> because of the complexity </w:t>
      </w:r>
      <w:r w:rsidR="006078F0">
        <w:t>and</w:t>
      </w:r>
      <w:r w:rsidR="00851CA7">
        <w:t xml:space="preserve"> lack of uniformity across the states.</w:t>
      </w:r>
    </w:p>
    <w:p w14:paraId="5243AFF1" w14:textId="6C577717" w:rsidR="00903FA3" w:rsidRDefault="00DB417A" w:rsidP="00DB417A">
      <w:pPr>
        <w:pStyle w:val="Heading3"/>
      </w:pPr>
      <w:r>
        <w:t>i</w:t>
      </w:r>
      <w:r w:rsidR="00B86AB4">
        <w:t>ii</w:t>
      </w:r>
      <w:r>
        <w:t>.</w:t>
      </w:r>
      <w:r>
        <w:tab/>
      </w:r>
      <w:r w:rsidR="00903FA3" w:rsidRPr="00903FA3">
        <w:rPr>
          <w:u w:val="single"/>
        </w:rPr>
        <w:t>Case-by-case determinations</w:t>
      </w:r>
    </w:p>
    <w:p w14:paraId="42BBA233" w14:textId="31CB92B4" w:rsidR="002C29C1" w:rsidRDefault="0033697B" w:rsidP="009256ED">
      <w:r>
        <w:t>Stakeholders reported n</w:t>
      </w:r>
      <w:r w:rsidR="00E54EE2">
        <w:t xml:space="preserve">egotiating with states </w:t>
      </w:r>
      <w:r w:rsidR="005934BD">
        <w:t>to a</w:t>
      </w:r>
      <w:r w:rsidR="007057CB" w:rsidRPr="007057CB">
        <w:t xml:space="preserve">llow sellers </w:t>
      </w:r>
      <w:r w:rsidR="005934BD">
        <w:t>and</w:t>
      </w:r>
      <w:r w:rsidR="007057CB" w:rsidRPr="007057CB">
        <w:t xml:space="preserve"> tax agencies </w:t>
      </w:r>
      <w:r w:rsidR="00755BBD">
        <w:t xml:space="preserve">to </w:t>
      </w:r>
      <w:r w:rsidR="005934BD">
        <w:t>determine</w:t>
      </w:r>
      <w:r w:rsidR="007057CB" w:rsidRPr="007057CB">
        <w:t xml:space="preserve"> what </w:t>
      </w:r>
      <w:r w:rsidR="00755BBD">
        <w:t>taxability determination controls in</w:t>
      </w:r>
      <w:r w:rsidR="007057CB" w:rsidRPr="007057CB">
        <w:t xml:space="preserve"> specific situation</w:t>
      </w:r>
      <w:r w:rsidR="00755BBD">
        <w:t>s. T</w:t>
      </w:r>
      <w:r>
        <w:t>hey also reported requesting letter rulings to address the taxability of bundled products</w:t>
      </w:r>
      <w:r w:rsidR="00755BBD">
        <w:t xml:space="preserve"> when state guidance </w:t>
      </w:r>
      <w:r w:rsidR="001009CA">
        <w:t>i</w:t>
      </w:r>
      <w:r w:rsidR="00755BBD">
        <w:t>s not otherwise clear</w:t>
      </w:r>
      <w:r w:rsidR="005934BD">
        <w:t>.</w:t>
      </w:r>
      <w:r>
        <w:t xml:space="preserve"> Sometimes long-term negotiations </w:t>
      </w:r>
      <w:r w:rsidR="00755BBD">
        <w:t xml:space="preserve">with state (as in years) </w:t>
      </w:r>
      <w:r>
        <w:t xml:space="preserve">have occurred with taxpayers or their representatives providing </w:t>
      </w:r>
      <w:r w:rsidR="00755BBD">
        <w:t>extensive information to allow the tax agency to make a determination</w:t>
      </w:r>
      <w:r w:rsidR="001009CA">
        <w:t xml:space="preserve"> relating to a bundled product</w:t>
      </w:r>
      <w:r w:rsidR="00755BBD">
        <w:t>.</w:t>
      </w:r>
    </w:p>
    <w:p w14:paraId="379536CC" w14:textId="32EA812D" w:rsidR="0004224C" w:rsidRPr="00E3265C" w:rsidRDefault="0004224C" w:rsidP="0004224C">
      <w:pPr>
        <w:pStyle w:val="Heading3"/>
        <w:rPr>
          <w:u w:val="single"/>
        </w:rPr>
      </w:pPr>
      <w:r>
        <w:t>iv</w:t>
      </w:r>
      <w:r w:rsidRPr="0098038F">
        <w:t xml:space="preserve">. </w:t>
      </w:r>
      <w:r w:rsidR="00E3265C">
        <w:tab/>
      </w:r>
      <w:r w:rsidRPr="00E3265C">
        <w:rPr>
          <w:u w:val="single"/>
        </w:rPr>
        <w:t>Invoices vs. contracts</w:t>
      </w:r>
    </w:p>
    <w:p w14:paraId="535315F5" w14:textId="1CCBF974" w:rsidR="00C83E81" w:rsidRDefault="007B2CDF" w:rsidP="002934AD">
      <w:r>
        <w:t xml:space="preserve">Stakeholders noted that when analyzing facts relating to a bundled transaction, </w:t>
      </w:r>
      <w:r w:rsidR="00F27277">
        <w:t xml:space="preserve">or to make a determine whether the item sold is a bundled product, </w:t>
      </w:r>
      <w:r w:rsidR="0004224C" w:rsidRPr="00F13587">
        <w:t>details may exist in a contract about what is being purchased and how the product works to help auditors and tax agency staff</w:t>
      </w:r>
      <w:r>
        <w:t>. A l</w:t>
      </w:r>
      <w:r w:rsidR="0004224C" w:rsidRPr="00F13587">
        <w:t xml:space="preserve">ack of such detail may result in </w:t>
      </w:r>
      <w:r>
        <w:t xml:space="preserve">the </w:t>
      </w:r>
      <w:r w:rsidR="0004224C" w:rsidRPr="00F13587">
        <w:t>unwillingness of tax agency staff to allow unbundling through an accounting rule.</w:t>
      </w:r>
    </w:p>
    <w:p w14:paraId="57346355" w14:textId="030D1968" w:rsidR="008D2747" w:rsidRDefault="00454A60" w:rsidP="008D2747">
      <w:pPr>
        <w:pStyle w:val="Heading1"/>
      </w:pPr>
      <w:r>
        <w:t>8</w:t>
      </w:r>
      <w:r w:rsidR="008D2747">
        <w:t xml:space="preserve">. </w:t>
      </w:r>
      <w:r w:rsidR="008D2747" w:rsidRPr="00DE0294">
        <w:t>Federal law considerations</w:t>
      </w:r>
    </w:p>
    <w:p w14:paraId="7FC2CD03" w14:textId="44CE5EE9" w:rsidR="00297C24" w:rsidRPr="00297C24" w:rsidRDefault="00297C24" w:rsidP="00297C24">
      <w:r>
        <w:t>Two federal laws contain language addressing bundling issues that taxpayers, tax administrators, and policy makers must keep in mind. Below we present the relevant language</w:t>
      </w:r>
      <w:r w:rsidR="00843829">
        <w:t xml:space="preserve"> from each law</w:t>
      </w:r>
      <w:r>
        <w:t xml:space="preserve">, </w:t>
      </w:r>
      <w:r w:rsidR="00843829">
        <w:t>with links to the full language. S</w:t>
      </w:r>
      <w:r>
        <w:t>tate tax laws or other guidance</w:t>
      </w:r>
      <w:r w:rsidR="00843829">
        <w:t xml:space="preserve"> may also reflect these </w:t>
      </w:r>
      <w:r w:rsidR="000130BA">
        <w:t>provisions</w:t>
      </w:r>
      <w:r w:rsidR="00843829">
        <w:t>.</w:t>
      </w:r>
      <w:r>
        <w:t xml:space="preserve"> </w:t>
      </w:r>
    </w:p>
    <w:p w14:paraId="0FD39FDB" w14:textId="557B4672" w:rsidR="008D2747" w:rsidRDefault="008D2747" w:rsidP="008D2747">
      <w:pPr>
        <w:pStyle w:val="Heading2"/>
      </w:pPr>
      <w:r>
        <w:t xml:space="preserve">A. </w:t>
      </w:r>
      <w:r w:rsidRPr="00C072A3">
        <w:t>I</w:t>
      </w:r>
      <w:r>
        <w:t xml:space="preserve">nternet </w:t>
      </w:r>
      <w:r w:rsidRPr="00C072A3">
        <w:t>T</w:t>
      </w:r>
      <w:r>
        <w:t xml:space="preserve">ax </w:t>
      </w:r>
      <w:r w:rsidRPr="00C072A3">
        <w:t>F</w:t>
      </w:r>
      <w:r>
        <w:t xml:space="preserve">reedom </w:t>
      </w:r>
      <w:r w:rsidRPr="00C072A3">
        <w:t>A</w:t>
      </w:r>
      <w:r>
        <w:t>ct</w:t>
      </w:r>
      <w:r w:rsidR="0009272A">
        <w:t xml:space="preserve"> (</w:t>
      </w:r>
      <w:hyperlink r:id="rId10" w:history="1">
        <w:r w:rsidR="0009272A" w:rsidRPr="00297C24">
          <w:rPr>
            <w:rStyle w:val="Hyperlink"/>
          </w:rPr>
          <w:t>47 USC 151 note</w:t>
        </w:r>
      </w:hyperlink>
      <w:r w:rsidR="00297C24">
        <w:t>)</w:t>
      </w:r>
    </w:p>
    <w:p w14:paraId="630B3DF8" w14:textId="29100075" w:rsidR="00CC2B21" w:rsidRDefault="00CC2B21" w:rsidP="00CC2B21">
      <w:r>
        <w:t xml:space="preserve">The relevant language relating to bundled telecommunications products is as follows. The ITFA also includes definitions and other provisions that should be consulted to fully understand to what services the law applies. </w:t>
      </w:r>
    </w:p>
    <w:p w14:paraId="5DEE1E67" w14:textId="5A311100" w:rsidR="00297C24" w:rsidRPr="00297C24" w:rsidRDefault="00297C24" w:rsidP="00297C24">
      <w:r w:rsidRPr="00297C24">
        <w:t>SEC. 1106. ACCOUNTING RULE.</w:t>
      </w:r>
    </w:p>
    <w:p w14:paraId="13113DB9" w14:textId="54E34446" w:rsidR="00297C24" w:rsidRDefault="00297C24" w:rsidP="007C4392">
      <w:pPr>
        <w:ind w:left="720"/>
      </w:pPr>
      <w:r w:rsidRPr="00297C24">
        <w:t>(a) In General.-If charges for Internet access are aggregated with and not separately stated from charges for telecommunications or other charges that are subject to taxation, then the charges for Internet access may be subject to taxation unless the Internet access provider can reasonably identify the charges for Internet access from its books and records kept in the regular course of business.</w:t>
      </w:r>
      <w:r>
        <w:t>”</w:t>
      </w:r>
    </w:p>
    <w:p w14:paraId="2DB61D2C" w14:textId="6C0EBA9C" w:rsidR="007C4392" w:rsidRPr="007C4392" w:rsidRDefault="007C4392" w:rsidP="007C4392">
      <w:pPr>
        <w:ind w:left="720"/>
      </w:pPr>
      <w:r w:rsidRPr="007C4392">
        <w:t>(b) Definitions.-In this section:</w:t>
      </w:r>
    </w:p>
    <w:p w14:paraId="3E89FE0C" w14:textId="16A9F606" w:rsidR="007C4392" w:rsidRPr="007C4392" w:rsidRDefault="007C4392" w:rsidP="007C4392">
      <w:pPr>
        <w:ind w:left="720"/>
      </w:pPr>
      <w:r w:rsidRPr="007C4392">
        <w:lastRenderedPageBreak/>
        <w:t>(1) Charges for internet access.-The term 'charges for Internet access' means all charges for Internet access as defined in section 1105(5).</w:t>
      </w:r>
    </w:p>
    <w:p w14:paraId="4EE3DCC3" w14:textId="11500213" w:rsidR="007C4392" w:rsidRPr="007C4392" w:rsidRDefault="007C4392" w:rsidP="007C4392">
      <w:pPr>
        <w:ind w:left="720"/>
      </w:pPr>
      <w:r w:rsidRPr="007C4392">
        <w:t>(2) Charges for telecommunications.-The term 'charges for telecommunications' means all charges for telecommunications, except to the extent such telecommunications are purchased, used, or sold by a provider of Internet access to provide Internet access or to otherwise enable users to access content, information or other services offered over the Internet.</w:t>
      </w:r>
    </w:p>
    <w:p w14:paraId="44A83E38" w14:textId="5954C680" w:rsidR="008D2747" w:rsidRDefault="008D2747" w:rsidP="008D2747">
      <w:pPr>
        <w:pStyle w:val="Heading2"/>
      </w:pPr>
      <w:r>
        <w:t xml:space="preserve">B. </w:t>
      </w:r>
      <w:r w:rsidRPr="00C072A3">
        <w:t>M</w:t>
      </w:r>
      <w:r>
        <w:t xml:space="preserve">obile </w:t>
      </w:r>
      <w:r w:rsidRPr="00C072A3">
        <w:t>T</w:t>
      </w:r>
      <w:r>
        <w:t>elecom</w:t>
      </w:r>
      <w:r w:rsidR="00494869">
        <w:t>mu</w:t>
      </w:r>
      <w:r w:rsidR="005D5ADF">
        <w:t>nications</w:t>
      </w:r>
      <w:r>
        <w:t xml:space="preserve"> </w:t>
      </w:r>
      <w:r w:rsidRPr="00C072A3">
        <w:t>S</w:t>
      </w:r>
      <w:r>
        <w:t xml:space="preserve">ourcing </w:t>
      </w:r>
      <w:r w:rsidRPr="00C072A3">
        <w:t>A</w:t>
      </w:r>
      <w:r>
        <w:t>ct</w:t>
      </w:r>
      <w:r w:rsidR="000E33F4">
        <w:t xml:space="preserve">  (</w:t>
      </w:r>
      <w:hyperlink r:id="rId11" w:history="1">
        <w:r w:rsidR="000E33F4" w:rsidRPr="00843829">
          <w:rPr>
            <w:rStyle w:val="Hyperlink"/>
          </w:rPr>
          <w:t>P</w:t>
        </w:r>
        <w:r w:rsidR="00862F88">
          <w:rPr>
            <w:rStyle w:val="Hyperlink"/>
          </w:rPr>
          <w:t>ublic Law</w:t>
        </w:r>
        <w:r w:rsidR="000E33F4" w:rsidRPr="00843829">
          <w:rPr>
            <w:rStyle w:val="Hyperlink"/>
          </w:rPr>
          <w:t xml:space="preserve"> 106–252—J</w:t>
        </w:r>
        <w:r w:rsidR="00862F88">
          <w:rPr>
            <w:rStyle w:val="Hyperlink"/>
          </w:rPr>
          <w:t>uly</w:t>
        </w:r>
        <w:r w:rsidR="000E33F4" w:rsidRPr="00843829">
          <w:rPr>
            <w:rStyle w:val="Hyperlink"/>
          </w:rPr>
          <w:t xml:space="preserve"> 28, 2000</w:t>
        </w:r>
      </w:hyperlink>
      <w:r w:rsidR="000E33F4">
        <w:t>)</w:t>
      </w:r>
    </w:p>
    <w:p w14:paraId="5C083ED0" w14:textId="77777777" w:rsidR="00B51FC9" w:rsidRDefault="0022478A" w:rsidP="00B51FC9">
      <w:r>
        <w:t xml:space="preserve">The relevant language relating to </w:t>
      </w:r>
      <w:r w:rsidR="000E33F4">
        <w:t xml:space="preserve">bundled </w:t>
      </w:r>
      <w:r w:rsidR="00B51FC9">
        <w:t xml:space="preserve">telecommunications </w:t>
      </w:r>
      <w:r w:rsidR="000E33F4">
        <w:t>products is as follows</w:t>
      </w:r>
      <w:r w:rsidR="00B51FC9">
        <w:t xml:space="preserve">. The MTSA also includes definitions and other provisions that should be consulted to fully understand to what services the law applies. </w:t>
      </w:r>
    </w:p>
    <w:p w14:paraId="0122718E" w14:textId="68A6A4AC" w:rsidR="000E33F4" w:rsidRDefault="000E33F4" w:rsidP="00B51FC9">
      <w:pPr>
        <w:ind w:firstLine="720"/>
      </w:pPr>
      <w:r w:rsidRPr="000E33F4">
        <w:t xml:space="preserve">§ 123. Scope; special rules </w:t>
      </w:r>
    </w:p>
    <w:p w14:paraId="08A8F6F6" w14:textId="4D7883C3" w:rsidR="000E33F4" w:rsidRDefault="000E33F4" w:rsidP="000E33F4">
      <w:pPr>
        <w:ind w:left="720"/>
      </w:pPr>
      <w:r>
        <w:t>. . . .</w:t>
      </w:r>
    </w:p>
    <w:p w14:paraId="7227C7B5" w14:textId="32BBD91A" w:rsidR="000E33F4" w:rsidRDefault="000E33F4" w:rsidP="000E33F4">
      <w:pPr>
        <w:ind w:left="720"/>
      </w:pPr>
      <w:r w:rsidRPr="000E33F4">
        <w:t xml:space="preserve">(b) ADDITIONAL TAXABLE CHARGES.—If a taxing jurisdiction does not otherwise subject charges for mobile telecommunications services to taxation and if these charges are aggregated with and not separately stated from charges that are subject to taxation, then the charges for nontaxable mobile telecommunications services may be subject to taxation unless the home service provider can reasonably identify charges not subject to such tax, charge, or fee from its books and records that are kept in the regular course of business. </w:t>
      </w:r>
    </w:p>
    <w:p w14:paraId="510BF343" w14:textId="581FA75B" w:rsidR="000E33F4" w:rsidRPr="0022478A" w:rsidRDefault="000E33F4" w:rsidP="000E33F4">
      <w:pPr>
        <w:ind w:left="720"/>
      </w:pPr>
      <w:r w:rsidRPr="000E33F4">
        <w:t>(c) NONTAXABLE CHARGES.—If a taxing jurisdiction does not subject charges for mobile telecommunications services to taxation, a customer may not rely upon the nontaxability of charges for mobile telecommunications services unless the customer’s home service provider separately states the charges for nontaxable mobile telecommunications services from taxable charges</w:t>
      </w:r>
      <w:r>
        <w:t xml:space="preserve"> </w:t>
      </w:r>
      <w:r w:rsidRPr="000E33F4">
        <w:t>or the home service provider elects, after receiving a written request from the customer in the form required by the provider, to provide verifiable data based upon the home service provider’s books and records that are kept in the regular course of business that reasonably identifies the nontaxable charges.</w:t>
      </w:r>
    </w:p>
    <w:p w14:paraId="22DBB0CC" w14:textId="316F638B" w:rsidR="002A4465" w:rsidRDefault="00454A60" w:rsidP="00DD0DF4">
      <w:pPr>
        <w:pStyle w:val="Heading1"/>
      </w:pPr>
      <w:r>
        <w:t>9</w:t>
      </w:r>
      <w:r w:rsidR="00355D29">
        <w:t xml:space="preserve">. </w:t>
      </w:r>
      <w:r w:rsidR="002A4465" w:rsidRPr="009357D0">
        <w:t>Examples of digital products in the marketplace</w:t>
      </w:r>
      <w:r w:rsidR="000019E9" w:rsidRPr="009357D0">
        <w:t xml:space="preserve"> and bundling issues</w:t>
      </w:r>
      <w:r w:rsidR="002A4465" w:rsidRPr="009357D0">
        <w:t>.</w:t>
      </w:r>
    </w:p>
    <w:p w14:paraId="5BD9AD72" w14:textId="77777777" w:rsidR="00192253" w:rsidRDefault="0030598E" w:rsidP="0030598E">
      <w:r>
        <w:t xml:space="preserve">In this subsection we identify examples </w:t>
      </w:r>
      <w:r w:rsidR="00651F29">
        <w:t xml:space="preserve">of bundles </w:t>
      </w:r>
      <w:r>
        <w:t xml:space="preserve">provided from staff research, stakeholder discussions, and work group state representatives. </w:t>
      </w:r>
    </w:p>
    <w:p w14:paraId="63242A23" w14:textId="3F668A6F" w:rsidR="0030598E" w:rsidRDefault="00395C65" w:rsidP="0030598E">
      <w:r w:rsidRPr="00194B8A">
        <w:rPr>
          <w:highlight w:val="yellow"/>
        </w:rPr>
        <w:t>[</w:t>
      </w:r>
      <w:r w:rsidR="00192253">
        <w:rPr>
          <w:highlight w:val="yellow"/>
        </w:rPr>
        <w:t xml:space="preserve">Question: </w:t>
      </w:r>
      <w:r w:rsidRPr="00194B8A">
        <w:rPr>
          <w:highlight w:val="yellow"/>
        </w:rPr>
        <w:t xml:space="preserve">Possible next step is to </w:t>
      </w:r>
      <w:r w:rsidR="00194B8A" w:rsidRPr="00194B8A">
        <w:rPr>
          <w:highlight w:val="yellow"/>
        </w:rPr>
        <w:t>take some of these examples and apply the Streamlined test to see what happens to determine if the Streamlined approach is sufficient to handle digital products.]</w:t>
      </w:r>
    </w:p>
    <w:p w14:paraId="5ED1D0A2" w14:textId="39045B23" w:rsidR="007E1D8E" w:rsidRDefault="007E1D8E" w:rsidP="00CB7788">
      <w:pPr>
        <w:pStyle w:val="Heading2"/>
      </w:pPr>
      <w:r>
        <w:lastRenderedPageBreak/>
        <w:t xml:space="preserve">A. Staff </w:t>
      </w:r>
      <w:r w:rsidR="000D2746">
        <w:t xml:space="preserve">Research </w:t>
      </w:r>
      <w:r>
        <w:t>Examples</w:t>
      </w:r>
    </w:p>
    <w:p w14:paraId="6A857532" w14:textId="323DBC15" w:rsidR="00E25BA4" w:rsidRDefault="00E25BA4" w:rsidP="00E24A31">
      <w:pPr>
        <w:spacing w:after="0" w:line="276" w:lineRule="auto"/>
      </w:pPr>
      <w:r w:rsidRPr="00CC4753">
        <w:t xml:space="preserve">The quintessential example under Streamlined is a food platter from the grocery store, it contains exempt food and a </w:t>
      </w:r>
      <w:r>
        <w:t>taxable cutting board and small knife</w:t>
      </w:r>
      <w:r w:rsidRPr="00CC4753">
        <w:t>. Distinct and identifiable items and one nonitemized price are the only requirements. No interdependency is required.</w:t>
      </w:r>
    </w:p>
    <w:p w14:paraId="1CEDF195" w14:textId="77777777" w:rsidR="00E25BA4" w:rsidRDefault="00E25BA4" w:rsidP="00E24A31">
      <w:pPr>
        <w:spacing w:after="0" w:line="276" w:lineRule="auto"/>
      </w:pPr>
    </w:p>
    <w:p w14:paraId="6F59A29D" w14:textId="77777777" w:rsidR="00E25BA4" w:rsidRDefault="00E25BA4" w:rsidP="00E24A31">
      <w:pPr>
        <w:spacing w:after="0" w:line="276" w:lineRule="auto"/>
      </w:pPr>
      <w:r>
        <w:t>An example further afield of the original Streamlined bundling intention is from Rhode Island, a Streamlined state. The Department considered a subscription giving customers unconditional access to a variety of products, including expedited shipping, streaming video, electronic books, streaming music, photo storage, and access to video games. The Department determined the subscription was a bundle because it bundled goods, services, and other benefits that were distinct and identifiable together for one non-itemized price.</w:t>
      </w:r>
      <w:r>
        <w:rPr>
          <w:rStyle w:val="FootnoteReference"/>
        </w:rPr>
        <w:footnoteReference w:id="56"/>
      </w:r>
    </w:p>
    <w:p w14:paraId="5CC057CC" w14:textId="77777777" w:rsidR="00E25BA4" w:rsidRDefault="00E25BA4" w:rsidP="00E25BA4">
      <w:pPr>
        <w:spacing w:after="0" w:line="240" w:lineRule="auto"/>
      </w:pPr>
    </w:p>
    <w:p w14:paraId="70DC0306" w14:textId="59F50333" w:rsidR="00A746A1" w:rsidRDefault="00E25BA4" w:rsidP="00E24A31">
      <w:pPr>
        <w:spacing w:line="276" w:lineRule="auto"/>
      </w:pPr>
      <w:r>
        <w:t>Another example, this time from Iowa, with the opposite result. Iowa considered a product offering remote storage services and a virtual computing environment that allowed customers to run applications. Part of the cost was “data transfer fees” based on usage that were only charged in connection with other services. Taxpayer itemized the data transfer fees separately. The Iowa Department of Revenue determined the charges for data transfer fees were not for the sale of a separate item. The Department stated the fees were “included in the sales price.”</w:t>
      </w:r>
      <w:r>
        <w:rPr>
          <w:rStyle w:val="FootnoteReference"/>
        </w:rPr>
        <w:footnoteReference w:id="57"/>
      </w:r>
    </w:p>
    <w:p w14:paraId="02BFFE11" w14:textId="7BEA5D29" w:rsidR="00A06E9B" w:rsidRDefault="00A06E9B" w:rsidP="00E25BA4">
      <w:r>
        <w:t>One more example, this time from a letter ruling. The taxpayer “develops and sells consumer electronics, computer software, online services, and related support” and some third-party digital content and applications. The taxpayer offered “preselected packages” as well as “custom packages.” With custom packages purchasers could choose what was included in the package and the taxpayer offered discounts to encourage its customers to buy custom packages. The taxpayer stated there would be no individual prices shown to the customer.</w:t>
      </w:r>
    </w:p>
    <w:p w14:paraId="7B745ABE" w14:textId="38421F5B" w:rsidR="00A06E9B" w:rsidRDefault="00A06E9B" w:rsidP="00E25BA4">
      <w:r>
        <w:t xml:space="preserve">The Department ruled the preselected packages were bundles while the custom packages were not bundles. The custom packages were not </w:t>
      </w:r>
      <w:proofErr w:type="gramStart"/>
      <w:r>
        <w:t>bundles</w:t>
      </w:r>
      <w:proofErr w:type="gramEnd"/>
      <w:r>
        <w:t xml:space="preserve"> only because </w:t>
      </w:r>
      <w:r w:rsidR="005511AE">
        <w:t>the sales price varied based on the purchaser’s choices.</w:t>
      </w:r>
      <w:r w:rsidR="005511AE">
        <w:rPr>
          <w:rStyle w:val="FootnoteReference"/>
        </w:rPr>
        <w:footnoteReference w:id="58"/>
      </w:r>
    </w:p>
    <w:p w14:paraId="4A52F7E2" w14:textId="08C23FF7" w:rsidR="006D57FC" w:rsidRPr="006D57FC" w:rsidRDefault="00CB7788" w:rsidP="003D09D1">
      <w:pPr>
        <w:pStyle w:val="Heading2"/>
      </w:pPr>
      <w:r>
        <w:t xml:space="preserve">B. </w:t>
      </w:r>
      <w:r w:rsidR="004F30B1">
        <w:t>Stakeholder Examples</w:t>
      </w:r>
    </w:p>
    <w:p w14:paraId="0FBBA59C" w14:textId="51E55A8E" w:rsidR="00124878" w:rsidRDefault="00124878" w:rsidP="003705DF">
      <w:pPr>
        <w:pStyle w:val="ListParagraph"/>
        <w:numPr>
          <w:ilvl w:val="0"/>
          <w:numId w:val="36"/>
        </w:numPr>
      </w:pPr>
      <w:bookmarkStart w:id="2" w:name="_Hlk174710202"/>
      <w:r>
        <w:t>Digital code</w:t>
      </w:r>
      <w:r w:rsidR="00A9030B">
        <w:t>s</w:t>
      </w:r>
      <w:r w:rsidR="00F9120F">
        <w:t xml:space="preserve"> </w:t>
      </w:r>
      <w:r w:rsidR="00A9030B" w:rsidRPr="00A9030B">
        <w:t xml:space="preserve">entitle </w:t>
      </w:r>
      <w:r w:rsidR="00F9120F">
        <w:t xml:space="preserve">the </w:t>
      </w:r>
      <w:r w:rsidR="00A9030B" w:rsidRPr="00A9030B">
        <w:t xml:space="preserve">buyer to </w:t>
      </w:r>
      <w:r w:rsidR="003705DF">
        <w:t>d</w:t>
      </w:r>
      <w:r w:rsidR="00A9030B" w:rsidRPr="00A9030B">
        <w:t xml:space="preserve">igital </w:t>
      </w:r>
      <w:r w:rsidR="00046D83">
        <w:t>products</w:t>
      </w:r>
      <w:r w:rsidR="00A9030B" w:rsidRPr="00A9030B">
        <w:t>, services</w:t>
      </w:r>
      <w:r w:rsidR="00F9120F">
        <w:t>,</w:t>
      </w:r>
      <w:r w:rsidR="00A9030B" w:rsidRPr="00A9030B">
        <w:t xml:space="preserve"> and </w:t>
      </w:r>
      <w:r w:rsidR="00F9120F">
        <w:t>tangible personal property,</w:t>
      </w:r>
      <w:r w:rsidR="00A9030B" w:rsidRPr="00A9030B">
        <w:t xml:space="preserve"> </w:t>
      </w:r>
      <w:r w:rsidR="003705DF">
        <w:t xml:space="preserve">or some combination. An example is </w:t>
      </w:r>
      <w:r w:rsidR="00F9120F">
        <w:t xml:space="preserve">a digital code that entitles the purchaser to </w:t>
      </w:r>
      <w:r w:rsidR="003705DF">
        <w:t xml:space="preserve">a streaming </w:t>
      </w:r>
      <w:r w:rsidR="00A9030B" w:rsidRPr="00A9030B">
        <w:t>movie and a bag of chips.</w:t>
      </w:r>
    </w:p>
    <w:p w14:paraId="78914362" w14:textId="77777777" w:rsidR="003D09D1" w:rsidRDefault="003D09D1" w:rsidP="003D09D1">
      <w:pPr>
        <w:pStyle w:val="ListParagraph"/>
        <w:ind w:left="360"/>
      </w:pPr>
    </w:p>
    <w:p w14:paraId="4E76C98E" w14:textId="5900C0C4" w:rsidR="00124878" w:rsidRDefault="00124878" w:rsidP="003705DF">
      <w:pPr>
        <w:pStyle w:val="ListParagraph"/>
        <w:numPr>
          <w:ilvl w:val="0"/>
          <w:numId w:val="36"/>
        </w:numPr>
      </w:pPr>
      <w:r>
        <w:t>Free item</w:t>
      </w:r>
      <w:r w:rsidR="003705DF">
        <w:t>s</w:t>
      </w:r>
      <w:r>
        <w:t xml:space="preserve"> </w:t>
      </w:r>
      <w:r w:rsidR="003705DF">
        <w:t xml:space="preserve">may be </w:t>
      </w:r>
      <w:r>
        <w:t xml:space="preserve">given away with </w:t>
      </w:r>
      <w:r w:rsidR="00046D83">
        <w:t>a digital product</w:t>
      </w:r>
      <w:r>
        <w:t xml:space="preserve"> that is sold</w:t>
      </w:r>
      <w:r w:rsidR="003705DF">
        <w:t xml:space="preserve">. An </w:t>
      </w:r>
      <w:r>
        <w:t>example</w:t>
      </w:r>
      <w:r w:rsidR="003705DF">
        <w:t xml:space="preserve"> is a s</w:t>
      </w:r>
      <w:r>
        <w:t>treaming concert video and t-shirt.</w:t>
      </w:r>
    </w:p>
    <w:p w14:paraId="76CFB1F6" w14:textId="77777777" w:rsidR="003D09D1" w:rsidRDefault="003D09D1" w:rsidP="003D09D1">
      <w:pPr>
        <w:pStyle w:val="ListParagraph"/>
        <w:ind w:left="360"/>
      </w:pPr>
    </w:p>
    <w:p w14:paraId="3E1F3988" w14:textId="392F9EBA" w:rsidR="00124878" w:rsidRDefault="00046D83" w:rsidP="003705DF">
      <w:pPr>
        <w:pStyle w:val="ListParagraph"/>
        <w:numPr>
          <w:ilvl w:val="0"/>
          <w:numId w:val="36"/>
        </w:numPr>
      </w:pPr>
      <w:r>
        <w:lastRenderedPageBreak/>
        <w:t>E</w:t>
      </w:r>
      <w:r w:rsidR="00124878">
        <w:t xml:space="preserve">xercise equipment </w:t>
      </w:r>
      <w:r>
        <w:t xml:space="preserve">sold </w:t>
      </w:r>
      <w:r w:rsidR="00124878">
        <w:t xml:space="preserve">with </w:t>
      </w:r>
      <w:r>
        <w:t>s</w:t>
      </w:r>
      <w:r w:rsidR="00124878">
        <w:t xml:space="preserve">treaming </w:t>
      </w:r>
      <w:r>
        <w:t xml:space="preserve">video </w:t>
      </w:r>
      <w:r w:rsidR="00124878">
        <w:t>services.</w:t>
      </w:r>
    </w:p>
    <w:p w14:paraId="0E54913E" w14:textId="77777777" w:rsidR="003D09D1" w:rsidRDefault="003D09D1" w:rsidP="003D09D1">
      <w:pPr>
        <w:pStyle w:val="ListParagraph"/>
        <w:ind w:left="360"/>
      </w:pPr>
    </w:p>
    <w:p w14:paraId="401EAB93" w14:textId="18EB1A17" w:rsidR="00124878" w:rsidRDefault="00124878" w:rsidP="003705DF">
      <w:pPr>
        <w:pStyle w:val="ListParagraph"/>
        <w:numPr>
          <w:ilvl w:val="0"/>
          <w:numId w:val="36"/>
        </w:numPr>
      </w:pPr>
      <w:r>
        <w:t>Software maintenance comes up frequently in bundles.</w:t>
      </w:r>
    </w:p>
    <w:p w14:paraId="130E9DBD" w14:textId="77777777" w:rsidR="003D09D1" w:rsidRDefault="003D09D1" w:rsidP="003D09D1">
      <w:pPr>
        <w:pStyle w:val="ListParagraph"/>
        <w:ind w:left="360"/>
      </w:pPr>
    </w:p>
    <w:p w14:paraId="40EB8BCC" w14:textId="2BDF5E90" w:rsidR="004F30B1" w:rsidRDefault="00046D83" w:rsidP="00E735F4">
      <w:pPr>
        <w:pStyle w:val="ListParagraph"/>
        <w:numPr>
          <w:ilvl w:val="0"/>
          <w:numId w:val="36"/>
        </w:numPr>
      </w:pPr>
      <w:r>
        <w:t>Concerning streaming services, stakeholders reported that o</w:t>
      </w:r>
      <w:r w:rsidR="00124878">
        <w:t xml:space="preserve">ften states ask about percentages of different parts of </w:t>
      </w:r>
      <w:r>
        <w:t>the</w:t>
      </w:r>
      <w:r w:rsidR="00124878">
        <w:t xml:space="preserve"> </w:t>
      </w:r>
      <w:r>
        <w:t>service</w:t>
      </w:r>
      <w:r w:rsidR="00124878">
        <w:t>, such as the percentage of downloads v</w:t>
      </w:r>
      <w:r w:rsidR="002526CC">
        <w:t>ersus</w:t>
      </w:r>
      <w:r w:rsidR="00124878">
        <w:t xml:space="preserve"> streamed views</w:t>
      </w:r>
      <w:r>
        <w:t xml:space="preserve"> to determine taxability</w:t>
      </w:r>
      <w:r w:rsidR="00124878">
        <w:t>.</w:t>
      </w:r>
      <w:r>
        <w:t xml:space="preserve"> </w:t>
      </w:r>
      <w:r w:rsidR="00124878">
        <w:t xml:space="preserve">Some </w:t>
      </w:r>
      <w:r>
        <w:t xml:space="preserve">stakeholders </w:t>
      </w:r>
      <w:r w:rsidR="00124878">
        <w:t>say the ability to download an otherwise streaming digital product should not be considered downloaded software; the true object is the streaming.</w:t>
      </w:r>
    </w:p>
    <w:bookmarkEnd w:id="2"/>
    <w:p w14:paraId="42E1B5EF" w14:textId="1262658B" w:rsidR="004F30B1" w:rsidRDefault="004F30B1" w:rsidP="004F30B1">
      <w:pPr>
        <w:pStyle w:val="Heading2"/>
      </w:pPr>
      <w:r>
        <w:t>C. Work Group Member Examples</w:t>
      </w:r>
    </w:p>
    <w:p w14:paraId="6341E8D1" w14:textId="73C84013" w:rsidR="00DC4E78" w:rsidRPr="00DC4E78" w:rsidRDefault="00DC4E78" w:rsidP="006A049D">
      <w:pPr>
        <w:autoSpaceDE w:val="0"/>
        <w:autoSpaceDN w:val="0"/>
        <w:adjustRightInd w:val="0"/>
        <w:spacing w:after="0" w:line="276" w:lineRule="auto"/>
        <w:rPr>
          <w:rFonts w:eastAsia="Aptos" w:cs="Franklin Gothic Book"/>
          <w:kern w:val="24"/>
          <w14:ligatures w14:val="none"/>
        </w:rPr>
      </w:pPr>
      <w:r w:rsidRPr="006A049D">
        <w:rPr>
          <w:rFonts w:eastAsia="Aptos" w:cs="Franklin Gothic Book"/>
          <w:kern w:val="24"/>
          <w14:ligatures w14:val="none"/>
        </w:rPr>
        <w:t xml:space="preserve">1. </w:t>
      </w:r>
      <w:r w:rsidRPr="00DC4E78">
        <w:rPr>
          <w:rFonts w:eastAsia="Aptos" w:cs="Franklin Gothic Book"/>
          <w:kern w:val="24"/>
          <w14:ligatures w14:val="none"/>
        </w:rPr>
        <w:t>Assume a state does not tax software as a service but does tax software as TPP. What should be the taxability outcome if a seller of SaaS includes with the subscription an app that allows a purchaser to more easily access the SaaS platform?</w:t>
      </w:r>
    </w:p>
    <w:p w14:paraId="728D7CD4" w14:textId="77777777" w:rsidR="00DC4E78" w:rsidRPr="00DC4E78" w:rsidRDefault="00DC4E78" w:rsidP="006A049D">
      <w:pPr>
        <w:autoSpaceDE w:val="0"/>
        <w:autoSpaceDN w:val="0"/>
        <w:adjustRightInd w:val="0"/>
        <w:spacing w:after="0" w:line="276" w:lineRule="auto"/>
        <w:ind w:left="540" w:hanging="540"/>
        <w:rPr>
          <w:rFonts w:eastAsia="Aptos" w:cs="Franklin Gothic Book"/>
          <w:kern w:val="24"/>
          <w14:ligatures w14:val="none"/>
        </w:rPr>
      </w:pPr>
    </w:p>
    <w:p w14:paraId="38FAC83A" w14:textId="64A5BF9F" w:rsidR="00DC4E78" w:rsidRPr="00DC4E78" w:rsidRDefault="00DC4E78" w:rsidP="006A049D">
      <w:pPr>
        <w:autoSpaceDE w:val="0"/>
        <w:autoSpaceDN w:val="0"/>
        <w:adjustRightInd w:val="0"/>
        <w:spacing w:after="0" w:line="276" w:lineRule="auto"/>
        <w:rPr>
          <w:rFonts w:eastAsia="Aptos" w:cs="Franklin Gothic Book"/>
          <w:kern w:val="24"/>
          <w14:ligatures w14:val="none"/>
        </w:rPr>
      </w:pPr>
      <w:r w:rsidRPr="006A049D">
        <w:rPr>
          <w:rFonts w:eastAsia="Aptos" w:cs="Franklin Gothic Book"/>
          <w:kern w:val="24"/>
          <w14:ligatures w14:val="none"/>
        </w:rPr>
        <w:t xml:space="preserve">2. </w:t>
      </w:r>
      <w:r w:rsidRPr="00DC4E78">
        <w:rPr>
          <w:rFonts w:eastAsia="Aptos" w:cs="Franklin Gothic Book"/>
          <w:kern w:val="24"/>
          <w14:ligatures w14:val="none"/>
        </w:rPr>
        <w:t>Charges for personal services (e.g., training or consulting) or a membership to a trade or professional organization that include access to a digital library of forms, templates, articles, and/or training videos.</w:t>
      </w:r>
    </w:p>
    <w:p w14:paraId="07E0329D" w14:textId="77777777" w:rsidR="00DC4E78" w:rsidRPr="00DC4E78" w:rsidRDefault="00DC4E78" w:rsidP="006A049D">
      <w:pPr>
        <w:autoSpaceDE w:val="0"/>
        <w:autoSpaceDN w:val="0"/>
        <w:adjustRightInd w:val="0"/>
        <w:spacing w:after="0" w:line="276" w:lineRule="auto"/>
        <w:ind w:left="482" w:hanging="482"/>
        <w:rPr>
          <w:rFonts w:eastAsia="Aptos" w:cs="Franklin Gothic Book"/>
          <w:kern w:val="24"/>
          <w14:ligatures w14:val="none"/>
        </w:rPr>
      </w:pPr>
    </w:p>
    <w:p w14:paraId="3F0266D6" w14:textId="16B81608" w:rsidR="00DC4E78" w:rsidRPr="00DC4E78" w:rsidRDefault="00DC4E78" w:rsidP="006A049D">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t xml:space="preserve">3. </w:t>
      </w:r>
      <w:r w:rsidRPr="00DC4E78">
        <w:rPr>
          <w:rFonts w:eastAsia="Times New Roman" w:cs="Franklin Gothic Book"/>
          <w:kern w:val="24"/>
          <w14:ligatures w14:val="none"/>
        </w:rPr>
        <w:t xml:space="preserve">Vendor's nonitemized offering includes the following: </w:t>
      </w:r>
    </w:p>
    <w:p w14:paraId="5A2FE340" w14:textId="77777777" w:rsidR="00DC4E78" w:rsidRPr="00DC4E78" w:rsidRDefault="00DC4E78" w:rsidP="006A049D">
      <w:pPr>
        <w:numPr>
          <w:ilvl w:val="0"/>
          <w:numId w:val="22"/>
        </w:numPr>
        <w:autoSpaceDE w:val="0"/>
        <w:autoSpaceDN w:val="0"/>
        <w:adjustRightInd w:val="0"/>
        <w:spacing w:after="0" w:line="276" w:lineRule="auto"/>
        <w:rPr>
          <w:rFonts w:eastAsia="Times New Roman" w:cs="Franklin Gothic Book"/>
          <w:kern w:val="24"/>
          <w14:ligatures w14:val="none"/>
        </w:rPr>
      </w:pPr>
      <w:r w:rsidRPr="00DC4E78">
        <w:rPr>
          <w:rFonts w:eastAsia="Times New Roman" w:cs="Franklin Gothic Book"/>
          <w:kern w:val="24"/>
          <w14:ligatures w14:val="none"/>
        </w:rPr>
        <w:t xml:space="preserve">The right to use an online portal to access the vendor's proprietary digital research library, </w:t>
      </w:r>
    </w:p>
    <w:p w14:paraId="7A2E0156" w14:textId="77777777" w:rsidR="00DC4E78" w:rsidRPr="00DC4E78" w:rsidRDefault="00DC4E78" w:rsidP="006A049D">
      <w:pPr>
        <w:numPr>
          <w:ilvl w:val="0"/>
          <w:numId w:val="22"/>
        </w:numPr>
        <w:autoSpaceDE w:val="0"/>
        <w:autoSpaceDN w:val="0"/>
        <w:adjustRightInd w:val="0"/>
        <w:spacing w:after="0" w:line="276" w:lineRule="auto"/>
        <w:rPr>
          <w:rFonts w:eastAsia="Times New Roman" w:cs="Franklin Gothic Book"/>
          <w:kern w:val="24"/>
          <w14:ligatures w14:val="none"/>
        </w:rPr>
      </w:pPr>
      <w:r w:rsidRPr="00DC4E78">
        <w:rPr>
          <w:rFonts w:eastAsia="Times New Roman" w:cs="Franklin Gothic Book"/>
          <w:kern w:val="24"/>
          <w14:ligatures w14:val="none"/>
        </w:rPr>
        <w:t>The right to receive personal consulting from professional analysts, and</w:t>
      </w:r>
    </w:p>
    <w:p w14:paraId="51F64072" w14:textId="77777777" w:rsidR="00DC4E78" w:rsidRPr="00DC4E78" w:rsidRDefault="00DC4E78" w:rsidP="006A049D">
      <w:pPr>
        <w:numPr>
          <w:ilvl w:val="0"/>
          <w:numId w:val="22"/>
        </w:numPr>
        <w:autoSpaceDE w:val="0"/>
        <w:autoSpaceDN w:val="0"/>
        <w:adjustRightInd w:val="0"/>
        <w:spacing w:after="0" w:line="276" w:lineRule="auto"/>
        <w:rPr>
          <w:rFonts w:eastAsia="Times New Roman" w:cs="Franklin Gothic Book"/>
          <w:kern w:val="24"/>
          <w14:ligatures w14:val="none"/>
        </w:rPr>
      </w:pPr>
      <w:r w:rsidRPr="00DC4E78">
        <w:rPr>
          <w:rFonts w:eastAsia="Times New Roman" w:cs="Franklin Gothic Book"/>
          <w:kern w:val="24"/>
          <w14:ligatures w14:val="none"/>
        </w:rPr>
        <w:t>The right to view prerecorded online presentations, meetings, or workshops</w:t>
      </w:r>
    </w:p>
    <w:p w14:paraId="6F132729" w14:textId="77777777" w:rsidR="00DC4E78" w:rsidRPr="00DC4E78" w:rsidRDefault="00DC4E78" w:rsidP="006A049D">
      <w:pPr>
        <w:autoSpaceDE w:val="0"/>
        <w:autoSpaceDN w:val="0"/>
        <w:adjustRightInd w:val="0"/>
        <w:spacing w:after="0" w:line="276" w:lineRule="auto"/>
        <w:ind w:left="540" w:hanging="540"/>
        <w:rPr>
          <w:rFonts w:eastAsia="Aptos" w:cs="Franklin Gothic Book"/>
          <w:kern w:val="24"/>
          <w14:ligatures w14:val="none"/>
        </w:rPr>
      </w:pPr>
    </w:p>
    <w:p w14:paraId="18DED9B7" w14:textId="2B3EE5DF" w:rsidR="00DC4E78" w:rsidRPr="00DC4E78" w:rsidRDefault="006A049D" w:rsidP="006A049D">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t xml:space="preserve">4. </w:t>
      </w:r>
      <w:r w:rsidR="00DC4E78" w:rsidRPr="00DC4E78">
        <w:rPr>
          <w:rFonts w:eastAsia="Times New Roman" w:cs="Franklin Gothic Book"/>
          <w:kern w:val="24"/>
          <w14:ligatures w14:val="none"/>
        </w:rPr>
        <w:t xml:space="preserve">Vendor's nonitemized offering includes the following: </w:t>
      </w:r>
    </w:p>
    <w:p w14:paraId="19B0EF47" w14:textId="7976128B" w:rsidR="0066196F" w:rsidRPr="0066196F" w:rsidRDefault="00DC4E78" w:rsidP="0066196F">
      <w:pPr>
        <w:pStyle w:val="ListParagraph"/>
        <w:numPr>
          <w:ilvl w:val="0"/>
          <w:numId w:val="23"/>
        </w:numPr>
        <w:autoSpaceDE w:val="0"/>
        <w:autoSpaceDN w:val="0"/>
        <w:adjustRightInd w:val="0"/>
        <w:spacing w:after="0" w:line="276" w:lineRule="auto"/>
        <w:rPr>
          <w:rFonts w:eastAsia="Times New Roman" w:cs="Franklin Gothic Book"/>
          <w:kern w:val="24"/>
          <w14:ligatures w14:val="none"/>
        </w:rPr>
      </w:pPr>
      <w:r w:rsidRPr="0066196F">
        <w:rPr>
          <w:rFonts w:eastAsia="Times New Roman" w:cs="Franklin Gothic Book"/>
          <w:kern w:val="24"/>
          <w14:ligatures w14:val="none"/>
        </w:rPr>
        <w:t xml:space="preserve">The right to access a Communications </w:t>
      </w:r>
      <w:proofErr w:type="gramStart"/>
      <w:r w:rsidRPr="0066196F">
        <w:rPr>
          <w:rFonts w:eastAsia="Times New Roman" w:cs="Franklin Gothic Book"/>
          <w:kern w:val="24"/>
          <w14:ligatures w14:val="none"/>
        </w:rPr>
        <w:t>As</w:t>
      </w:r>
      <w:proofErr w:type="gramEnd"/>
      <w:r w:rsidRPr="0066196F">
        <w:rPr>
          <w:rFonts w:eastAsia="Times New Roman" w:cs="Franklin Gothic Book"/>
          <w:kern w:val="24"/>
          <w14:ligatures w14:val="none"/>
        </w:rPr>
        <w:t xml:space="preserve"> a Service (CaaS) platform</w:t>
      </w:r>
      <w:r w:rsidR="0066196F" w:rsidRPr="0066196F">
        <w:rPr>
          <w:rFonts w:eastAsia="Times New Roman" w:cs="Franklin Gothic Book"/>
          <w:kern w:val="24"/>
          <w14:ligatures w14:val="none"/>
        </w:rPr>
        <w:t xml:space="preserve">, which </w:t>
      </w:r>
      <w:r w:rsidRPr="0066196F">
        <w:rPr>
          <w:rFonts w:eastAsia="Times New Roman" w:cs="Franklin Gothic Book"/>
          <w:kern w:val="24"/>
          <w14:ligatures w14:val="none"/>
        </w:rPr>
        <w:t>includes access to use VOIP, SMS/MMS texting through IP protocol, instant messaging and audio/video conferencing tools</w:t>
      </w:r>
      <w:r w:rsidR="0066196F">
        <w:rPr>
          <w:rFonts w:eastAsia="Times New Roman" w:cs="Franklin Gothic Book"/>
          <w:kern w:val="24"/>
          <w14:ligatures w14:val="none"/>
        </w:rPr>
        <w:t>;</w:t>
      </w:r>
    </w:p>
    <w:p w14:paraId="557988F8" w14:textId="2AD040CE" w:rsidR="0066196F" w:rsidRPr="0066196F" w:rsidRDefault="00DC4E78" w:rsidP="0066196F">
      <w:pPr>
        <w:pStyle w:val="ListParagraph"/>
        <w:numPr>
          <w:ilvl w:val="0"/>
          <w:numId w:val="23"/>
        </w:numPr>
        <w:autoSpaceDE w:val="0"/>
        <w:autoSpaceDN w:val="0"/>
        <w:adjustRightInd w:val="0"/>
        <w:spacing w:after="0" w:line="276" w:lineRule="auto"/>
        <w:rPr>
          <w:rFonts w:eastAsia="Times New Roman" w:cs="Franklin Gothic Book"/>
          <w:kern w:val="24"/>
          <w14:ligatures w14:val="none"/>
        </w:rPr>
      </w:pPr>
      <w:r w:rsidRPr="0066196F">
        <w:rPr>
          <w:rFonts w:eastAsia="Times New Roman" w:cs="Franklin Gothic Book"/>
          <w:kern w:val="24"/>
          <w14:ligatures w14:val="none"/>
        </w:rPr>
        <w:t xml:space="preserve">The ability to store and manage data </w:t>
      </w:r>
      <w:r w:rsidR="0066196F" w:rsidRPr="0066196F">
        <w:rPr>
          <w:rFonts w:eastAsia="Times New Roman" w:cs="Franklin Gothic Book"/>
          <w:kern w:val="24"/>
          <w14:ligatures w14:val="none"/>
        </w:rPr>
        <w:t>(s</w:t>
      </w:r>
      <w:r w:rsidRPr="0066196F">
        <w:rPr>
          <w:rFonts w:eastAsia="Times New Roman" w:cs="Franklin Gothic Book"/>
          <w:kern w:val="24"/>
          <w14:ligatures w14:val="none"/>
        </w:rPr>
        <w:t>torage and management of communication data</w:t>
      </w:r>
      <w:r w:rsidR="0066196F" w:rsidRPr="0066196F">
        <w:rPr>
          <w:rFonts w:eastAsia="Times New Roman" w:cs="Franklin Gothic Book"/>
          <w:kern w:val="24"/>
          <w14:ligatures w14:val="none"/>
        </w:rPr>
        <w:t>)</w:t>
      </w:r>
      <w:r w:rsidR="0066196F">
        <w:rPr>
          <w:rFonts w:eastAsia="Times New Roman" w:cs="Franklin Gothic Book"/>
          <w:kern w:val="24"/>
          <w14:ligatures w14:val="none"/>
        </w:rPr>
        <w:t>; and</w:t>
      </w:r>
    </w:p>
    <w:p w14:paraId="748BE272" w14:textId="1252F754" w:rsidR="00DC4E78" w:rsidRPr="0066196F" w:rsidRDefault="00DC4E78" w:rsidP="0066196F">
      <w:pPr>
        <w:pStyle w:val="ListParagraph"/>
        <w:numPr>
          <w:ilvl w:val="0"/>
          <w:numId w:val="23"/>
        </w:numPr>
        <w:autoSpaceDE w:val="0"/>
        <w:autoSpaceDN w:val="0"/>
        <w:adjustRightInd w:val="0"/>
        <w:spacing w:after="0" w:line="276" w:lineRule="auto"/>
        <w:rPr>
          <w:rFonts w:eastAsia="Times New Roman" w:cs="Franklin Gothic Book"/>
          <w:kern w:val="24"/>
          <w14:ligatures w14:val="none"/>
        </w:rPr>
      </w:pPr>
      <w:r w:rsidRPr="0066196F">
        <w:rPr>
          <w:rFonts w:eastAsia="Times New Roman" w:cs="Franklin Gothic Book"/>
          <w:kern w:val="24"/>
          <w14:ligatures w14:val="none"/>
        </w:rPr>
        <w:t>The ability to integrate (e.g., through an Application Programmable Interface) the software platform with other 3</w:t>
      </w:r>
      <w:r w:rsidRPr="0066196F">
        <w:rPr>
          <w:rFonts w:eastAsia="Times New Roman" w:cs="Franklin Gothic Book"/>
          <w:kern w:val="24"/>
          <w:vertAlign w:val="superscript"/>
          <w14:ligatures w14:val="none"/>
        </w:rPr>
        <w:t>rd</w:t>
      </w:r>
      <w:r w:rsidRPr="0066196F">
        <w:rPr>
          <w:rFonts w:eastAsia="Times New Roman" w:cs="Franklin Gothic Book"/>
          <w:kern w:val="24"/>
          <w14:ligatures w14:val="none"/>
        </w:rPr>
        <w:t xml:space="preserve"> party software</w:t>
      </w:r>
      <w:r w:rsidR="0066196F">
        <w:rPr>
          <w:rFonts w:eastAsia="Times New Roman" w:cs="Franklin Gothic Book"/>
          <w:kern w:val="24"/>
          <w14:ligatures w14:val="none"/>
        </w:rPr>
        <w:t>.</w:t>
      </w:r>
    </w:p>
    <w:p w14:paraId="5D36B118" w14:textId="77777777" w:rsidR="000F18E2" w:rsidRDefault="000F18E2" w:rsidP="00EF1E30">
      <w:pPr>
        <w:autoSpaceDE w:val="0"/>
        <w:autoSpaceDN w:val="0"/>
        <w:adjustRightInd w:val="0"/>
        <w:spacing w:after="0" w:line="276" w:lineRule="auto"/>
        <w:rPr>
          <w:rFonts w:eastAsia="Times New Roman" w:cs="Franklin Gothic Book"/>
          <w:kern w:val="24"/>
          <w14:ligatures w14:val="none"/>
        </w:rPr>
      </w:pPr>
    </w:p>
    <w:p w14:paraId="32D33EAF" w14:textId="59C7B34F" w:rsidR="00EF1E30" w:rsidRDefault="006A049D" w:rsidP="00EF1E30">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t xml:space="preserve">5. </w:t>
      </w:r>
      <w:r w:rsidR="00DC4E78" w:rsidRPr="00DC4E78">
        <w:rPr>
          <w:rFonts w:eastAsia="Times New Roman" w:cs="Franklin Gothic Book"/>
          <w:kern w:val="24"/>
          <w14:ligatures w14:val="none"/>
        </w:rPr>
        <w:t xml:space="preserve">Vendor's nonitemized offering includes following: </w:t>
      </w:r>
    </w:p>
    <w:p w14:paraId="223EB56F" w14:textId="15031898" w:rsidR="00DC4E78" w:rsidRPr="00EF1E30" w:rsidRDefault="00DC4E78"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t xml:space="preserve">Lease of a live-stream camera with unlimited 4G LTE Data </w:t>
      </w:r>
    </w:p>
    <w:p w14:paraId="5AC32423" w14:textId="77777777" w:rsidR="00DC4E78" w:rsidRPr="00EF1E30" w:rsidRDefault="00DC4E78"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t>A web-based platform to access the live video streaming of a location (e.g., construction site)</w:t>
      </w:r>
    </w:p>
    <w:p w14:paraId="0B4E3121" w14:textId="0568756D" w:rsidR="00DC4E78" w:rsidRPr="00EF1E30" w:rsidRDefault="00DC4E78"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t>The ability to control the camera through customer's computers or electronic devices</w:t>
      </w:r>
      <w:r w:rsidR="00C41AC9" w:rsidRPr="00EF1E30">
        <w:rPr>
          <w:rFonts w:eastAsia="Times New Roman" w:cs="Franklin Gothic Book"/>
          <w:kern w:val="24"/>
          <w14:ligatures w14:val="none"/>
        </w:rPr>
        <w:t xml:space="preserve">. </w:t>
      </w:r>
    </w:p>
    <w:p w14:paraId="51BF6D5E" w14:textId="77777777" w:rsidR="00DC4E78" w:rsidRPr="00EF1E30" w:rsidRDefault="00DC4E78"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t>Unlimited storage of videos</w:t>
      </w:r>
    </w:p>
    <w:p w14:paraId="37D399B3" w14:textId="77777777" w:rsidR="00DC4E78" w:rsidRPr="00EF1E30" w:rsidRDefault="00DC4E78"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t>Access to weather data</w:t>
      </w:r>
    </w:p>
    <w:p w14:paraId="4BBC26BE" w14:textId="77777777" w:rsidR="00DC4E78" w:rsidRPr="00EF1E30" w:rsidRDefault="00DC4E78"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t>Allows the customer to create time-lapsing videos/photos</w:t>
      </w:r>
    </w:p>
    <w:p w14:paraId="0C272224" w14:textId="77777777" w:rsidR="00DC4E78" w:rsidRPr="00DC4E78" w:rsidRDefault="00DC4E78" w:rsidP="006A049D">
      <w:pPr>
        <w:autoSpaceDE w:val="0"/>
        <w:autoSpaceDN w:val="0"/>
        <w:adjustRightInd w:val="0"/>
        <w:spacing w:after="0" w:line="276" w:lineRule="auto"/>
        <w:ind w:left="210"/>
        <w:rPr>
          <w:rFonts w:eastAsia="Aptos" w:cs="Franklin Gothic Book"/>
          <w:kern w:val="24"/>
          <w14:ligatures w14:val="none"/>
        </w:rPr>
      </w:pPr>
      <w:r w:rsidRPr="00DC4E78">
        <w:rPr>
          <w:rFonts w:eastAsia="Times New Roman" w:cs="Franklin Gothic Book"/>
          <w:kern w:val="24"/>
          <w14:ligatures w14:val="none"/>
        </w:rPr>
        <w:t xml:space="preserve"> </w:t>
      </w:r>
    </w:p>
    <w:p w14:paraId="6C608B88" w14:textId="61AF8FD3" w:rsidR="00DC4E78" w:rsidRPr="00DC4E78" w:rsidRDefault="006A049D" w:rsidP="006A049D">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lastRenderedPageBreak/>
        <w:t xml:space="preserve">6. </w:t>
      </w:r>
      <w:r w:rsidR="00DC4E78" w:rsidRPr="00DC4E78">
        <w:rPr>
          <w:rFonts w:eastAsia="Times New Roman" w:cs="Franklin Gothic Book"/>
          <w:kern w:val="24"/>
          <w14:ligatures w14:val="none"/>
        </w:rPr>
        <w:t xml:space="preserve">Vendor's nonitemized offering is the sale of a Non-Fungible Token that provides the owner with the following: </w:t>
      </w:r>
    </w:p>
    <w:p w14:paraId="4ED5DB5D" w14:textId="77777777" w:rsidR="00DC4E78" w:rsidRPr="0005400C" w:rsidRDefault="00DC4E78" w:rsidP="0005400C">
      <w:pPr>
        <w:pStyle w:val="ListParagraph"/>
        <w:numPr>
          <w:ilvl w:val="0"/>
          <w:numId w:val="25"/>
        </w:numPr>
        <w:autoSpaceDE w:val="0"/>
        <w:autoSpaceDN w:val="0"/>
        <w:adjustRightInd w:val="0"/>
        <w:spacing w:after="0" w:line="276" w:lineRule="auto"/>
        <w:rPr>
          <w:rFonts w:eastAsia="Times New Roman" w:cs="Franklin Gothic Book"/>
          <w:kern w:val="24"/>
          <w14:ligatures w14:val="none"/>
        </w:rPr>
      </w:pPr>
      <w:r w:rsidRPr="0005400C">
        <w:rPr>
          <w:rFonts w:eastAsia="Times New Roman" w:cs="Franklin Gothic Book"/>
          <w:kern w:val="24"/>
          <w14:ligatures w14:val="none"/>
        </w:rPr>
        <w:t>Free admission to a set number of music concerts annually – (sourced to respective state)</w:t>
      </w:r>
    </w:p>
    <w:p w14:paraId="7D4D5B78" w14:textId="77777777" w:rsidR="00DC4E78" w:rsidRPr="0005400C" w:rsidRDefault="00DC4E78" w:rsidP="0005400C">
      <w:pPr>
        <w:pStyle w:val="ListParagraph"/>
        <w:numPr>
          <w:ilvl w:val="0"/>
          <w:numId w:val="25"/>
        </w:numPr>
        <w:autoSpaceDE w:val="0"/>
        <w:autoSpaceDN w:val="0"/>
        <w:adjustRightInd w:val="0"/>
        <w:spacing w:after="0" w:line="276" w:lineRule="auto"/>
        <w:rPr>
          <w:rFonts w:eastAsia="Times New Roman" w:cs="Franklin Gothic Book"/>
          <w:kern w:val="24"/>
          <w14:ligatures w14:val="none"/>
        </w:rPr>
      </w:pPr>
      <w:r w:rsidRPr="0005400C">
        <w:rPr>
          <w:rFonts w:eastAsia="Times New Roman" w:cs="Franklin Gothic Book"/>
          <w:kern w:val="24"/>
          <w14:ligatures w14:val="none"/>
        </w:rPr>
        <w:t>Access to in-person educational events</w:t>
      </w:r>
    </w:p>
    <w:p w14:paraId="1BBAFEE3" w14:textId="77777777" w:rsidR="00DC4E78" w:rsidRPr="0005400C" w:rsidRDefault="00DC4E78" w:rsidP="0005400C">
      <w:pPr>
        <w:pStyle w:val="ListParagraph"/>
        <w:numPr>
          <w:ilvl w:val="0"/>
          <w:numId w:val="25"/>
        </w:numPr>
        <w:autoSpaceDE w:val="0"/>
        <w:autoSpaceDN w:val="0"/>
        <w:adjustRightInd w:val="0"/>
        <w:spacing w:after="0" w:line="276" w:lineRule="auto"/>
        <w:rPr>
          <w:rFonts w:eastAsia="Times New Roman" w:cs="Franklin Gothic Book"/>
          <w:kern w:val="24"/>
          <w14:ligatures w14:val="none"/>
        </w:rPr>
      </w:pPr>
      <w:r w:rsidRPr="0005400C">
        <w:rPr>
          <w:rFonts w:eastAsia="Times New Roman" w:cs="Franklin Gothic Book"/>
          <w:kern w:val="24"/>
          <w14:ligatures w14:val="none"/>
        </w:rPr>
        <w:t>Lifetime subscription to video streaming service</w:t>
      </w:r>
    </w:p>
    <w:p w14:paraId="6FD0FA57" w14:textId="77777777" w:rsidR="00DC4E78" w:rsidRPr="0005400C" w:rsidRDefault="00DC4E78" w:rsidP="0005400C">
      <w:pPr>
        <w:pStyle w:val="ListParagraph"/>
        <w:numPr>
          <w:ilvl w:val="0"/>
          <w:numId w:val="25"/>
        </w:numPr>
        <w:autoSpaceDE w:val="0"/>
        <w:autoSpaceDN w:val="0"/>
        <w:adjustRightInd w:val="0"/>
        <w:spacing w:after="0" w:line="276" w:lineRule="auto"/>
        <w:rPr>
          <w:rFonts w:eastAsia="Times New Roman" w:cs="Franklin Gothic Book"/>
          <w:kern w:val="24"/>
          <w14:ligatures w14:val="none"/>
        </w:rPr>
      </w:pPr>
      <w:r w:rsidRPr="0005400C">
        <w:rPr>
          <w:rFonts w:eastAsia="Times New Roman" w:cs="Franklin Gothic Book"/>
          <w:kern w:val="24"/>
          <w14:ligatures w14:val="none"/>
        </w:rPr>
        <w:t>Lifetime subscription to downloadable software</w:t>
      </w:r>
    </w:p>
    <w:p w14:paraId="3F20DE6E" w14:textId="77777777" w:rsidR="00DC4E78" w:rsidRPr="0005400C" w:rsidRDefault="00DC4E78" w:rsidP="0005400C">
      <w:pPr>
        <w:pStyle w:val="ListParagraph"/>
        <w:numPr>
          <w:ilvl w:val="0"/>
          <w:numId w:val="25"/>
        </w:numPr>
        <w:autoSpaceDE w:val="0"/>
        <w:autoSpaceDN w:val="0"/>
        <w:adjustRightInd w:val="0"/>
        <w:spacing w:after="0" w:line="276" w:lineRule="auto"/>
        <w:rPr>
          <w:rFonts w:eastAsia="Times New Roman" w:cs="Franklin Gothic Book"/>
          <w:kern w:val="24"/>
          <w14:ligatures w14:val="none"/>
        </w:rPr>
      </w:pPr>
      <w:r w:rsidRPr="0005400C">
        <w:rPr>
          <w:rFonts w:eastAsia="Times New Roman" w:cs="Franklin Gothic Book"/>
          <w:kern w:val="24"/>
          <w14:ligatures w14:val="none"/>
        </w:rPr>
        <w:t>Lifetime subscription to music streaming service</w:t>
      </w:r>
    </w:p>
    <w:p w14:paraId="6B02017E" w14:textId="77777777" w:rsidR="00DC4E78" w:rsidRPr="00DC4E78" w:rsidRDefault="00DC4E78" w:rsidP="006A049D">
      <w:pPr>
        <w:autoSpaceDE w:val="0"/>
        <w:autoSpaceDN w:val="0"/>
        <w:adjustRightInd w:val="0"/>
        <w:spacing w:after="0" w:line="276" w:lineRule="auto"/>
        <w:rPr>
          <w:rFonts w:eastAsia="Times New Roman" w:cs="Franklin Gothic Book"/>
          <w:kern w:val="24"/>
          <w14:ligatures w14:val="none"/>
        </w:rPr>
      </w:pPr>
      <w:r w:rsidRPr="00DC4E78">
        <w:rPr>
          <w:rFonts w:eastAsia="Times New Roman" w:cs="Franklin Gothic Book"/>
          <w:kern w:val="24"/>
          <w14:ligatures w14:val="none"/>
        </w:rPr>
        <w:t> </w:t>
      </w:r>
    </w:p>
    <w:p w14:paraId="6D2409AB" w14:textId="6312020F" w:rsidR="00DC4E78" w:rsidRPr="00DC4E78" w:rsidRDefault="006A049D" w:rsidP="006A049D">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t xml:space="preserve">7. </w:t>
      </w:r>
      <w:r w:rsidR="00DC4E78" w:rsidRPr="00DC4E78">
        <w:rPr>
          <w:rFonts w:eastAsia="Times New Roman" w:cs="Franklin Gothic Book"/>
          <w:kern w:val="24"/>
          <w14:ligatures w14:val="none"/>
        </w:rPr>
        <w:t xml:space="preserve">Vendor's nonitemized offering is the sale of remote access software, providing users with the following: </w:t>
      </w:r>
    </w:p>
    <w:p w14:paraId="1A93DDC2" w14:textId="5F9E1B80" w:rsidR="00DC4E78" w:rsidRPr="003D089D" w:rsidRDefault="00DC4E78" w:rsidP="003D089D">
      <w:pPr>
        <w:pStyle w:val="ListParagraph"/>
        <w:numPr>
          <w:ilvl w:val="0"/>
          <w:numId w:val="26"/>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The right to exclusively use the software product remotely</w:t>
      </w:r>
      <w:r w:rsidR="003D089D">
        <w:rPr>
          <w:rFonts w:eastAsia="Times New Roman" w:cs="Franklin Gothic Book"/>
          <w:kern w:val="24"/>
          <w14:ligatures w14:val="none"/>
        </w:rPr>
        <w:t>;</w:t>
      </w:r>
      <w:r w:rsidRPr="003D089D">
        <w:rPr>
          <w:rFonts w:eastAsia="Times New Roman" w:cs="Franklin Gothic Book"/>
          <w:kern w:val="24"/>
          <w14:ligatures w14:val="none"/>
        </w:rPr>
        <w:t xml:space="preserve"> </w:t>
      </w:r>
    </w:p>
    <w:p w14:paraId="1A6CDAD4" w14:textId="5007272F" w:rsidR="00DC4E78" w:rsidRPr="003D089D" w:rsidRDefault="00DC4E78" w:rsidP="003D089D">
      <w:pPr>
        <w:pStyle w:val="ListParagraph"/>
        <w:numPr>
          <w:ilvl w:val="0"/>
          <w:numId w:val="26"/>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Users can download an application (e.g., mobile, desktop, tablet) that provides access to the vendor's remote access software</w:t>
      </w:r>
      <w:r w:rsidR="003D089D" w:rsidRPr="003D089D">
        <w:rPr>
          <w:rFonts w:eastAsia="Times New Roman" w:cs="Franklin Gothic Book"/>
          <w:kern w:val="24"/>
          <w14:ligatures w14:val="none"/>
        </w:rPr>
        <w:t xml:space="preserve">. </w:t>
      </w:r>
      <w:r w:rsidRPr="003D089D">
        <w:rPr>
          <w:rFonts w:eastAsia="Times New Roman" w:cs="Franklin Gothic Book"/>
          <w:kern w:val="24"/>
          <w14:ligatures w14:val="none"/>
        </w:rPr>
        <w:t>The downloaded application does not include any offline functionality for the user</w:t>
      </w:r>
      <w:r w:rsidR="003D089D">
        <w:rPr>
          <w:rFonts w:eastAsia="Times New Roman" w:cs="Franklin Gothic Book"/>
          <w:kern w:val="24"/>
          <w14:ligatures w14:val="none"/>
        </w:rPr>
        <w:t>; and</w:t>
      </w:r>
    </w:p>
    <w:p w14:paraId="5D13BD86" w14:textId="3D7710BD" w:rsidR="00DC4E78" w:rsidRPr="003D089D" w:rsidRDefault="00DC4E78" w:rsidP="003D089D">
      <w:pPr>
        <w:pStyle w:val="ListParagraph"/>
        <w:numPr>
          <w:ilvl w:val="0"/>
          <w:numId w:val="26"/>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The ability to create 3D renderings of a building or structure that can be downloaded or shared via email</w:t>
      </w:r>
      <w:r w:rsidR="003D089D">
        <w:rPr>
          <w:rFonts w:eastAsia="Times New Roman" w:cs="Franklin Gothic Book"/>
          <w:kern w:val="24"/>
          <w14:ligatures w14:val="none"/>
        </w:rPr>
        <w:t>.</w:t>
      </w:r>
    </w:p>
    <w:p w14:paraId="03038009" w14:textId="1000513F" w:rsidR="00DC4E78" w:rsidRPr="00DC4E78" w:rsidRDefault="00DC4E78" w:rsidP="006A049D">
      <w:pPr>
        <w:autoSpaceDE w:val="0"/>
        <w:autoSpaceDN w:val="0"/>
        <w:adjustRightInd w:val="0"/>
        <w:spacing w:after="0" w:line="276" w:lineRule="auto"/>
        <w:ind w:left="210"/>
        <w:rPr>
          <w:rFonts w:eastAsia="Times New Roman" w:cs="Franklin Gothic Book"/>
          <w:kern w:val="24"/>
          <w14:ligatures w14:val="none"/>
        </w:rPr>
      </w:pPr>
    </w:p>
    <w:p w14:paraId="38539391" w14:textId="1565221C" w:rsidR="00DC4E78" w:rsidRPr="00DC4E78" w:rsidRDefault="006A049D" w:rsidP="006A049D">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t xml:space="preserve">8. </w:t>
      </w:r>
      <w:r w:rsidR="00DC4E78" w:rsidRPr="00DC4E78">
        <w:rPr>
          <w:rFonts w:eastAsia="Times New Roman" w:cs="Franklin Gothic Book"/>
          <w:kern w:val="24"/>
          <w14:ligatures w14:val="none"/>
        </w:rPr>
        <w:t xml:space="preserve">Vendor's nonitemized offering is the sale of remote access software, providing users with the following: </w:t>
      </w:r>
    </w:p>
    <w:p w14:paraId="7950E14A" w14:textId="14FE7F2B" w:rsidR="00DC4E78" w:rsidRPr="003D089D" w:rsidRDefault="00DC4E78" w:rsidP="003D089D">
      <w:pPr>
        <w:pStyle w:val="ListParagraph"/>
        <w:numPr>
          <w:ilvl w:val="0"/>
          <w:numId w:val="27"/>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The right to use the software product remotely</w:t>
      </w:r>
      <w:r w:rsidR="003D089D">
        <w:rPr>
          <w:rFonts w:eastAsia="Times New Roman" w:cs="Franklin Gothic Book"/>
          <w:kern w:val="24"/>
          <w14:ligatures w14:val="none"/>
        </w:rPr>
        <w:t>;</w:t>
      </w:r>
      <w:r w:rsidRPr="003D089D">
        <w:rPr>
          <w:rFonts w:eastAsia="Times New Roman" w:cs="Franklin Gothic Book"/>
          <w:kern w:val="24"/>
          <w14:ligatures w14:val="none"/>
        </w:rPr>
        <w:t xml:space="preserve"> </w:t>
      </w:r>
    </w:p>
    <w:p w14:paraId="5AC42E27" w14:textId="0FA9B18B" w:rsidR="00DC4E78" w:rsidRPr="003D089D" w:rsidRDefault="00DC4E78" w:rsidP="003D089D">
      <w:pPr>
        <w:pStyle w:val="ListParagraph"/>
        <w:numPr>
          <w:ilvl w:val="0"/>
          <w:numId w:val="27"/>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Users can download an application (e.g., mobile, desktop, tablet) that provides access to the vendor's remote access software</w:t>
      </w:r>
      <w:r w:rsidR="003D089D" w:rsidRPr="003D089D">
        <w:rPr>
          <w:rFonts w:eastAsia="Times New Roman" w:cs="Franklin Gothic Book"/>
          <w:kern w:val="24"/>
          <w14:ligatures w14:val="none"/>
        </w:rPr>
        <w:t xml:space="preserve">. </w:t>
      </w:r>
      <w:r w:rsidRPr="003D089D">
        <w:rPr>
          <w:rFonts w:eastAsia="Times New Roman" w:cs="Franklin Gothic Book"/>
          <w:kern w:val="24"/>
          <w14:ligatures w14:val="none"/>
        </w:rPr>
        <w:t xml:space="preserve">The downloaded application includes various offline functionalities when not connected to the vendor's platform, such as: </w:t>
      </w:r>
    </w:p>
    <w:p w14:paraId="332B7A84" w14:textId="77777777" w:rsidR="00DC4E78" w:rsidRPr="003D089D" w:rsidRDefault="00DC4E78" w:rsidP="003D089D">
      <w:pPr>
        <w:pStyle w:val="ListParagraph"/>
        <w:numPr>
          <w:ilvl w:val="1"/>
          <w:numId w:val="28"/>
        </w:numPr>
        <w:autoSpaceDE w:val="0"/>
        <w:autoSpaceDN w:val="0"/>
        <w:adjustRightInd w:val="0"/>
        <w:spacing w:after="0" w:line="276" w:lineRule="auto"/>
        <w:rPr>
          <w:rFonts w:eastAsia="Times New Roman" w:cs="Franklin Gothic Book"/>
          <w:kern w:val="0"/>
          <w14:ligatures w14:val="none"/>
        </w:rPr>
      </w:pPr>
      <w:r w:rsidRPr="003D089D">
        <w:rPr>
          <w:rFonts w:eastAsia="Times New Roman" w:cs="Franklin Gothic Book"/>
          <w:kern w:val="0"/>
          <w14:ligatures w14:val="none"/>
        </w:rPr>
        <w:t>The ability for the user to take pictures within the application installed on their device</w:t>
      </w:r>
    </w:p>
    <w:p w14:paraId="2607E675" w14:textId="77777777" w:rsidR="00DC4E78" w:rsidRPr="003D089D" w:rsidRDefault="00DC4E78" w:rsidP="003D089D">
      <w:pPr>
        <w:pStyle w:val="ListParagraph"/>
        <w:numPr>
          <w:ilvl w:val="1"/>
          <w:numId w:val="28"/>
        </w:numPr>
        <w:autoSpaceDE w:val="0"/>
        <w:autoSpaceDN w:val="0"/>
        <w:adjustRightInd w:val="0"/>
        <w:spacing w:after="0" w:line="276" w:lineRule="auto"/>
        <w:rPr>
          <w:rFonts w:eastAsia="Times New Roman" w:cs="Franklin Gothic Book"/>
          <w:kern w:val="0"/>
          <w14:ligatures w14:val="none"/>
        </w:rPr>
      </w:pPr>
      <w:r w:rsidRPr="003D089D">
        <w:rPr>
          <w:rFonts w:eastAsia="Times New Roman" w:cs="Franklin Gothic Book"/>
          <w:kern w:val="0"/>
          <w14:ligatures w14:val="none"/>
        </w:rPr>
        <w:t>Data storage within the user's device</w:t>
      </w:r>
    </w:p>
    <w:p w14:paraId="1820DB71" w14:textId="77777777" w:rsidR="00DC4E78" w:rsidRPr="003D089D" w:rsidRDefault="00DC4E78" w:rsidP="003D089D">
      <w:pPr>
        <w:pStyle w:val="ListParagraph"/>
        <w:numPr>
          <w:ilvl w:val="1"/>
          <w:numId w:val="28"/>
        </w:numPr>
        <w:autoSpaceDE w:val="0"/>
        <w:autoSpaceDN w:val="0"/>
        <w:adjustRightInd w:val="0"/>
        <w:spacing w:after="0" w:line="276" w:lineRule="auto"/>
        <w:rPr>
          <w:rFonts w:eastAsia="Times New Roman" w:cs="Franklin Gothic Book"/>
          <w:kern w:val="0"/>
          <w14:ligatures w14:val="none"/>
        </w:rPr>
      </w:pPr>
      <w:r w:rsidRPr="003D089D">
        <w:rPr>
          <w:rFonts w:eastAsia="Times New Roman" w:cs="Franklin Gothic Book"/>
          <w:kern w:val="0"/>
          <w14:ligatures w14:val="none"/>
        </w:rPr>
        <w:t xml:space="preserve">Geolocation tracking features, such as: </w:t>
      </w:r>
    </w:p>
    <w:p w14:paraId="3F8F35B9" w14:textId="77777777" w:rsidR="00DC4E78" w:rsidRPr="003D089D" w:rsidRDefault="00DC4E78" w:rsidP="003D089D">
      <w:pPr>
        <w:pStyle w:val="ListParagraph"/>
        <w:numPr>
          <w:ilvl w:val="2"/>
          <w:numId w:val="29"/>
        </w:numPr>
        <w:autoSpaceDE w:val="0"/>
        <w:autoSpaceDN w:val="0"/>
        <w:adjustRightInd w:val="0"/>
        <w:spacing w:after="0" w:line="276" w:lineRule="auto"/>
        <w:rPr>
          <w:rFonts w:eastAsia="Times New Roman" w:cs="Franklin Gothic Book"/>
          <w:kern w:val="0"/>
          <w14:ligatures w14:val="none"/>
        </w:rPr>
      </w:pPr>
      <w:r w:rsidRPr="003D089D">
        <w:rPr>
          <w:rFonts w:eastAsia="Times New Roman" w:cs="Franklin Gothic Book"/>
          <w:kern w:val="0"/>
          <w14:ligatures w14:val="none"/>
        </w:rPr>
        <w:t>Location history logging</w:t>
      </w:r>
    </w:p>
    <w:p w14:paraId="740CD278" w14:textId="77777777" w:rsidR="00DC4E78" w:rsidRPr="003D089D" w:rsidRDefault="00DC4E78" w:rsidP="003D089D">
      <w:pPr>
        <w:pStyle w:val="ListParagraph"/>
        <w:numPr>
          <w:ilvl w:val="2"/>
          <w:numId w:val="29"/>
        </w:numPr>
        <w:autoSpaceDE w:val="0"/>
        <w:autoSpaceDN w:val="0"/>
        <w:adjustRightInd w:val="0"/>
        <w:spacing w:after="0" w:line="276" w:lineRule="auto"/>
        <w:rPr>
          <w:rFonts w:eastAsia="Times New Roman" w:cs="Franklin Gothic Book"/>
          <w:kern w:val="0"/>
          <w14:ligatures w14:val="none"/>
        </w:rPr>
      </w:pPr>
      <w:r w:rsidRPr="003D089D">
        <w:rPr>
          <w:rFonts w:eastAsia="Times New Roman" w:cs="Franklin Gothic Book"/>
          <w:kern w:val="0"/>
          <w14:ligatures w14:val="none"/>
        </w:rPr>
        <w:t>The ability to tag the location where photos are taken or data is collected</w:t>
      </w:r>
    </w:p>
    <w:p w14:paraId="2AF344C0" w14:textId="02615477" w:rsidR="00DC4E78" w:rsidRDefault="00DC4E78" w:rsidP="003D089D">
      <w:pPr>
        <w:pStyle w:val="ListParagraph"/>
        <w:numPr>
          <w:ilvl w:val="0"/>
          <w:numId w:val="27"/>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The ability to create 3D renderings of a building or structure that can be downloaded or shared via email</w:t>
      </w:r>
      <w:r w:rsidR="003D089D">
        <w:rPr>
          <w:rFonts w:eastAsia="Times New Roman" w:cs="Franklin Gothic Book"/>
          <w:kern w:val="24"/>
          <w14:ligatures w14:val="none"/>
        </w:rPr>
        <w:t>.</w:t>
      </w:r>
    </w:p>
    <w:p w14:paraId="63551A98" w14:textId="77777777" w:rsidR="008132FC" w:rsidRDefault="008132FC" w:rsidP="008132FC">
      <w:pPr>
        <w:pStyle w:val="ListParagraph"/>
        <w:autoSpaceDE w:val="0"/>
        <w:autoSpaceDN w:val="0"/>
        <w:adjustRightInd w:val="0"/>
        <w:spacing w:after="0" w:line="276" w:lineRule="auto"/>
        <w:rPr>
          <w:rFonts w:eastAsia="Times New Roman" w:cs="Franklin Gothic Book"/>
          <w:kern w:val="24"/>
          <w14:ligatures w14:val="none"/>
        </w:rPr>
      </w:pPr>
    </w:p>
    <w:p w14:paraId="6FB53EB9" w14:textId="08FDFDC0"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r>
        <w:rPr>
          <w:rFonts w:eastAsia="Times New Roman" w:cs="Franklin Gothic Book"/>
          <w:kern w:val="24"/>
          <w14:ligatures w14:val="none"/>
        </w:rPr>
        <w:t>9.</w:t>
      </w:r>
      <w:r w:rsidRPr="008132FC">
        <w:t xml:space="preserve"> </w:t>
      </w:r>
      <w:r w:rsidRPr="008132FC">
        <w:rPr>
          <w:rFonts w:eastAsia="Times New Roman" w:cs="Franklin Gothic Book"/>
          <w:kern w:val="24"/>
          <w14:ligatures w14:val="none"/>
        </w:rPr>
        <w:t>College Application Platform — Ready for School</w:t>
      </w:r>
    </w:p>
    <w:p w14:paraId="17342018" w14:textId="4112F40C"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45BFE6F3"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 xml:space="preserve">The Taxpayer provides an online application platform (Ready for School), which is a SaaS platform. Ready for School is a SaaS platform used by schools for two purposes. The first, Best Document Admin (BDA) is for prospective students to send in their application materials and pay deposits. The second, Easy Document Review (EDR) is for the educational institution to review the applications. Each of these functions is a separate SaaS platform used by the school and each is sold for one nonitemized price. </w:t>
      </w:r>
    </w:p>
    <w:p w14:paraId="6E0BD4E3"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56F2F5C9" w14:textId="5001D85F"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lastRenderedPageBreak/>
        <w:t xml:space="preserve">The Taxpayer summarizes the BDA SaaS platform as comprising four distinct components: (1) Document Processing (for applicants’ applications), (2) Data Hosting (for applicants’ information), (3) Payment Processing (for applicants to pay), and (4) Administrative Tools (for school to view, search, and retrieve applicants’ data), which are sold together for one nonitemized price. The Taxpayer asserts that because of the components’ separate functionality, the BDA is not a single product. The Taxpayer argues the component parts are distinct and identifiable products. The Taxpayer argues that the BDA SaaS platform is a bundle because it has four features: document processing, data hosting, payment processing, and administrative tools. The Taxpayer claims that each of the four features is an individual product. Additionally, the Taxpayer argues that the first three components listed above qualify for specific exclusions from tax. The Taxpayer argues the administrative tools, while arguably taxable, have a cost relative to the entire package that is de minimis. Alternatively, </w:t>
      </w:r>
      <w:r w:rsidR="00C41AC9" w:rsidRPr="008132FC">
        <w:rPr>
          <w:rFonts w:eastAsia="Times New Roman" w:cs="Franklin Gothic Book"/>
          <w:kern w:val="24"/>
          <w14:ligatures w14:val="none"/>
        </w:rPr>
        <w:t>the</w:t>
      </w:r>
      <w:r w:rsidRPr="008132FC">
        <w:rPr>
          <w:rFonts w:eastAsia="Times New Roman" w:cs="Franklin Gothic Book"/>
          <w:kern w:val="24"/>
          <w14:ligatures w14:val="none"/>
        </w:rPr>
        <w:t xml:space="preserve"> Taxpayer argues the true object of the administrative tools, that consists taxable products such as electronic search functionality and data processing, is exempt data processing. Or, alternatively, the administrative tools are a bundle and the taxable products are de</w:t>
      </w:r>
      <w:r>
        <w:rPr>
          <w:rFonts w:eastAsia="Times New Roman" w:cs="Franklin Gothic Book"/>
          <w:kern w:val="24"/>
          <w14:ligatures w14:val="none"/>
        </w:rPr>
        <w:t xml:space="preserve"> </w:t>
      </w:r>
      <w:r w:rsidRPr="008132FC">
        <w:rPr>
          <w:rFonts w:eastAsia="Times New Roman" w:cs="Franklin Gothic Book"/>
          <w:kern w:val="24"/>
          <w14:ligatures w14:val="none"/>
        </w:rPr>
        <w:t>minimis.</w:t>
      </w:r>
    </w:p>
    <w:p w14:paraId="41CBFA75"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49543D8F"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The second SaaS platform used by schools is the Easy Document Review platform (EDR), which manages the entire application review process online. This platform can be purchased separately from BDA. EDR collects all reviewers’ scores and comments into a single location. Applications are routed to the appropriate department. Built-in search tools make it easy for evaluators to retrieve and compare applications. EDR is customized for each educational institution based on their unique needs. EDR fully integrates several other Ready for School SaaS platforms, including those for potential students to upload letters of recommendation, verify credentials, and solicit prospective students to apply. Customers would pay for each additional platform separately. All data shared between the platforms is automatic. The EDR platform is also sold for one nonitemized price. The Taxpayer argues that EDR is single product, remote access prewritten software exempt as customization of prewritten software.</w:t>
      </w:r>
    </w:p>
    <w:p w14:paraId="3FCA75BC"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55137E85"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 xml:space="preserve">Whether someone is an employee of the university or a prospective student, they log onto the same Ready for School SaaS platform and have access to all the different platforms — BDA, EDR, or any additional platforms into which the customer has opted into. When Ready for School bills their customers, they itemize their invoices with a price for each individual platform that is integrated into the Ready for School SaaS platform. </w:t>
      </w:r>
    </w:p>
    <w:p w14:paraId="67E98A42"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4BB32FF7" w14:textId="4C83E63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r>
        <w:rPr>
          <w:rFonts w:eastAsia="Times New Roman" w:cs="Franklin Gothic Book"/>
          <w:kern w:val="24"/>
          <w14:ligatures w14:val="none"/>
        </w:rPr>
        <w:t xml:space="preserve">10. </w:t>
      </w:r>
      <w:r w:rsidRPr="008132FC">
        <w:rPr>
          <w:rFonts w:eastAsia="Times New Roman" w:cs="Franklin Gothic Book"/>
          <w:kern w:val="24"/>
          <w14:ligatures w14:val="none"/>
        </w:rPr>
        <w:t>Online Banking Platform — GreenThumb</w:t>
      </w:r>
    </w:p>
    <w:p w14:paraId="208387A3" w14:textId="77777777" w:rsidR="008132FC" w:rsidRDefault="008132FC" w:rsidP="008132FC">
      <w:pPr>
        <w:autoSpaceDE w:val="0"/>
        <w:autoSpaceDN w:val="0"/>
        <w:adjustRightInd w:val="0"/>
        <w:spacing w:after="0" w:line="276" w:lineRule="auto"/>
        <w:rPr>
          <w:rFonts w:eastAsia="Times New Roman" w:cs="Franklin Gothic Book"/>
          <w:kern w:val="24"/>
          <w14:ligatures w14:val="none"/>
        </w:rPr>
      </w:pPr>
    </w:p>
    <w:p w14:paraId="2E87B62B" w14:textId="08E49EF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 xml:space="preserve">GreenThumb is an online banking platform built by the Taxpayer that allows member of financial entities (FT) to provide a variety of features to their customers including: paying bills, accessing electronic account statements, making balance transfers, accessing credit card accounts, checking their available credit, reviewing account data, ordering statements for the preceding year, requesting replacement cards and PIN numbers, updating account contact information, requesting a current </w:t>
      </w:r>
      <w:r w:rsidRPr="008132FC">
        <w:rPr>
          <w:rFonts w:eastAsia="Times New Roman" w:cs="Franklin Gothic Book"/>
          <w:kern w:val="24"/>
          <w14:ligatures w14:val="none"/>
        </w:rPr>
        <w:lastRenderedPageBreak/>
        <w:t xml:space="preserve">credit score, initiating inquiries about payments and transactions, and reporting a lost or stolen card. To provide </w:t>
      </w:r>
      <w:r w:rsidR="00C41AC9" w:rsidRPr="008132FC">
        <w:rPr>
          <w:rFonts w:eastAsia="Times New Roman" w:cs="Franklin Gothic Book"/>
          <w:kern w:val="24"/>
          <w14:ligatures w14:val="none"/>
        </w:rPr>
        <w:t>all</w:t>
      </w:r>
      <w:r w:rsidRPr="008132FC">
        <w:rPr>
          <w:rFonts w:eastAsia="Times New Roman" w:cs="Franklin Gothic Book"/>
          <w:kern w:val="24"/>
          <w14:ligatures w14:val="none"/>
        </w:rPr>
        <w:t xml:space="preserve"> these services, the Taxpayer retrieves data from a variety of databases. The Taxpayer maintains a website that hosts and manages the data pulls for each of the FT’s selected options. Each individual FT selects its own preferences and options available for their customers separately. </w:t>
      </w:r>
    </w:p>
    <w:p w14:paraId="276458E7"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4FB3621F"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The Taxpayer provides representative monthly billing statements to the FTs that include: a fee per unique user, a custom programing fee, a monthly maintenance fee, and separate charges for cardholder statement requests, and reporting lost/stolen cards. The Taxpayer argues that the GreenThumb platform, is a single product, that qualifies for an exclusion from tax for payment processing service. The Department has determined that some of the features, if sold alone, would be taxable digital services.</w:t>
      </w:r>
    </w:p>
    <w:p w14:paraId="2FC80EB0"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7948606B" w14:textId="28E83E18"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The Taxpayer charges the individual TF’s one nonitemized, but scalable, priced based on the number of users of the service. The Taxpayer bills for access to GreenThumb, which is an online banking platform. The membership fee per user for GreenThumb includes all the services that comprise the program, such as paying bills, accessing electronic account statements, and making balance transfers. Additionally, the Taxpayer charges separately for services related to GreenThumb, such as custom programing fee, a monthly maintenance fee, and separate charges for cardholder statement requests, and reporting lost/stolen cards.</w:t>
      </w:r>
    </w:p>
    <w:p w14:paraId="12B9F4D3" w14:textId="79F6DE03" w:rsidR="005B418D" w:rsidRPr="009357D0" w:rsidRDefault="00454A60" w:rsidP="0053387E">
      <w:pPr>
        <w:pStyle w:val="Heading1"/>
      </w:pPr>
      <w:r>
        <w:t>10</w:t>
      </w:r>
      <w:r w:rsidR="00355D29">
        <w:t xml:space="preserve">. </w:t>
      </w:r>
      <w:r w:rsidR="00A24E15" w:rsidRPr="009357D0">
        <w:t>Approaches to addressing bundling issues</w:t>
      </w:r>
    </w:p>
    <w:p w14:paraId="3BCC1623" w14:textId="4B6443C2" w:rsidR="00385702" w:rsidRDefault="00385702" w:rsidP="00385702">
      <w:r>
        <w:t xml:space="preserve">In this section of the white paper we identify existing approaches to </w:t>
      </w:r>
      <w:r w:rsidR="00BE79F2">
        <w:t>bundling used in the states</w:t>
      </w:r>
      <w:r w:rsidR="00B10F1C">
        <w:t>.</w:t>
      </w:r>
    </w:p>
    <w:p w14:paraId="4C9B80CD" w14:textId="1DB4CA92" w:rsidR="007B22E5" w:rsidRDefault="0074249A" w:rsidP="00DD0DF4">
      <w:pPr>
        <w:pStyle w:val="Heading2"/>
      </w:pPr>
      <w:r>
        <w:t>A</w:t>
      </w:r>
      <w:r w:rsidR="00355D29" w:rsidRPr="0098038F">
        <w:t xml:space="preserve">. </w:t>
      </w:r>
      <w:r w:rsidR="002D4D58" w:rsidRPr="0098038F">
        <w:t>Tainting rule</w:t>
      </w:r>
    </w:p>
    <w:p w14:paraId="02A4F37E" w14:textId="7E938EA0" w:rsidR="002D4D58" w:rsidRPr="00F13587" w:rsidRDefault="00A5071E" w:rsidP="007B22E5">
      <w:r>
        <w:t xml:space="preserve">Definition: </w:t>
      </w:r>
      <w:r w:rsidR="002D4D58" w:rsidRPr="00F13587">
        <w:t>Any taxable component in a bundle means the whole bundle is taxable.</w:t>
      </w:r>
    </w:p>
    <w:p w14:paraId="0D1DDB81" w14:textId="6AF31054" w:rsidR="002D4D58" w:rsidRPr="00F13587" w:rsidRDefault="00355D29" w:rsidP="007B22E5">
      <w:r>
        <w:t xml:space="preserve">i. </w:t>
      </w:r>
      <w:r w:rsidR="002D4D58" w:rsidRPr="00F13587">
        <w:t>Pros: Easy for sellers to apply and explain to purchasers; less audit risk.</w:t>
      </w:r>
    </w:p>
    <w:p w14:paraId="6120904B" w14:textId="747C92A7" w:rsidR="004D6863" w:rsidRDefault="00F37092" w:rsidP="007B22E5">
      <w:r>
        <w:t xml:space="preserve">ii. </w:t>
      </w:r>
      <w:r w:rsidR="002D4D58" w:rsidRPr="00F13587">
        <w:t>Cons: Purchasers may push back and not want to pay tax on the full amount.</w:t>
      </w:r>
    </w:p>
    <w:p w14:paraId="13331795" w14:textId="798D31CC" w:rsidR="007B22E5" w:rsidRDefault="007B22E5" w:rsidP="007B22E5">
      <w:bookmarkStart w:id="3" w:name="_Hlk174718774"/>
      <w:r>
        <w:t xml:space="preserve">iii. Stakeholders comments: </w:t>
      </w:r>
      <w:r w:rsidR="00292339">
        <w:t>Some like it and others do</w:t>
      </w:r>
      <w:r w:rsidR="00744B50">
        <w:t xml:space="preserve"> </w:t>
      </w:r>
      <w:r w:rsidR="00292339">
        <w:t>n</w:t>
      </w:r>
      <w:r w:rsidR="00744B50">
        <w:t>o</w:t>
      </w:r>
      <w:r w:rsidR="00292339">
        <w:t>t</w:t>
      </w:r>
      <w:r w:rsidR="00744B50">
        <w:t xml:space="preserve"> like it</w:t>
      </w:r>
      <w:r w:rsidR="00292339">
        <w:t>.</w:t>
      </w:r>
      <w:r w:rsidR="00B56691">
        <w:t xml:space="preserve"> It seems to depend on the nature of a taxpayer’s business model and industry. </w:t>
      </w:r>
    </w:p>
    <w:bookmarkEnd w:id="3"/>
    <w:p w14:paraId="6FCC40B7" w14:textId="77777777" w:rsidR="00A5071E" w:rsidRDefault="00646FF6" w:rsidP="0053387E">
      <w:pPr>
        <w:pStyle w:val="Heading2"/>
      </w:pPr>
      <w:r>
        <w:t>B</w:t>
      </w:r>
      <w:r w:rsidR="00F37092">
        <w:t xml:space="preserve">. </w:t>
      </w:r>
      <w:r w:rsidR="001826CA" w:rsidRPr="0098038F">
        <w:t>De minimis rule</w:t>
      </w:r>
    </w:p>
    <w:p w14:paraId="1FAE960A" w14:textId="78C9275A" w:rsidR="001826CA" w:rsidRPr="0098038F" w:rsidRDefault="00B56832" w:rsidP="00A5071E">
      <w:r w:rsidRPr="0021529B">
        <w:t>A de minimis rule is t</w:t>
      </w:r>
      <w:r w:rsidR="00A5071E" w:rsidRPr="0021529B">
        <w:t>he m</w:t>
      </w:r>
      <w:r w:rsidR="0076689B" w:rsidRPr="0021529B">
        <w:t>ost likely exception to the tainting rule</w:t>
      </w:r>
      <w:r w:rsidR="0021529B">
        <w:t>.</w:t>
      </w:r>
      <w:r w:rsidRPr="0021529B">
        <w:t xml:space="preserve"> </w:t>
      </w:r>
      <w:r w:rsidRPr="00BA1A05">
        <w:t>A</w:t>
      </w:r>
      <w:r w:rsidR="007B1690" w:rsidRPr="00BA1A05">
        <w:t xml:space="preserve"> tainting rule will pick up every</w:t>
      </w:r>
      <w:r w:rsidR="00865B51" w:rsidRPr="00BA1A05">
        <w:t xml:space="preserve"> transaction with any taxable TPP, no matter how little taxable TPP is involved.</w:t>
      </w:r>
      <w:r w:rsidR="00AF192F" w:rsidRPr="00BA1A05">
        <w:t xml:space="preserve"> </w:t>
      </w:r>
      <w:r w:rsidR="007B291B" w:rsidRPr="00BA1A05">
        <w:t>Some</w:t>
      </w:r>
      <w:r w:rsidR="00AF192F" w:rsidRPr="00BA1A05">
        <w:t xml:space="preserve"> results, or potential results at the proposal phase, </w:t>
      </w:r>
      <w:r w:rsidR="007B291B" w:rsidRPr="00BA1A05">
        <w:t xml:space="preserve">will seem unfair to almost everyone. Imagine a nontaxable car wash service where </w:t>
      </w:r>
      <w:r w:rsidR="00A26C3A" w:rsidRPr="00BA1A05">
        <w:t>the tires are treated with</w:t>
      </w:r>
      <w:r w:rsidR="007B291B" w:rsidRPr="00BA1A05">
        <w:t xml:space="preserve"> </w:t>
      </w:r>
      <w:r w:rsidR="00A26C3A" w:rsidRPr="00BA1A05">
        <w:t>A</w:t>
      </w:r>
      <w:r w:rsidR="007B291B" w:rsidRPr="00BA1A05">
        <w:t>rmor</w:t>
      </w:r>
      <w:r w:rsidR="00210402" w:rsidRPr="00BA1A05">
        <w:t xml:space="preserve"> A</w:t>
      </w:r>
      <w:r w:rsidR="007B291B" w:rsidRPr="00BA1A05">
        <w:t>l</w:t>
      </w:r>
      <w:r w:rsidR="006D260C" w:rsidRPr="00BA1A05">
        <w:t>l</w:t>
      </w:r>
      <w:r w:rsidR="001A2CAB" w:rsidRPr="00BA1A05">
        <w:t>®.</w:t>
      </w:r>
      <w:r w:rsidR="007B291B" w:rsidRPr="00BA1A05">
        <w:t xml:space="preserve"> </w:t>
      </w:r>
      <w:r w:rsidR="001A2CAB" w:rsidRPr="00BA1A05">
        <w:t xml:space="preserve">The Armor All® is not washed off, it </w:t>
      </w:r>
      <w:r w:rsidR="007B291B" w:rsidRPr="00BA1A05">
        <w:t xml:space="preserve">goes </w:t>
      </w:r>
      <w:r w:rsidR="00BA1A05" w:rsidRPr="00BA1A05">
        <w:t xml:space="preserve">down </w:t>
      </w:r>
      <w:r w:rsidR="001A2CAB" w:rsidRPr="00BA1A05">
        <w:t xml:space="preserve">the road </w:t>
      </w:r>
      <w:r w:rsidR="007B291B" w:rsidRPr="00BA1A05">
        <w:t>with the car</w:t>
      </w:r>
      <w:r w:rsidR="0000650F" w:rsidRPr="00BA1A05">
        <w:t>.</w:t>
      </w:r>
      <w:r w:rsidR="007B291B" w:rsidRPr="00BA1A05">
        <w:t xml:space="preserve"> TPP was transferred </w:t>
      </w:r>
      <w:r w:rsidR="0000650F" w:rsidRPr="00BA1A05">
        <w:t xml:space="preserve">with the service, </w:t>
      </w:r>
      <w:r w:rsidR="007B291B" w:rsidRPr="00BA1A05">
        <w:t xml:space="preserve">making the entire charge taxable. </w:t>
      </w:r>
      <w:r w:rsidR="009918E9" w:rsidRPr="00BA1A05">
        <w:t>Whereas t</w:t>
      </w:r>
      <w:r w:rsidR="007B291B" w:rsidRPr="00BA1A05">
        <w:t xml:space="preserve">he competing carwash </w:t>
      </w:r>
      <w:r w:rsidR="009918E9" w:rsidRPr="00BA1A05">
        <w:t xml:space="preserve">that does not </w:t>
      </w:r>
      <w:r w:rsidR="00E13DDE" w:rsidRPr="00BA1A05">
        <w:t xml:space="preserve">treat tires with Armor All® </w:t>
      </w:r>
      <w:r w:rsidR="009918E9" w:rsidRPr="00BA1A05">
        <w:t>the times will avoid tax. Such results will</w:t>
      </w:r>
      <w:r w:rsidR="00AF192F" w:rsidRPr="00BA1A05">
        <w:t xml:space="preserve"> quickly lead to</w:t>
      </w:r>
      <w:r w:rsidR="00865B51" w:rsidRPr="00BA1A05">
        <w:t xml:space="preserve"> </w:t>
      </w:r>
      <w:r w:rsidR="009918E9">
        <w:t>a de minimis rule</w:t>
      </w:r>
      <w:r w:rsidR="002D1717">
        <w:t>.</w:t>
      </w:r>
      <w:r w:rsidR="001826CA" w:rsidRPr="0098038F">
        <w:t xml:space="preserve"> </w:t>
      </w:r>
    </w:p>
    <w:p w14:paraId="4BBC0C24" w14:textId="443052CE" w:rsidR="001D26A4" w:rsidRPr="0098038F" w:rsidRDefault="001D26A4" w:rsidP="00A5071E">
      <w:r>
        <w:lastRenderedPageBreak/>
        <w:t xml:space="preserve">However, other rules may also lead to a de minimis rule. For example, the Streamlined rules </w:t>
      </w:r>
      <w:r w:rsidR="00E13DDE">
        <w:t>do not impose a pure tainting regime, but still contain a de minimis exclusion.</w:t>
      </w:r>
      <w:r w:rsidR="00792B42">
        <w:t xml:space="preserve"> In addition, here are questions that arise when thinking about using a de minimis rule:</w:t>
      </w:r>
    </w:p>
    <w:p w14:paraId="07BECD83" w14:textId="7294D852" w:rsidR="001826CA" w:rsidRPr="00CE3C54" w:rsidRDefault="00F37092" w:rsidP="00792B42">
      <w:pPr>
        <w:ind w:left="720"/>
      </w:pPr>
      <w:r>
        <w:t xml:space="preserve">i. </w:t>
      </w:r>
      <w:r w:rsidR="001826CA" w:rsidRPr="00CE3C54">
        <w:t xml:space="preserve">Can taxability be determined based on verifiable cost information of the bundled products? </w:t>
      </w:r>
    </w:p>
    <w:p w14:paraId="3DDEBFD4" w14:textId="19386ACF" w:rsidR="001826CA" w:rsidRPr="00CE3C54" w:rsidRDefault="00F37092" w:rsidP="00792B42">
      <w:pPr>
        <w:ind w:left="720"/>
      </w:pPr>
      <w:r>
        <w:t xml:space="preserve">ii. </w:t>
      </w:r>
      <w:r w:rsidR="001826CA" w:rsidRPr="00CE3C54">
        <w:t>What costs control – input or output costs? May be harder</w:t>
      </w:r>
      <w:r w:rsidR="00250AAC">
        <w:t xml:space="preserve"> to deter</w:t>
      </w:r>
      <w:r w:rsidR="00A54649">
        <w:t>m</w:t>
      </w:r>
      <w:r w:rsidR="00250AAC">
        <w:t>ine</w:t>
      </w:r>
      <w:r w:rsidR="001826CA" w:rsidRPr="00CE3C54">
        <w:t xml:space="preserve"> in the digital realm when there are fewer comparison products available.</w:t>
      </w:r>
    </w:p>
    <w:p w14:paraId="25720C6C" w14:textId="04FE06C6" w:rsidR="001826CA" w:rsidRPr="00CE3C54" w:rsidRDefault="00F37092" w:rsidP="00792B42">
      <w:pPr>
        <w:ind w:left="720"/>
      </w:pPr>
      <w:r>
        <w:t xml:space="preserve">iii. </w:t>
      </w:r>
      <w:r w:rsidR="001826CA" w:rsidRPr="00CE3C54">
        <w:t>What should the threshold be? Is 5-10% too low to make a difference? Is 20% better to allow taxpayers and tax administrators to feel more comfortable about the outcome?</w:t>
      </w:r>
    </w:p>
    <w:p w14:paraId="6018ED87" w14:textId="623F5544" w:rsidR="0076689B" w:rsidRPr="00CE3C54" w:rsidRDefault="00F37092" w:rsidP="00792B42">
      <w:pPr>
        <w:ind w:left="720"/>
      </w:pPr>
      <w:r>
        <w:t xml:space="preserve">iv. </w:t>
      </w:r>
      <w:r w:rsidR="0076689B" w:rsidRPr="00CE3C54">
        <w:t xml:space="preserve">What is the philosophy </w:t>
      </w:r>
      <w:r w:rsidR="00D66CFD">
        <w:t>behind any</w:t>
      </w:r>
      <w:r w:rsidR="0076689B" w:rsidRPr="00CE3C54">
        <w:t xml:space="preserve"> de minimis rule? </w:t>
      </w:r>
      <w:r w:rsidR="00D66CFD">
        <w:t xml:space="preserve">Does the use of </w:t>
      </w:r>
      <w:r w:rsidR="00B1458A">
        <w:t xml:space="preserve">a </w:t>
      </w:r>
      <w:r w:rsidR="00D66CFD">
        <w:t xml:space="preserve">de minimis rule </w:t>
      </w:r>
      <w:r w:rsidR="0076689B" w:rsidRPr="00CE3C54">
        <w:t xml:space="preserve">make it difficult </w:t>
      </w:r>
      <w:r w:rsidR="00B1458A">
        <w:t xml:space="preserve">for a bundle </w:t>
      </w:r>
      <w:r w:rsidR="0076689B" w:rsidRPr="00CE3C54">
        <w:t xml:space="preserve">to </w:t>
      </w:r>
      <w:r w:rsidR="00280BB5" w:rsidRPr="00CE3C54">
        <w:t xml:space="preserve">escape taxation once something taxable is included in the bundle? </w:t>
      </w:r>
      <w:r w:rsidR="002A3009">
        <w:t>Does</w:t>
      </w:r>
      <w:r w:rsidR="00280BB5" w:rsidRPr="00CE3C54">
        <w:t xml:space="preserve"> </w:t>
      </w:r>
      <w:r w:rsidR="002A3009">
        <w:t>a</w:t>
      </w:r>
      <w:r w:rsidR="00280BB5" w:rsidRPr="00CE3C54">
        <w:t xml:space="preserve"> de minimis rule create fairness? If so, </w:t>
      </w:r>
      <w:proofErr w:type="gramStart"/>
      <w:r w:rsidR="002A3009">
        <w:t xml:space="preserve">should </w:t>
      </w:r>
      <w:r w:rsidR="00280BB5" w:rsidRPr="00CE3C54">
        <w:t>it should</w:t>
      </w:r>
      <w:proofErr w:type="gramEnd"/>
      <w:r w:rsidR="00280BB5" w:rsidRPr="00CE3C54">
        <w:t xml:space="preserve"> be high enough</w:t>
      </w:r>
      <w:r w:rsidR="00E9733E" w:rsidRPr="00CE3C54">
        <w:t xml:space="preserve"> that when the de minimis amount is exceeded it won’t </w:t>
      </w:r>
      <w:r w:rsidR="0042183A">
        <w:t xml:space="preserve">seem </w:t>
      </w:r>
      <w:r w:rsidR="00D377E7">
        <w:t>un</w:t>
      </w:r>
      <w:r w:rsidR="0042183A">
        <w:t xml:space="preserve">reasonable to </w:t>
      </w:r>
      <w:r w:rsidR="00E9733E" w:rsidRPr="00CE3C54">
        <w:t xml:space="preserve">tax the </w:t>
      </w:r>
      <w:r w:rsidR="00D377E7">
        <w:t>entire cost of the bundle</w:t>
      </w:r>
      <w:r w:rsidR="0042183A">
        <w:t>?</w:t>
      </w:r>
    </w:p>
    <w:p w14:paraId="4385FBC5" w14:textId="559360C4" w:rsidR="00E04A67" w:rsidRPr="00E04A67" w:rsidRDefault="00E04A67" w:rsidP="00902E63">
      <w:r>
        <w:t xml:space="preserve">i. </w:t>
      </w:r>
      <w:r w:rsidRPr="00E04A67">
        <w:t>Pros:</w:t>
      </w:r>
    </w:p>
    <w:p w14:paraId="7652C681" w14:textId="5C9B7D67" w:rsidR="00E04A67" w:rsidRPr="00E04A67" w:rsidRDefault="00E04A67" w:rsidP="00902E63">
      <w:r>
        <w:t xml:space="preserve">ii: </w:t>
      </w:r>
      <w:r w:rsidRPr="00E04A67">
        <w:t>Cons:</w:t>
      </w:r>
    </w:p>
    <w:p w14:paraId="79013CB6" w14:textId="22B31D94" w:rsidR="00902E63" w:rsidRDefault="00E04A67" w:rsidP="00902E63">
      <w:r>
        <w:t xml:space="preserve">iii. </w:t>
      </w:r>
      <w:r w:rsidR="00902E63" w:rsidRPr="00E04A67">
        <w:t>Stakeholders comments: Some</w:t>
      </w:r>
      <w:r w:rsidR="00902E63">
        <w:t xml:space="preserve"> like it and others don’t. It seems to depend on the nature of a taxpayer’s business model and industry. </w:t>
      </w:r>
    </w:p>
    <w:p w14:paraId="07A4C388" w14:textId="0158387D" w:rsidR="00A24E15" w:rsidRPr="00C072A3" w:rsidRDefault="00646FF6" w:rsidP="0053387E">
      <w:pPr>
        <w:pStyle w:val="Heading2"/>
      </w:pPr>
      <w:r>
        <w:t>C</w:t>
      </w:r>
      <w:r w:rsidR="00886BE9">
        <w:t xml:space="preserve">. </w:t>
      </w:r>
      <w:r w:rsidR="00A746A1" w:rsidRPr="00EA0448">
        <w:t xml:space="preserve">Streamlined </w:t>
      </w:r>
      <w:r w:rsidR="00C24142" w:rsidRPr="00EA0448">
        <w:t xml:space="preserve">Agreement and </w:t>
      </w:r>
      <w:r w:rsidR="00497C36">
        <w:t>r</w:t>
      </w:r>
      <w:r w:rsidR="00C24142" w:rsidRPr="00EA0448">
        <w:t xml:space="preserve">elated </w:t>
      </w:r>
      <w:r w:rsidR="00497C36">
        <w:t>r</w:t>
      </w:r>
      <w:r w:rsidR="00C24142" w:rsidRPr="00EA0448">
        <w:t>ules</w:t>
      </w:r>
    </w:p>
    <w:p w14:paraId="09986D03" w14:textId="77777777" w:rsidR="00DB3234" w:rsidRPr="00E04A67" w:rsidRDefault="00DB3234" w:rsidP="00DB3234">
      <w:r>
        <w:t xml:space="preserve">i. </w:t>
      </w:r>
      <w:r w:rsidRPr="00E04A67">
        <w:t>Pros:</w:t>
      </w:r>
    </w:p>
    <w:p w14:paraId="379AB779" w14:textId="77777777" w:rsidR="00DB3234" w:rsidRPr="00E04A67" w:rsidRDefault="00DB3234" w:rsidP="00DB3234">
      <w:r>
        <w:t xml:space="preserve">ii: </w:t>
      </w:r>
      <w:r w:rsidRPr="00E04A67">
        <w:t>Cons:</w:t>
      </w:r>
    </w:p>
    <w:p w14:paraId="73F7AA8C" w14:textId="76B79058" w:rsidR="00902E63" w:rsidRDefault="00DB3234" w:rsidP="00902E63">
      <w:r>
        <w:t xml:space="preserve">iii. </w:t>
      </w:r>
      <w:r w:rsidR="00902E63" w:rsidRPr="00902E63">
        <w:t>Stakeholder comments:</w:t>
      </w:r>
      <w:r w:rsidR="00902E63">
        <w:rPr>
          <w:sz w:val="26"/>
          <w:szCs w:val="26"/>
        </w:rPr>
        <w:t xml:space="preserve"> </w:t>
      </w:r>
      <w:r w:rsidR="00902E63">
        <w:t>Some say Streamlined has the best approach to bundling and covers digital products, so states should look no further and not create any other options for bundling rules. Others say the Streamlined approach is good but could use an update for digital products since they were not considered when the rules were developed. Still others say Streamlined does not cover digital products because digital components are not distinct and identifiable (a condition under SST to be a bundle). Some say the “distinct product” concept from Streamlined is hard to distill with digital products; therefore, the Streamlined approach is unhelpful. Finally, even with any shortcomings, stakeholders indicated that Streamlined states are easier to navigate on bundling issues than non-Streamlined states.</w:t>
      </w:r>
    </w:p>
    <w:p w14:paraId="58106698" w14:textId="17BCA003" w:rsidR="00292339" w:rsidRDefault="00646FF6" w:rsidP="008516C8">
      <w:pPr>
        <w:pStyle w:val="Heading2"/>
      </w:pPr>
      <w:r>
        <w:t>D</w:t>
      </w:r>
      <w:r w:rsidR="00886BE9" w:rsidRPr="0098038F">
        <w:t xml:space="preserve">. </w:t>
      </w:r>
      <w:r w:rsidR="00A24E15" w:rsidRPr="0098038F">
        <w:t>Accounting rul</w:t>
      </w:r>
      <w:r w:rsidR="00A24E15" w:rsidRPr="007B22E5">
        <w:t>e</w:t>
      </w:r>
      <w:r w:rsidR="00A24E15" w:rsidRPr="00F13587">
        <w:t xml:space="preserve"> </w:t>
      </w:r>
      <w:r w:rsidR="00C54A30">
        <w:t>(</w:t>
      </w:r>
      <w:r w:rsidR="00F9658E">
        <w:t xml:space="preserve">aka </w:t>
      </w:r>
      <w:r w:rsidR="00CE0DCE">
        <w:t xml:space="preserve">the </w:t>
      </w:r>
      <w:r w:rsidR="00C54A30">
        <w:t>unbundling</w:t>
      </w:r>
      <w:r w:rsidR="00CE0DCE">
        <w:t xml:space="preserve"> rule</w:t>
      </w:r>
      <w:r w:rsidR="00C54A30">
        <w:t>)</w:t>
      </w:r>
    </w:p>
    <w:p w14:paraId="171EC07D" w14:textId="6CE63F1F" w:rsidR="00A24E15" w:rsidRDefault="00A24E15" w:rsidP="00292339">
      <w:r w:rsidRPr="00F13587">
        <w:t>Sellers can charge a single price for a bundled product and only collect tax on the taxable parts based on a reasonable position consistently taken and documented in books and records.</w:t>
      </w:r>
    </w:p>
    <w:p w14:paraId="11CB3615" w14:textId="36511253" w:rsidR="00A24E15" w:rsidRPr="00F13587" w:rsidRDefault="00886BE9" w:rsidP="00292339">
      <w:r>
        <w:lastRenderedPageBreak/>
        <w:t xml:space="preserve">i. </w:t>
      </w:r>
      <w:r w:rsidR="00A24E15" w:rsidRPr="00F13587">
        <w:t xml:space="preserve">Pros: The preferred approach of the telecom industry; also memorialized in ITFA and MTSA federal laws. May work well for businesses </w:t>
      </w:r>
      <w:r w:rsidR="00AD07CD">
        <w:t>that</w:t>
      </w:r>
      <w:r w:rsidR="00A24E15" w:rsidRPr="00F13587">
        <w:t xml:space="preserve"> want to market a single price for a product it thinks is important for market share.</w:t>
      </w:r>
    </w:p>
    <w:p w14:paraId="3BE67FB9" w14:textId="38BA9FA9" w:rsidR="00A24E15" w:rsidRDefault="00886BE9" w:rsidP="00292339">
      <w:r>
        <w:t xml:space="preserve">ii. </w:t>
      </w:r>
      <w:r w:rsidR="00A24E15" w:rsidRPr="00F13587">
        <w:t xml:space="preserve">Cons: May have more audit risk. Not easy for </w:t>
      </w:r>
      <w:r w:rsidR="00A00135">
        <w:t>third</w:t>
      </w:r>
      <w:r w:rsidR="00A24E15" w:rsidRPr="00F13587">
        <w:t xml:space="preserve"> party compliance vendors to program in their systems.</w:t>
      </w:r>
      <w:r w:rsidR="00C54A30">
        <w:t xml:space="preserve"> Definition of “bundle” </w:t>
      </w:r>
      <w:r w:rsidR="00AD07CD">
        <w:t xml:space="preserve">is </w:t>
      </w:r>
      <w:r w:rsidR="00C54A30">
        <w:t>critical.</w:t>
      </w:r>
    </w:p>
    <w:p w14:paraId="50AD70C7" w14:textId="1FC9F4B3" w:rsidR="00AC4D1A" w:rsidRDefault="00D66D80" w:rsidP="00AC4D1A">
      <w:r>
        <w:t>iii. Stakeholder</w:t>
      </w:r>
      <w:r w:rsidR="000E25F7">
        <w:t xml:space="preserve"> comments</w:t>
      </w:r>
      <w:r>
        <w:t xml:space="preserve">: </w:t>
      </w:r>
      <w:r w:rsidR="00AC4D1A">
        <w:t>T</w:t>
      </w:r>
      <w:r w:rsidR="00AC4D1A" w:rsidRPr="00FD3F12">
        <w:t>elecom</w:t>
      </w:r>
      <w:r w:rsidR="00AC4D1A">
        <w:t>munication</w:t>
      </w:r>
      <w:r w:rsidR="00AC4D1A" w:rsidRPr="00FD3F12">
        <w:t xml:space="preserve"> companies </w:t>
      </w:r>
      <w:r w:rsidR="00AC4D1A">
        <w:t>prefer</w:t>
      </w:r>
      <w:r w:rsidR="00AC4D1A" w:rsidRPr="00FD3F12">
        <w:t xml:space="preserve"> the accounting rule</w:t>
      </w:r>
      <w:r w:rsidR="00AC4D1A">
        <w:t>, which helps address their sale for one price of phone, internet, and cable service for one price. The rule is part of the Internet Tax Freedom Act a</w:t>
      </w:r>
      <w:r w:rsidR="00AC4D1A" w:rsidRPr="00FD3F12">
        <w:t>nd M</w:t>
      </w:r>
      <w:r w:rsidR="00AC4D1A">
        <w:t xml:space="preserve">obile </w:t>
      </w:r>
      <w:r w:rsidR="00AC4D1A" w:rsidRPr="00FD3F12">
        <w:t>T</w:t>
      </w:r>
      <w:r w:rsidR="00AC4D1A">
        <w:t xml:space="preserve">elecommunications </w:t>
      </w:r>
      <w:r w:rsidR="00AC4D1A" w:rsidRPr="00FD3F12">
        <w:t>S</w:t>
      </w:r>
      <w:r w:rsidR="00AC4D1A">
        <w:t xml:space="preserve">ourcing </w:t>
      </w:r>
      <w:r w:rsidR="00AC4D1A" w:rsidRPr="00FD3F12">
        <w:t>A</w:t>
      </w:r>
      <w:r w:rsidR="00AC4D1A">
        <w:t xml:space="preserve">ct. (See more detailed information in subsection </w:t>
      </w:r>
      <w:r w:rsidR="00AD5E0E">
        <w:t>x</w:t>
      </w:r>
      <w:r w:rsidR="00AC4D1A">
        <w:t xml:space="preserve"> of this white paper). It is also part of many state laws.</w:t>
      </w:r>
      <w:r w:rsidR="00AC4D1A">
        <w:rPr>
          <w:rStyle w:val="FootnoteReference"/>
        </w:rPr>
        <w:footnoteReference w:id="59"/>
      </w:r>
      <w:r w:rsidR="00AC4D1A">
        <w:t xml:space="preserve"> Stakeholders reported with respect to the telecommunications industry it creates no disputes in audits across the states. Stakeholders further explained that the accounting rule can be helpful for staying in compliance with non-tax regulations. </w:t>
      </w:r>
    </w:p>
    <w:p w14:paraId="28CC6281" w14:textId="77777777" w:rsidR="00AC4D1A" w:rsidRDefault="00AC4D1A" w:rsidP="00AC4D1A">
      <w:r>
        <w:t>However, stakeholders also mentioned that the accounting rule is less transparent for purchasers who have a harder time understanding how tax is calculated and creates more audit risk for sellers if they do not get the accounting right. Some say everyone should be able to use the accounting rule if it fits their business needs.</w:t>
      </w:r>
    </w:p>
    <w:p w14:paraId="4D9F59D7" w14:textId="30055FB7" w:rsidR="00805CD2" w:rsidRDefault="00C90CAE" w:rsidP="008516C8">
      <w:pPr>
        <w:pStyle w:val="Heading2"/>
      </w:pPr>
      <w:r>
        <w:t>E</w:t>
      </w:r>
      <w:r w:rsidR="00886BE9" w:rsidRPr="0098038F">
        <w:t xml:space="preserve">. </w:t>
      </w:r>
      <w:r w:rsidR="007A1F64" w:rsidRPr="0098038F">
        <w:t xml:space="preserve">True </w:t>
      </w:r>
      <w:r w:rsidR="00497C36" w:rsidRPr="0098038F">
        <w:t>o</w:t>
      </w:r>
      <w:r w:rsidR="007A1F64" w:rsidRPr="0098038F">
        <w:t>bject</w:t>
      </w:r>
    </w:p>
    <w:p w14:paraId="7985E556" w14:textId="3432D17B" w:rsidR="00225B24" w:rsidRDefault="00805CD2" w:rsidP="00CE0DCE">
      <w:r>
        <w:t xml:space="preserve">As noted elsewhere in this whitepaper, this is </w:t>
      </w:r>
      <w:r w:rsidR="00CE0DCE">
        <w:t xml:space="preserve">the </w:t>
      </w:r>
      <w:r w:rsidR="0072308C">
        <w:t xml:space="preserve">default rule </w:t>
      </w:r>
      <w:r>
        <w:t xml:space="preserve">for many states </w:t>
      </w:r>
      <w:r w:rsidR="0072308C">
        <w:t xml:space="preserve">and taxpayers </w:t>
      </w:r>
      <w:r>
        <w:t xml:space="preserve">when starting a taxability analysis once </w:t>
      </w:r>
      <w:r w:rsidR="0072308C">
        <w:t xml:space="preserve">they determine they have a bundled good or service. Yet questions arise such as: </w:t>
      </w:r>
      <w:r w:rsidR="00A24E15" w:rsidRPr="00872587">
        <w:t>Whose perspective controls the true object analysis? The seller’s or purchaser’s?</w:t>
      </w:r>
      <w:r w:rsidR="0072308C">
        <w:t xml:space="preserve"> Some stakeholders suggested states </w:t>
      </w:r>
      <w:r w:rsidR="00A24E15" w:rsidRPr="00872587">
        <w:t xml:space="preserve">consider </w:t>
      </w:r>
      <w:r w:rsidR="0072308C">
        <w:t xml:space="preserve">using </w:t>
      </w:r>
      <w:r w:rsidR="00A24E15" w:rsidRPr="00872587">
        <w:t xml:space="preserve">a “reasonably prudent buyer” </w:t>
      </w:r>
      <w:r w:rsidR="0072308C">
        <w:t>perspective to help everyone at least start the analysis from the same perspective.</w:t>
      </w:r>
    </w:p>
    <w:p w14:paraId="24E06D19" w14:textId="54A44B66" w:rsidR="00500F88" w:rsidRDefault="00500F88" w:rsidP="00500F88">
      <w:r>
        <w:t>Stakeholder comments</w:t>
      </w:r>
      <w:r w:rsidR="00E173D3">
        <w:t>:</w:t>
      </w:r>
      <w:r>
        <w:t xml:space="preserve"> Some say use the true object instead of a tainting rule because it is more accurate. Others say the true object test is too subjective and a more objective test, based for example on comparable cost data across similar industries, is more accurate. Several noted that when working with the true object test disputes with tax agency staff can arise over whether the seller or purchaser perspective controls what is the true object of the sale. Some suggested greater clarity could be achieved by states using a “reasonably prudent buyer” standard for determining the true object of a bundled transaction. </w:t>
      </w:r>
    </w:p>
    <w:p w14:paraId="784425E1" w14:textId="0A48802E" w:rsidR="00973AD8" w:rsidRDefault="00FA474D" w:rsidP="008516C8">
      <w:pPr>
        <w:pStyle w:val="Heading2"/>
      </w:pPr>
      <w:r>
        <w:lastRenderedPageBreak/>
        <w:t>F</w:t>
      </w:r>
      <w:r w:rsidR="00886BE9">
        <w:t xml:space="preserve">. </w:t>
      </w:r>
      <w:r w:rsidR="00973AD8" w:rsidRPr="00EA0448">
        <w:t xml:space="preserve">Industry </w:t>
      </w:r>
      <w:r w:rsidR="00497C36">
        <w:t>s</w:t>
      </w:r>
      <w:r w:rsidR="00973AD8" w:rsidRPr="00EA0448">
        <w:t>pecific</w:t>
      </w:r>
      <w:r w:rsidR="00973AD8">
        <w:t>:</w:t>
      </w:r>
    </w:p>
    <w:p w14:paraId="696E3022" w14:textId="66D512ED" w:rsidR="00973AD8" w:rsidRDefault="00886BE9" w:rsidP="008516C8">
      <w:pPr>
        <w:pStyle w:val="Heading3"/>
      </w:pPr>
      <w:r>
        <w:t xml:space="preserve">i. </w:t>
      </w:r>
      <w:r w:rsidR="00973AD8">
        <w:t>Already present in the S</w:t>
      </w:r>
      <w:r w:rsidR="00463E75">
        <w:t>treamlined</w:t>
      </w:r>
      <w:r w:rsidR="00973AD8">
        <w:t xml:space="preserve"> approach</w:t>
      </w:r>
    </w:p>
    <w:p w14:paraId="433981CF" w14:textId="7060B8D1" w:rsidR="00973AD8" w:rsidRDefault="00886BE9" w:rsidP="008516C8">
      <w:pPr>
        <w:pStyle w:val="Heading3"/>
      </w:pPr>
      <w:r>
        <w:t xml:space="preserve">ii. </w:t>
      </w:r>
      <w:r w:rsidR="00973AD8">
        <w:t xml:space="preserve">Telecom industry in all states benefits from the accounting rules in ITFA and MTSA  </w:t>
      </w:r>
    </w:p>
    <w:p w14:paraId="793F02ED" w14:textId="4FE0EE67" w:rsidR="00A7676C" w:rsidRDefault="001A5B0A" w:rsidP="00A7676C">
      <w:r>
        <w:t>Beyond the provisions of the Streamlined agreement relating to specific industry treatment of bundled products, o</w:t>
      </w:r>
      <w:r w:rsidR="00A7676C">
        <w:t>nly the telecommunications industry was mentioned as hav</w:t>
      </w:r>
      <w:r>
        <w:t>ing</w:t>
      </w:r>
      <w:r w:rsidR="00A7676C">
        <w:t xml:space="preserve"> the accounting rule as </w:t>
      </w:r>
      <w:r>
        <w:t xml:space="preserve">its norm across the country and based on both the Internet Tax Freedom Act and the Mobile Telecommunications Sourcing Act. See also </w:t>
      </w:r>
      <w:r w:rsidR="00A7676C">
        <w:t xml:space="preserve">subsection (?) </w:t>
      </w:r>
      <w:r>
        <w:t>of this white paper</w:t>
      </w:r>
      <w:r w:rsidR="00A7676C">
        <w:t>.</w:t>
      </w:r>
    </w:p>
    <w:p w14:paraId="73C9EE34" w14:textId="7345BA12" w:rsidR="00973AD8" w:rsidRPr="00CE3C54" w:rsidRDefault="00FA474D" w:rsidP="0099332F">
      <w:pPr>
        <w:pStyle w:val="Heading2"/>
      </w:pPr>
      <w:r>
        <w:t>G</w:t>
      </w:r>
      <w:r w:rsidR="0060781D">
        <w:t xml:space="preserve">. </w:t>
      </w:r>
      <w:r w:rsidR="00CE3C54" w:rsidRPr="00CE3C54">
        <w:t>Deciding</w:t>
      </w:r>
      <w:r w:rsidR="00782601" w:rsidRPr="00CE3C54">
        <w:t xml:space="preserve"> between the various approaches</w:t>
      </w:r>
    </w:p>
    <w:p w14:paraId="2E418E1C" w14:textId="0CFA88BB" w:rsidR="00782601" w:rsidRDefault="0060781D" w:rsidP="0099332F">
      <w:pPr>
        <w:pStyle w:val="Heading3"/>
      </w:pPr>
      <w:r>
        <w:t xml:space="preserve">i. </w:t>
      </w:r>
      <w:r w:rsidR="00782601">
        <w:t>Questions states will have to answer</w:t>
      </w:r>
      <w:r w:rsidR="00635CF1">
        <w:t xml:space="preserve"> to determine their approach</w:t>
      </w:r>
    </w:p>
    <w:p w14:paraId="7411B0A8" w14:textId="1A65353B" w:rsidR="00782601" w:rsidRDefault="0060781D" w:rsidP="0099332F">
      <w:pPr>
        <w:pStyle w:val="Heading3"/>
      </w:pPr>
      <w:r>
        <w:t xml:space="preserve">ii. </w:t>
      </w:r>
      <w:r w:rsidR="006757B6">
        <w:t>Balancing the pros and cons of each approach</w:t>
      </w:r>
    </w:p>
    <w:p w14:paraId="23204D10" w14:textId="0CB66781" w:rsidR="006757B6" w:rsidRDefault="0060781D" w:rsidP="0099332F">
      <w:pPr>
        <w:pStyle w:val="Heading3"/>
      </w:pPr>
      <w:r>
        <w:t xml:space="preserve">iii. </w:t>
      </w:r>
      <w:r w:rsidR="00635CF1">
        <w:t>Supporting provisions for each approach</w:t>
      </w:r>
    </w:p>
    <w:p w14:paraId="4E52F3B2" w14:textId="76B6720E" w:rsidR="0088418B" w:rsidRPr="00DE0294" w:rsidRDefault="00454A60" w:rsidP="0099332F">
      <w:pPr>
        <w:pStyle w:val="Heading1"/>
      </w:pPr>
      <w:r>
        <w:t>11</w:t>
      </w:r>
      <w:r w:rsidR="00900762">
        <w:t xml:space="preserve">. </w:t>
      </w:r>
      <w:r w:rsidR="0088418B" w:rsidRPr="00DE0294">
        <w:t xml:space="preserve">Lessons learned </w:t>
      </w:r>
      <w:r w:rsidR="0097703D">
        <w:t>/ findings and conclusions</w:t>
      </w:r>
    </w:p>
    <w:p w14:paraId="1B1DA216" w14:textId="77777777" w:rsidR="007915DB" w:rsidRDefault="000A6E1A" w:rsidP="000A6E1A">
      <w:r w:rsidRPr="008D2747">
        <w:t xml:space="preserve">As stated in the introduction, the primary question this section of the digital products white paper addresses is: </w:t>
      </w:r>
    </w:p>
    <w:p w14:paraId="6238A83D" w14:textId="319E25D1" w:rsidR="000A6E1A" w:rsidRPr="008D2747" w:rsidRDefault="000A6E1A" w:rsidP="007915DB">
      <w:pPr>
        <w:ind w:left="720"/>
      </w:pPr>
      <w:r w:rsidRPr="008D2747">
        <w:t xml:space="preserve">Does the presence of digital products in a </w:t>
      </w:r>
      <w:proofErr w:type="gramStart"/>
      <w:r w:rsidRPr="008D2747">
        <w:t>sales</w:t>
      </w:r>
      <w:proofErr w:type="gramEnd"/>
      <w:r w:rsidRPr="008D2747">
        <w:t xml:space="preserve"> and use tax base present any unique issues with respect to bundling compared to sales and use tax bases that are based on tangible personal property and services?</w:t>
      </w:r>
    </w:p>
    <w:p w14:paraId="618F3277" w14:textId="23C34C59" w:rsidR="00D002D2" w:rsidRPr="009872C3" w:rsidRDefault="00C60045" w:rsidP="00D002D2">
      <w:pPr>
        <w:rPr>
          <w:b/>
          <w:bCs/>
        </w:rPr>
      </w:pPr>
      <w:r>
        <w:t>T</w:t>
      </w:r>
      <w:r w:rsidR="000A6E1A" w:rsidRPr="008D2747">
        <w:t xml:space="preserve">he work group presents findings and conclusions to highlight the </w:t>
      </w:r>
      <w:r w:rsidR="00011E62">
        <w:t xml:space="preserve">issues and </w:t>
      </w:r>
      <w:r w:rsidR="000A6E1A" w:rsidRPr="008D2747">
        <w:t xml:space="preserve">questions policy makers should consider </w:t>
      </w:r>
      <w:proofErr w:type="gramStart"/>
      <w:r w:rsidR="00011E62">
        <w:t>to c</w:t>
      </w:r>
      <w:r w:rsidR="000A6E1A" w:rsidRPr="008D2747">
        <w:t>reat</w:t>
      </w:r>
      <w:r w:rsidR="00011E62">
        <w:t>e</w:t>
      </w:r>
      <w:proofErr w:type="gramEnd"/>
      <w:r w:rsidR="000A6E1A" w:rsidRPr="008D2747">
        <w:t xml:space="preserve"> a coherent policy framework for bundling in the digital space.</w:t>
      </w:r>
      <w:r w:rsidR="008120B2">
        <w:t xml:space="preserve"> </w:t>
      </w:r>
      <w:bookmarkStart w:id="4" w:name="_Hlk174542757"/>
      <w:r w:rsidR="00BE007A">
        <w:t xml:space="preserve">There are two </w:t>
      </w:r>
      <w:r w:rsidR="00D75D6D">
        <w:t xml:space="preserve">new </w:t>
      </w:r>
      <w:r w:rsidR="00D002D2" w:rsidRPr="009872C3">
        <w:t xml:space="preserve">approaches to bundling </w:t>
      </w:r>
      <w:r w:rsidR="00D75D6D">
        <w:t xml:space="preserve">that </w:t>
      </w:r>
      <w:r w:rsidR="00D9451C">
        <w:t>states may want to consider</w:t>
      </w:r>
      <w:r w:rsidR="00BE007A">
        <w:t xml:space="preserve"> based on input from stakeholders</w:t>
      </w:r>
      <w:r w:rsidR="00D002D2" w:rsidRPr="009872C3">
        <w:t xml:space="preserve">. </w:t>
      </w:r>
    </w:p>
    <w:bookmarkEnd w:id="4"/>
    <w:p w14:paraId="7D76A54D" w14:textId="347B5129" w:rsidR="00220678" w:rsidRDefault="00220678" w:rsidP="00220678">
      <w:pPr>
        <w:pStyle w:val="Heading2"/>
      </w:pPr>
      <w:r>
        <w:t>A</w:t>
      </w:r>
      <w:r w:rsidRPr="0098038F">
        <w:t>. Definitions</w:t>
      </w:r>
    </w:p>
    <w:p w14:paraId="4BB07927" w14:textId="77777777" w:rsidR="00220678" w:rsidRDefault="00220678" w:rsidP="00220678">
      <w:r w:rsidRPr="0098038F">
        <w:t>What is a bundle versus what is a single digital product composed of a group of digital attributes? In the digital realm, digital components can be easily stripped out or added, which can lead to disputes and long discussions with tax agency staff who may be skeptical about the nature of the product and how it works.</w:t>
      </w:r>
    </w:p>
    <w:p w14:paraId="5F84C816" w14:textId="77777777" w:rsidR="00220678" w:rsidRDefault="00220678" w:rsidP="00220678">
      <w:pPr>
        <w:pStyle w:val="Heading2"/>
      </w:pPr>
      <w:r>
        <w:t>B</w:t>
      </w:r>
      <w:r w:rsidRPr="0098038F">
        <w:t>. Tax software compliance coding</w:t>
      </w:r>
    </w:p>
    <w:p w14:paraId="03FCE151" w14:textId="03944A5D" w:rsidR="00220678" w:rsidRDefault="00220678" w:rsidP="00220678">
      <w:r w:rsidRPr="0098038F">
        <w:t xml:space="preserve">Bundling issues can make coding </w:t>
      </w:r>
      <w:r>
        <w:t xml:space="preserve">compliance systems </w:t>
      </w:r>
      <w:r w:rsidRPr="0098038F">
        <w:t>much harder.</w:t>
      </w:r>
      <w:r>
        <w:t xml:space="preserve"> From discussions with stakeholders, the technology is not the problem; it’s the complexity of products and states approaches with the </w:t>
      </w:r>
      <w:r w:rsidR="00AF1C7A">
        <w:t>multitudes</w:t>
      </w:r>
      <w:r>
        <w:t xml:space="preserve"> of bundling </w:t>
      </w:r>
      <w:r w:rsidR="00AF1C7A">
        <w:t>approaches that exist</w:t>
      </w:r>
      <w:r>
        <w:t xml:space="preserve">. If states have a percentage rule </w:t>
      </w:r>
      <w:r>
        <w:lastRenderedPageBreak/>
        <w:t>that can make things easier provided determining what the percentages of the various parts of the bundle are easily determined</w:t>
      </w:r>
      <w:r w:rsidR="00AF1C7A">
        <w:t>, such as the Streamlined bundling provision discussed in subsection ?? of this whitepaper that establishes a taxability percentage</w:t>
      </w:r>
      <w:r w:rsidR="008D443D">
        <w:t xml:space="preserve">. </w:t>
      </w:r>
    </w:p>
    <w:p w14:paraId="7E81EB94" w14:textId="77AD369A" w:rsidR="00C90CAE" w:rsidRDefault="00346438" w:rsidP="00346438">
      <w:pPr>
        <w:pStyle w:val="Heading2"/>
      </w:pPr>
      <w:r>
        <w:t>C.  New possible bundling approaches</w:t>
      </w:r>
    </w:p>
    <w:p w14:paraId="1A96E2AF" w14:textId="04CC113E" w:rsidR="00C0506B" w:rsidRPr="00C0506B" w:rsidRDefault="00A328A7" w:rsidP="00C0506B">
      <w:r w:rsidRPr="00274327">
        <w:rPr>
          <w:highlight w:val="yellow"/>
        </w:rPr>
        <w:t xml:space="preserve">Stakeholders identified two new possible bundling approaches the work group may want to </w:t>
      </w:r>
      <w:r w:rsidR="001F5515" w:rsidRPr="00274327">
        <w:rPr>
          <w:highlight w:val="yellow"/>
        </w:rPr>
        <w:t>further discuss and include in the white paper.</w:t>
      </w:r>
      <w:r w:rsidR="001F5515">
        <w:t xml:space="preserve"> </w:t>
      </w:r>
    </w:p>
    <w:p w14:paraId="6997A231" w14:textId="09EA3DF4" w:rsidR="00346438" w:rsidRDefault="00EF4762" w:rsidP="00346438">
      <w:pPr>
        <w:pStyle w:val="Heading3"/>
      </w:pPr>
      <w:r>
        <w:t>i</w:t>
      </w:r>
      <w:r w:rsidR="00346438">
        <w:t xml:space="preserve">. </w:t>
      </w:r>
      <w:r>
        <w:t>Use a hierarchy or decision tree</w:t>
      </w:r>
    </w:p>
    <w:p w14:paraId="79363153" w14:textId="77777777" w:rsidR="00346438" w:rsidRDefault="00346438" w:rsidP="00346438">
      <w:r>
        <w:t xml:space="preserve">One stakeholder suggested creating a new approach based on a hierarchy that helps taxpayers and tax administrators think through various factors and fact patterns, with perhaps the ultimate default in the hierarchy/decision tree concluding the bundle is taxable. No specific example of what that might look like was provided, so many options are possible. It could resemble a list of options, as presented in this white paper, to approach bundling issues given that different fact patterns might lend themselves to better approaches than others. </w:t>
      </w:r>
      <w:proofErr w:type="gramStart"/>
      <w:r>
        <w:t>Or,</w:t>
      </w:r>
      <w:proofErr w:type="gramEnd"/>
      <w:r>
        <w:t xml:space="preserve"> a state could identify what approaches to bundling they would consider or not. </w:t>
      </w:r>
    </w:p>
    <w:p w14:paraId="443F6321" w14:textId="2AF8AD85" w:rsidR="00EF4762" w:rsidRPr="00EF4762" w:rsidRDefault="00EF4762" w:rsidP="00EF4762">
      <w:pPr>
        <w:pStyle w:val="Heading3"/>
      </w:pPr>
      <w:r>
        <w:t>ii</w:t>
      </w:r>
      <w:r w:rsidRPr="00EF4762">
        <w:t xml:space="preserve">. Apply a taxability percentage </w:t>
      </w:r>
    </w:p>
    <w:p w14:paraId="4ECAB3C4" w14:textId="77777777" w:rsidR="00EF4762" w:rsidRPr="00EF4762" w:rsidRDefault="00EF4762" w:rsidP="00EF4762">
      <w:pPr>
        <w:spacing w:after="0" w:line="276" w:lineRule="auto"/>
        <w:rPr>
          <w:kern w:val="0"/>
          <w14:ligatures w14:val="none"/>
        </w:rPr>
      </w:pPr>
      <w:r w:rsidRPr="00EF4762">
        <w:rPr>
          <w:kern w:val="0"/>
          <w14:ligatures w14:val="none"/>
        </w:rPr>
        <w:t>Streamlined section 330 concerns “Bundled Transactions.” Subsection 330. D. 3. could be used as a model to develop an approach that would provide in certain circumstances that 50% of the transaction will be deemed taxable. This could be phrased as a rebuttable or an irrebuttable presumption. One stakeholder suggested an example of a subscription service that allows the subscriber to select products from a menu that include both digital and non-digital products. Payments would typically be made in advance and neither the customer nor the seller would know what allocation may be appropriate at the time of billing. Ease of administration might suggest a single taxable percentage for the monthly charge, regardless of the actual usage in any month.</w:t>
      </w:r>
    </w:p>
    <w:p w14:paraId="515F4AAE" w14:textId="77777777" w:rsidR="00EF4762" w:rsidRPr="00EF4762" w:rsidRDefault="00EF4762" w:rsidP="00EF4762">
      <w:pPr>
        <w:spacing w:after="0" w:line="276" w:lineRule="auto"/>
        <w:rPr>
          <w:kern w:val="0"/>
          <w14:ligatures w14:val="none"/>
        </w:rPr>
      </w:pPr>
    </w:p>
    <w:p w14:paraId="4FC0E54E" w14:textId="77777777" w:rsidR="00EF4762" w:rsidRPr="00EF4762" w:rsidRDefault="00EF4762" w:rsidP="00EF4762">
      <w:pPr>
        <w:spacing w:after="0" w:line="276" w:lineRule="auto"/>
        <w:rPr>
          <w:kern w:val="0"/>
          <w14:ligatures w14:val="none"/>
        </w:rPr>
      </w:pPr>
      <w:r w:rsidRPr="00EF4762">
        <w:rPr>
          <w:kern w:val="0"/>
          <w14:ligatures w14:val="none"/>
        </w:rPr>
        <w:t xml:space="preserve">For background, </w:t>
      </w:r>
      <w:proofErr w:type="gramStart"/>
      <w:r w:rsidRPr="00EF4762">
        <w:rPr>
          <w:kern w:val="0"/>
          <w14:ligatures w14:val="none"/>
        </w:rPr>
        <w:t>Streamlined</w:t>
      </w:r>
      <w:proofErr w:type="gramEnd"/>
      <w:r w:rsidRPr="00EF4762">
        <w:rPr>
          <w:kern w:val="0"/>
          <w14:ligatures w14:val="none"/>
        </w:rPr>
        <w:t xml:space="preserve"> section 330 provides in relevant part as follows:</w:t>
      </w:r>
    </w:p>
    <w:p w14:paraId="3629B0FC" w14:textId="77777777" w:rsidR="00EF4762" w:rsidRPr="00EF4762" w:rsidRDefault="00EF4762" w:rsidP="00EF4762">
      <w:pPr>
        <w:spacing w:after="0" w:line="276" w:lineRule="auto"/>
        <w:rPr>
          <w:kern w:val="0"/>
          <w14:ligatures w14:val="none"/>
        </w:rPr>
      </w:pPr>
    </w:p>
    <w:p w14:paraId="7877909B" w14:textId="77777777" w:rsidR="00EF4762" w:rsidRPr="00EF4762" w:rsidRDefault="00EF4762" w:rsidP="00EF4762">
      <w:pPr>
        <w:spacing w:after="0" w:line="276" w:lineRule="auto"/>
        <w:rPr>
          <w:kern w:val="0"/>
          <w14:ligatures w14:val="none"/>
        </w:rPr>
      </w:pPr>
      <w:r w:rsidRPr="00EF4762">
        <w:rPr>
          <w:kern w:val="0"/>
          <w14:ligatures w14:val="none"/>
        </w:rPr>
        <w:t xml:space="preserve">D. In the case of a transaction that includes an “optional computer software maintenance contract” for prewritten computer software and the state otherwise has not specifically imposed tax on the retail sale of computer software maintenance contracts, the following provisions apply: </w:t>
      </w:r>
    </w:p>
    <w:p w14:paraId="1DF37B14" w14:textId="77777777" w:rsidR="00EF4762" w:rsidRPr="00EF4762" w:rsidRDefault="00EF4762" w:rsidP="00EF4762">
      <w:pPr>
        <w:spacing w:after="0" w:line="240" w:lineRule="auto"/>
        <w:rPr>
          <w:kern w:val="0"/>
          <w14:ligatures w14:val="none"/>
        </w:rPr>
      </w:pPr>
    </w:p>
    <w:p w14:paraId="20C56FFB" w14:textId="77777777" w:rsidR="00EF4762" w:rsidRPr="00EF4762" w:rsidRDefault="00EF4762" w:rsidP="00EF4762">
      <w:pPr>
        <w:spacing w:after="0" w:line="276" w:lineRule="auto"/>
        <w:ind w:firstLine="720"/>
        <w:rPr>
          <w:kern w:val="0"/>
          <w14:ligatures w14:val="none"/>
        </w:rPr>
      </w:pPr>
      <w:r w:rsidRPr="00EF4762">
        <w:rPr>
          <w:kern w:val="0"/>
          <w14:ligatures w14:val="none"/>
        </w:rPr>
        <w:t>. . . .</w:t>
      </w:r>
    </w:p>
    <w:p w14:paraId="5165AF1F" w14:textId="77777777" w:rsidR="00EF4762" w:rsidRPr="00EF4762" w:rsidRDefault="00EF4762" w:rsidP="00EF4762">
      <w:pPr>
        <w:spacing w:after="0" w:line="276" w:lineRule="auto"/>
        <w:ind w:firstLine="720"/>
        <w:rPr>
          <w:kern w:val="0"/>
          <w14:ligatures w14:val="none"/>
        </w:rPr>
      </w:pPr>
    </w:p>
    <w:p w14:paraId="44FC2848" w14:textId="77777777" w:rsidR="00EF4762" w:rsidRPr="00EF4762" w:rsidRDefault="00EF4762" w:rsidP="00EF4762">
      <w:pPr>
        <w:spacing w:after="0" w:line="276" w:lineRule="auto"/>
        <w:ind w:firstLine="720"/>
        <w:rPr>
          <w:kern w:val="0"/>
          <w14:ligatures w14:val="none"/>
        </w:rPr>
      </w:pPr>
      <w:r w:rsidRPr="00EF4762">
        <w:rPr>
          <w:kern w:val="0"/>
          <w14:ligatures w14:val="none"/>
        </w:rPr>
        <w:t xml:space="preserve">2. If an optional computer software maintenance contract only obligates the vendor to provide support services, it will be characterized as a sale of services and a state may use any of the methods provided under subsection (D)(3) to determine the taxable and nontaxable or exempt portions. </w:t>
      </w:r>
    </w:p>
    <w:p w14:paraId="18A21AD7" w14:textId="77777777" w:rsidR="00EF4762" w:rsidRPr="00EF4762" w:rsidRDefault="00EF4762" w:rsidP="00EF4762">
      <w:pPr>
        <w:spacing w:after="0" w:line="276" w:lineRule="auto"/>
        <w:ind w:firstLine="720"/>
        <w:rPr>
          <w:kern w:val="0"/>
          <w14:ligatures w14:val="none"/>
        </w:rPr>
      </w:pPr>
    </w:p>
    <w:p w14:paraId="1DEC64ED" w14:textId="77777777" w:rsidR="00EF4762" w:rsidRPr="00EF4762" w:rsidRDefault="00EF4762" w:rsidP="00EF4762">
      <w:pPr>
        <w:spacing w:after="0" w:line="276" w:lineRule="auto"/>
        <w:ind w:firstLine="720"/>
        <w:rPr>
          <w:kern w:val="0"/>
          <w14:ligatures w14:val="none"/>
        </w:rPr>
      </w:pPr>
      <w:r w:rsidRPr="00EF4762">
        <w:rPr>
          <w:kern w:val="0"/>
          <w14:ligatures w14:val="none"/>
        </w:rPr>
        <w:lastRenderedPageBreak/>
        <w:t xml:space="preserve">3. If an optional computer software maintenance contract is a bundled transaction in which both taxable and nontaxable or exempt products that are not separately itemized on the invoice or similar billing document, then states shall elect one of the following tax treatments: </w:t>
      </w:r>
    </w:p>
    <w:p w14:paraId="10E8A221" w14:textId="77777777" w:rsidR="00EF4762" w:rsidRPr="00EF4762" w:rsidRDefault="00EF4762" w:rsidP="00EF4762">
      <w:pPr>
        <w:spacing w:after="0" w:line="276" w:lineRule="auto"/>
        <w:ind w:firstLine="720"/>
        <w:rPr>
          <w:kern w:val="0"/>
          <w14:ligatures w14:val="none"/>
        </w:rPr>
      </w:pPr>
    </w:p>
    <w:p w14:paraId="47A09126" w14:textId="77777777" w:rsidR="00EF4762" w:rsidRPr="00EF4762" w:rsidRDefault="00EF4762" w:rsidP="00EF4762">
      <w:pPr>
        <w:spacing w:after="0" w:line="276" w:lineRule="auto"/>
        <w:ind w:firstLine="720"/>
        <w:rPr>
          <w:kern w:val="0"/>
          <w14:ligatures w14:val="none"/>
        </w:rPr>
      </w:pPr>
      <w:r w:rsidRPr="00EF4762">
        <w:rPr>
          <w:kern w:val="0"/>
          <w14:ligatures w14:val="none"/>
        </w:rPr>
        <w:t>. . . .</w:t>
      </w:r>
    </w:p>
    <w:p w14:paraId="75ED2B61" w14:textId="77777777" w:rsidR="00EF4762" w:rsidRPr="00EF4762" w:rsidRDefault="00EF4762" w:rsidP="00EF4762">
      <w:pPr>
        <w:spacing w:after="0" w:line="276" w:lineRule="auto"/>
        <w:ind w:firstLine="720"/>
        <w:rPr>
          <w:kern w:val="0"/>
          <w14:ligatures w14:val="none"/>
        </w:rPr>
      </w:pPr>
    </w:p>
    <w:p w14:paraId="26A61A81" w14:textId="77777777" w:rsidR="00EF4762" w:rsidRPr="00EF4762" w:rsidRDefault="00EF4762" w:rsidP="00EF4762">
      <w:pPr>
        <w:spacing w:after="0" w:line="276" w:lineRule="auto"/>
        <w:ind w:firstLine="720"/>
        <w:rPr>
          <w:kern w:val="0"/>
          <w14:ligatures w14:val="none"/>
        </w:rPr>
      </w:pPr>
      <w:r w:rsidRPr="00EF4762">
        <w:rPr>
          <w:kern w:val="0"/>
          <w14:ligatures w14:val="none"/>
        </w:rPr>
        <w:t xml:space="preserve">d. The contract shall be characterized as twenty, thirty, forty or fifty percent taxable or eighty, seventy, sixty and fifty percent nontaxable or exempt respectively, as selected by each member state. </w:t>
      </w:r>
    </w:p>
    <w:p w14:paraId="4D53A0DA" w14:textId="77777777" w:rsidR="00EF4762" w:rsidRPr="00EF4762" w:rsidRDefault="00EF4762" w:rsidP="00EF4762">
      <w:pPr>
        <w:spacing w:after="0" w:line="276" w:lineRule="auto"/>
        <w:ind w:firstLine="720"/>
        <w:rPr>
          <w:kern w:val="0"/>
          <w14:ligatures w14:val="none"/>
        </w:rPr>
      </w:pPr>
    </w:p>
    <w:p w14:paraId="1C4EAACE" w14:textId="77777777" w:rsidR="00EF4762" w:rsidRPr="00EF4762" w:rsidRDefault="00EF4762" w:rsidP="00EF4762">
      <w:pPr>
        <w:spacing w:after="0" w:line="276" w:lineRule="auto"/>
        <w:ind w:firstLine="720"/>
        <w:rPr>
          <w:kern w:val="0"/>
          <w14:ligatures w14:val="none"/>
        </w:rPr>
      </w:pPr>
      <w:r w:rsidRPr="00EF4762">
        <w:rPr>
          <w:kern w:val="0"/>
          <w14:ligatures w14:val="none"/>
        </w:rPr>
        <w:t xml:space="preserve">4. With respect to states that elect the method described in subparagraph 3(b): </w:t>
      </w:r>
    </w:p>
    <w:p w14:paraId="10FB71FD" w14:textId="77777777" w:rsidR="00EF4762" w:rsidRPr="00EF4762" w:rsidRDefault="00EF4762" w:rsidP="00EF4762">
      <w:pPr>
        <w:spacing w:after="0" w:line="276" w:lineRule="auto"/>
        <w:ind w:firstLine="720"/>
        <w:rPr>
          <w:kern w:val="0"/>
          <w14:ligatures w14:val="none"/>
        </w:rPr>
      </w:pPr>
    </w:p>
    <w:p w14:paraId="19509F86" w14:textId="77777777" w:rsidR="00EF4762" w:rsidRPr="00EF4762" w:rsidRDefault="00EF4762" w:rsidP="00EF4762">
      <w:pPr>
        <w:spacing w:after="0" w:line="276" w:lineRule="auto"/>
        <w:ind w:firstLine="720"/>
        <w:rPr>
          <w:kern w:val="0"/>
          <w14:ligatures w14:val="none"/>
        </w:rPr>
      </w:pPr>
      <w:r w:rsidRPr="00EF4762">
        <w:rPr>
          <w:kern w:val="0"/>
          <w14:ligatures w14:val="none"/>
        </w:rPr>
        <w:t xml:space="preserve">a. Such states may prescribe the use of such reasonable methods as it deems appropriate, and </w:t>
      </w:r>
    </w:p>
    <w:p w14:paraId="45049C64" w14:textId="77777777" w:rsidR="00EF4762" w:rsidRPr="00EF4762" w:rsidRDefault="00EF4762" w:rsidP="00EF4762">
      <w:pPr>
        <w:spacing w:after="0" w:line="276" w:lineRule="auto"/>
        <w:ind w:firstLine="720"/>
        <w:rPr>
          <w:kern w:val="0"/>
          <w14:ligatures w14:val="none"/>
        </w:rPr>
      </w:pPr>
    </w:p>
    <w:p w14:paraId="5CF07175" w14:textId="77777777" w:rsidR="00EF4762" w:rsidRPr="00EF4762" w:rsidRDefault="00EF4762" w:rsidP="00EF4762">
      <w:pPr>
        <w:spacing w:after="0" w:line="276" w:lineRule="auto"/>
        <w:ind w:firstLine="720"/>
        <w:rPr>
          <w:kern w:val="0"/>
          <w14:ligatures w14:val="none"/>
        </w:rPr>
      </w:pPr>
      <w:r w:rsidRPr="00EF4762">
        <w:rPr>
          <w:kern w:val="0"/>
          <w14:ligatures w14:val="none"/>
        </w:rPr>
        <w:t>b. The method selected by the seller shall be binding on the purchaser.</w:t>
      </w:r>
    </w:p>
    <w:p w14:paraId="0F3D7A23" w14:textId="77777777" w:rsidR="00EF4762" w:rsidRPr="00EF4762" w:rsidRDefault="00EF4762" w:rsidP="00EF4762">
      <w:pPr>
        <w:spacing w:after="0" w:line="276" w:lineRule="auto"/>
        <w:rPr>
          <w:kern w:val="0"/>
          <w14:ligatures w14:val="none"/>
        </w:rPr>
      </w:pPr>
    </w:p>
    <w:p w14:paraId="44834205" w14:textId="77777777" w:rsidR="00EF4762" w:rsidRPr="00EF4762" w:rsidRDefault="00EF4762" w:rsidP="00EF4762">
      <w:pPr>
        <w:spacing w:after="0" w:line="276" w:lineRule="auto"/>
        <w:rPr>
          <w:kern w:val="0"/>
          <w14:ligatures w14:val="none"/>
        </w:rPr>
      </w:pPr>
      <w:r w:rsidRPr="00EF4762">
        <w:rPr>
          <w:kern w:val="0"/>
          <w14:ligatures w14:val="none"/>
        </w:rPr>
        <w:t>The accompanying rule to Streamlined Agreement section 330.3 (Allocations with respect to Prewritten Computer Software Maintenance Contracts) provides: “Each state may elect one uniform percentage within the range allowed under Section 330 (D)(3)(d) for allocating between taxable and nontaxable or exempt products.”</w:t>
      </w:r>
    </w:p>
    <w:p w14:paraId="4C11FF7F" w14:textId="55CD4F90" w:rsidR="00DE0294" w:rsidRDefault="00454A60" w:rsidP="00355D29">
      <w:pPr>
        <w:pStyle w:val="Heading1"/>
      </w:pPr>
      <w:r>
        <w:t>1</w:t>
      </w:r>
      <w:r w:rsidR="002166C2">
        <w:t>2</w:t>
      </w:r>
      <w:r>
        <w:t>. Appendices</w:t>
      </w:r>
    </w:p>
    <w:p w14:paraId="0EFD8BA7" w14:textId="3930DB11" w:rsidR="0047179B" w:rsidRPr="0047179B" w:rsidRDefault="0047179B" w:rsidP="0047179B">
      <w:r>
        <w:t xml:space="preserve">[TBD </w:t>
      </w:r>
      <w:r w:rsidR="00042600">
        <w:t>if needed</w:t>
      </w:r>
      <w:r>
        <w:t>]</w:t>
      </w:r>
    </w:p>
    <w:p w14:paraId="58FD150B" w14:textId="77777777" w:rsidR="00A67CDB" w:rsidRPr="00F13587" w:rsidRDefault="00A67CDB" w:rsidP="00DC54E8"/>
    <w:sectPr w:rsidR="00A67CDB" w:rsidRPr="00F1358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4C70" w14:textId="77777777" w:rsidR="00F9564C" w:rsidRDefault="00F9564C" w:rsidP="007D37ED">
      <w:pPr>
        <w:spacing w:after="0" w:line="240" w:lineRule="auto"/>
      </w:pPr>
      <w:r>
        <w:separator/>
      </w:r>
    </w:p>
  </w:endnote>
  <w:endnote w:type="continuationSeparator" w:id="0">
    <w:p w14:paraId="5563A65F" w14:textId="77777777" w:rsidR="00F9564C" w:rsidRDefault="00F9564C" w:rsidP="007D37ED">
      <w:pPr>
        <w:spacing w:after="0" w:line="240" w:lineRule="auto"/>
      </w:pPr>
      <w:r>
        <w:continuationSeparator/>
      </w:r>
    </w:p>
  </w:endnote>
  <w:endnote w:type="continuationNotice" w:id="1">
    <w:p w14:paraId="71D24D6A" w14:textId="77777777" w:rsidR="00F9564C" w:rsidRDefault="00F95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315189"/>
      <w:docPartObj>
        <w:docPartGallery w:val="Page Numbers (Bottom of Page)"/>
        <w:docPartUnique/>
      </w:docPartObj>
    </w:sdtPr>
    <w:sdtEndPr>
      <w:rPr>
        <w:noProof/>
      </w:rPr>
    </w:sdtEndPr>
    <w:sdtContent>
      <w:p w14:paraId="08838019" w14:textId="27C3F2BB" w:rsidR="007D37ED" w:rsidRDefault="007D37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CE3339" w14:textId="77777777" w:rsidR="007D37ED" w:rsidRDefault="007D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6CE03" w14:textId="77777777" w:rsidR="00F9564C" w:rsidRDefault="00F9564C" w:rsidP="007D37ED">
      <w:pPr>
        <w:spacing w:after="0" w:line="240" w:lineRule="auto"/>
      </w:pPr>
      <w:r>
        <w:separator/>
      </w:r>
    </w:p>
  </w:footnote>
  <w:footnote w:type="continuationSeparator" w:id="0">
    <w:p w14:paraId="1DE88773" w14:textId="77777777" w:rsidR="00F9564C" w:rsidRDefault="00F9564C" w:rsidP="007D37ED">
      <w:pPr>
        <w:spacing w:after="0" w:line="240" w:lineRule="auto"/>
      </w:pPr>
      <w:r>
        <w:continuationSeparator/>
      </w:r>
    </w:p>
  </w:footnote>
  <w:footnote w:type="continuationNotice" w:id="1">
    <w:p w14:paraId="47E0F372" w14:textId="77777777" w:rsidR="00F9564C" w:rsidRDefault="00F9564C">
      <w:pPr>
        <w:spacing w:after="0" w:line="240" w:lineRule="auto"/>
      </w:pPr>
    </w:p>
  </w:footnote>
  <w:footnote w:id="2">
    <w:p w14:paraId="0249D253" w14:textId="2DDE4D92" w:rsidR="006D2E5C" w:rsidRPr="006D2E5C" w:rsidRDefault="006D2E5C">
      <w:pPr>
        <w:pStyle w:val="FootnoteText"/>
        <w:rPr>
          <w:rFonts w:ascii="Garamond" w:hAnsi="Garamond"/>
          <w:sz w:val="22"/>
          <w:szCs w:val="22"/>
        </w:rPr>
      </w:pPr>
      <w:r>
        <w:rPr>
          <w:rStyle w:val="FootnoteReference"/>
        </w:rPr>
        <w:footnoteRef/>
      </w:r>
      <w:r>
        <w:t xml:space="preserve"> </w:t>
      </w:r>
      <w:r>
        <w:rPr>
          <w:rFonts w:ascii="Garamond" w:hAnsi="Garamond"/>
          <w:sz w:val="22"/>
          <w:szCs w:val="22"/>
        </w:rPr>
        <w:t xml:space="preserve">For purposes of this MTC uniformity project, the term “digital product” means both goods and services. </w:t>
      </w:r>
    </w:p>
  </w:footnote>
  <w:footnote w:id="3">
    <w:p w14:paraId="567DC01B" w14:textId="5FC3E6CE" w:rsidR="006223AC" w:rsidRPr="005846DE" w:rsidRDefault="007F3D01">
      <w:pPr>
        <w:pStyle w:val="FootnoteText"/>
        <w:rPr>
          <w:rFonts w:ascii="Garamond" w:hAnsi="Garamond"/>
          <w:sz w:val="22"/>
          <w:szCs w:val="22"/>
        </w:rPr>
      </w:pPr>
      <w:r>
        <w:rPr>
          <w:rStyle w:val="FootnoteReference"/>
        </w:rPr>
        <w:footnoteRef/>
      </w:r>
      <w:r>
        <w:t xml:space="preserve"> </w:t>
      </w:r>
      <w:r w:rsidR="006223AC">
        <w:rPr>
          <w:rFonts w:ascii="Garamond" w:hAnsi="Garamond"/>
          <w:sz w:val="22"/>
          <w:szCs w:val="22"/>
        </w:rPr>
        <w:t xml:space="preserve">Visit the </w:t>
      </w:r>
      <w:r w:rsidR="00750761">
        <w:rPr>
          <w:rFonts w:ascii="Garamond" w:hAnsi="Garamond"/>
          <w:sz w:val="22"/>
          <w:szCs w:val="22"/>
        </w:rPr>
        <w:t xml:space="preserve">MTC </w:t>
      </w:r>
      <w:r w:rsidR="006223AC">
        <w:rPr>
          <w:rFonts w:ascii="Garamond" w:hAnsi="Garamond"/>
          <w:sz w:val="22"/>
          <w:szCs w:val="22"/>
        </w:rPr>
        <w:t xml:space="preserve">project page at </w:t>
      </w:r>
      <w:hyperlink r:id="rId1" w:history="1">
        <w:r w:rsidR="006223AC" w:rsidRPr="00226A8B">
          <w:rPr>
            <w:rStyle w:val="Hyperlink"/>
            <w:rFonts w:ascii="Garamond" w:hAnsi="Garamond"/>
            <w:sz w:val="22"/>
            <w:szCs w:val="22"/>
          </w:rPr>
          <w:t>https://www.mtc.gov/uniformity/sales-tax-on-digital-products/</w:t>
        </w:r>
      </w:hyperlink>
      <w:r w:rsidR="006223AC">
        <w:rPr>
          <w:rFonts w:ascii="Garamond" w:hAnsi="Garamond"/>
          <w:sz w:val="22"/>
          <w:szCs w:val="22"/>
        </w:rPr>
        <w:t>.</w:t>
      </w:r>
    </w:p>
  </w:footnote>
  <w:footnote w:id="4">
    <w:p w14:paraId="117C8212" w14:textId="5EC1C816" w:rsidR="006223AC" w:rsidRPr="005846DE" w:rsidRDefault="000A5BA7">
      <w:pPr>
        <w:pStyle w:val="FootnoteText"/>
        <w:rPr>
          <w:rFonts w:ascii="Garamond" w:hAnsi="Garamond"/>
          <w:sz w:val="22"/>
          <w:szCs w:val="22"/>
        </w:rPr>
      </w:pPr>
      <w:r w:rsidRPr="005846DE">
        <w:rPr>
          <w:rStyle w:val="FootnoteReference"/>
          <w:rFonts w:ascii="Garamond" w:hAnsi="Garamond"/>
          <w:sz w:val="22"/>
          <w:szCs w:val="22"/>
        </w:rPr>
        <w:footnoteRef/>
      </w:r>
      <w:r w:rsidRPr="005846DE">
        <w:rPr>
          <w:rFonts w:ascii="Garamond" w:hAnsi="Garamond"/>
          <w:sz w:val="22"/>
          <w:szCs w:val="22"/>
        </w:rPr>
        <w:t xml:space="preserve"> </w:t>
      </w:r>
      <w:r w:rsidR="006223AC">
        <w:rPr>
          <w:rFonts w:ascii="Garamond" w:hAnsi="Garamond"/>
          <w:sz w:val="22"/>
          <w:szCs w:val="22"/>
        </w:rPr>
        <w:t xml:space="preserve">Notes from that work group meeting are available here: </w:t>
      </w:r>
      <w:r w:rsidR="006223AC" w:rsidRPr="006223AC">
        <w:rPr>
          <w:rFonts w:ascii="Garamond" w:hAnsi="Garamond"/>
          <w:sz w:val="22"/>
          <w:szCs w:val="22"/>
        </w:rPr>
        <w:t>chrome-extension://efaidnbmnnnibpcajpcglclefindmkaj/https://www.mtc.gov/wp-content/uploads/2024/04/Digital-Work-Group-Notes-03-7-24.pdf</w:t>
      </w:r>
    </w:p>
  </w:footnote>
  <w:footnote w:id="5">
    <w:p w14:paraId="5DBD11E3" w14:textId="1E591EC6" w:rsidR="00885DFD" w:rsidRPr="00885DFD" w:rsidRDefault="00885DFD">
      <w:pPr>
        <w:pStyle w:val="FootnoteText"/>
        <w:rPr>
          <w:rFonts w:ascii="Garamond" w:hAnsi="Garamond"/>
          <w:sz w:val="22"/>
          <w:szCs w:val="22"/>
        </w:rPr>
      </w:pPr>
      <w:r>
        <w:rPr>
          <w:rStyle w:val="FootnoteReference"/>
        </w:rPr>
        <w:footnoteRef/>
      </w:r>
      <w:r>
        <w:t xml:space="preserve"> </w:t>
      </w:r>
      <w:r>
        <w:rPr>
          <w:rFonts w:ascii="Garamond" w:hAnsi="Garamond"/>
          <w:sz w:val="22"/>
          <w:szCs w:val="22"/>
        </w:rPr>
        <w:t xml:space="preserve">In this whitepaper we use the term “true object test” to mean any similar terminology used by states, such as “essence of the transaction test.” </w:t>
      </w:r>
    </w:p>
  </w:footnote>
  <w:footnote w:id="6">
    <w:p w14:paraId="449CDE1B" w14:textId="77777777" w:rsidR="00E25BA4" w:rsidRPr="00183B6A" w:rsidRDefault="00E25BA4" w:rsidP="00E25BA4">
      <w:pPr>
        <w:pStyle w:val="FootnoteText"/>
        <w:rPr>
          <w:rFonts w:ascii="Garamond" w:hAnsi="Garamond"/>
          <w:sz w:val="22"/>
          <w:szCs w:val="22"/>
        </w:rPr>
      </w:pPr>
      <w:r>
        <w:rPr>
          <w:rStyle w:val="FootnoteReference"/>
        </w:rPr>
        <w:footnoteRef/>
      </w:r>
      <w:r>
        <w:t xml:space="preserve"> </w:t>
      </w:r>
      <w:r w:rsidRPr="00183B6A">
        <w:rPr>
          <w:rFonts w:ascii="Garamond" w:hAnsi="Garamond" w:cs="Arial"/>
          <w:color w:val="252525"/>
          <w:sz w:val="22"/>
          <w:szCs w:val="22"/>
        </w:rPr>
        <w:t>Hellerstein, Hellerstein &amp; Appleby, </w:t>
      </w:r>
      <w:r w:rsidRPr="00183B6A">
        <w:rPr>
          <w:rStyle w:val="c-doc-para-italic"/>
          <w:rFonts w:ascii="Garamond" w:hAnsi="Garamond" w:cs="Arial"/>
          <w:i/>
          <w:iCs/>
          <w:color w:val="252525"/>
          <w:sz w:val="22"/>
          <w:szCs w:val="22"/>
        </w:rPr>
        <w:t>State Taxation</w:t>
      </w:r>
      <w:r w:rsidRPr="00183B6A">
        <w:rPr>
          <w:rStyle w:val="c-doc-para-italic"/>
          <w:rFonts w:ascii="Garamond" w:hAnsi="Garamond" w:cs="Arial"/>
          <w:color w:val="252525"/>
          <w:sz w:val="22"/>
          <w:szCs w:val="22"/>
        </w:rPr>
        <w:t xml:space="preserve">, </w:t>
      </w:r>
      <w:r w:rsidRPr="00183B6A">
        <w:rPr>
          <w:rFonts w:ascii="Garamond" w:hAnsi="Garamond" w:cs="Calibri"/>
          <w:sz w:val="22"/>
          <w:szCs w:val="22"/>
        </w:rPr>
        <w:t xml:space="preserve">§ 12.08[1] </w:t>
      </w:r>
      <w:r w:rsidRPr="00183B6A">
        <w:rPr>
          <w:rFonts w:ascii="Garamond" w:hAnsi="Garamond" w:cs="Arial"/>
          <w:color w:val="252525"/>
          <w:sz w:val="22"/>
          <w:szCs w:val="22"/>
        </w:rPr>
        <w:t>(Thomson Reuters/Tax &amp; Accounting, 3rd ed. 2001, with updates through December 2023) (online version accessed on Checkpoint (www.checkpoint.riag.com) July 11, 2024).</w:t>
      </w:r>
    </w:p>
  </w:footnote>
  <w:footnote w:id="7">
    <w:p w14:paraId="51018AD3" w14:textId="77777777" w:rsidR="00E25BA4" w:rsidRPr="00183B6A" w:rsidRDefault="00E25BA4" w:rsidP="00E25BA4">
      <w:pPr>
        <w:pStyle w:val="FootnoteText"/>
        <w:rPr>
          <w:rFonts w:ascii="Garamond" w:hAnsi="Garamond"/>
          <w:sz w:val="22"/>
          <w:szCs w:val="22"/>
        </w:rPr>
      </w:pPr>
      <w:r w:rsidRPr="00183B6A">
        <w:rPr>
          <w:rStyle w:val="FootnoteReference"/>
          <w:rFonts w:ascii="Garamond" w:hAnsi="Garamond"/>
          <w:sz w:val="22"/>
          <w:szCs w:val="22"/>
        </w:rPr>
        <w:footnoteRef/>
      </w:r>
      <w:r w:rsidRPr="00183B6A">
        <w:rPr>
          <w:rFonts w:ascii="Garamond" w:hAnsi="Garamond"/>
          <w:sz w:val="22"/>
          <w:szCs w:val="22"/>
        </w:rPr>
        <w:t xml:space="preserve"> </w:t>
      </w:r>
      <w:r w:rsidRPr="00183B6A">
        <w:rPr>
          <w:rFonts w:ascii="Garamond" w:hAnsi="Garamond" w:cs="Arial"/>
          <w:color w:val="252525"/>
          <w:sz w:val="22"/>
          <w:szCs w:val="22"/>
        </w:rPr>
        <w:t>Hellerstein, Hellerstein &amp; Appleby, </w:t>
      </w:r>
      <w:r w:rsidRPr="00183B6A">
        <w:rPr>
          <w:rStyle w:val="c-doc-para-italic"/>
          <w:rFonts w:ascii="Garamond" w:hAnsi="Garamond" w:cs="Arial"/>
          <w:i/>
          <w:iCs/>
          <w:color w:val="252525"/>
          <w:sz w:val="22"/>
          <w:szCs w:val="22"/>
        </w:rPr>
        <w:t>State Taxation</w:t>
      </w:r>
      <w:r w:rsidRPr="00183B6A">
        <w:rPr>
          <w:rStyle w:val="c-doc-para-italic"/>
          <w:rFonts w:ascii="Garamond" w:hAnsi="Garamond" w:cs="Arial"/>
          <w:color w:val="252525"/>
          <w:sz w:val="22"/>
          <w:szCs w:val="22"/>
        </w:rPr>
        <w:t xml:space="preserve">, </w:t>
      </w:r>
      <w:r w:rsidRPr="00183B6A">
        <w:rPr>
          <w:rFonts w:ascii="Garamond" w:hAnsi="Garamond" w:cs="Calibri"/>
          <w:sz w:val="22"/>
          <w:szCs w:val="22"/>
        </w:rPr>
        <w:t>§ 12.08[1]</w:t>
      </w:r>
      <w:r w:rsidRPr="00183B6A">
        <w:rPr>
          <w:rFonts w:ascii="Garamond" w:hAnsi="Garamond" w:cs="Arial"/>
          <w:color w:val="252525"/>
          <w:sz w:val="22"/>
          <w:szCs w:val="22"/>
        </w:rPr>
        <w:t>.</w:t>
      </w:r>
    </w:p>
  </w:footnote>
  <w:footnote w:id="8">
    <w:p w14:paraId="43379266" w14:textId="77777777" w:rsidR="00E25BA4" w:rsidRPr="00183B6A" w:rsidRDefault="00E25BA4" w:rsidP="00E25BA4">
      <w:pPr>
        <w:pStyle w:val="FootnoteText"/>
        <w:rPr>
          <w:rFonts w:ascii="Garamond" w:hAnsi="Garamond"/>
          <w:sz w:val="22"/>
          <w:szCs w:val="22"/>
        </w:rPr>
      </w:pPr>
      <w:r w:rsidRPr="00183B6A">
        <w:rPr>
          <w:rStyle w:val="FootnoteReference"/>
          <w:rFonts w:ascii="Garamond" w:hAnsi="Garamond"/>
          <w:sz w:val="22"/>
          <w:szCs w:val="22"/>
        </w:rPr>
        <w:footnoteRef/>
      </w:r>
      <w:r w:rsidRPr="00183B6A">
        <w:rPr>
          <w:rFonts w:ascii="Garamond" w:hAnsi="Garamond"/>
          <w:sz w:val="22"/>
          <w:szCs w:val="22"/>
        </w:rPr>
        <w:t xml:space="preserve"> </w:t>
      </w:r>
      <w:r w:rsidRPr="00183B6A">
        <w:rPr>
          <w:rFonts w:ascii="Garamond" w:hAnsi="Garamond"/>
          <w:i/>
          <w:iCs/>
          <w:sz w:val="22"/>
          <w:szCs w:val="22"/>
        </w:rPr>
        <w:t>See generally</w:t>
      </w:r>
      <w:r w:rsidRPr="00183B6A">
        <w:rPr>
          <w:rFonts w:ascii="Garamond" w:hAnsi="Garamond"/>
          <w:sz w:val="22"/>
          <w:szCs w:val="22"/>
        </w:rPr>
        <w:t xml:space="preserve">, </w:t>
      </w:r>
      <w:r w:rsidRPr="00183B6A">
        <w:rPr>
          <w:rFonts w:ascii="Garamond" w:hAnsi="Garamond"/>
          <w:i/>
          <w:iCs/>
          <w:sz w:val="22"/>
          <w:szCs w:val="22"/>
        </w:rPr>
        <w:t>Rylander v. San Antonio SMSA L.P.</w:t>
      </w:r>
      <w:r w:rsidRPr="00183B6A">
        <w:rPr>
          <w:rFonts w:ascii="Garamond" w:hAnsi="Garamond"/>
          <w:sz w:val="22"/>
          <w:szCs w:val="22"/>
        </w:rPr>
        <w:t xml:space="preserve">, 11 S.W.3d 484 (Tex. App. 2000); </w:t>
      </w:r>
      <w:r w:rsidRPr="00183B6A">
        <w:rPr>
          <w:rFonts w:ascii="Garamond" w:hAnsi="Garamond"/>
          <w:i/>
          <w:iCs/>
          <w:sz w:val="22"/>
          <w:szCs w:val="22"/>
        </w:rPr>
        <w:t>Dell, Inc. v. Superior Ct. of San Francisco</w:t>
      </w:r>
      <w:r w:rsidRPr="00183B6A">
        <w:rPr>
          <w:rFonts w:ascii="Garamond" w:hAnsi="Garamond"/>
          <w:sz w:val="22"/>
          <w:szCs w:val="22"/>
        </w:rPr>
        <w:t xml:space="preserve">, 159 Cal. App. 4th 911 (Cal. Ct. App. 2008); </w:t>
      </w:r>
      <w:r w:rsidRPr="00183B6A">
        <w:rPr>
          <w:rFonts w:ascii="Garamond" w:hAnsi="Garamond"/>
          <w:i/>
          <w:iCs/>
          <w:sz w:val="22"/>
          <w:szCs w:val="22"/>
        </w:rPr>
        <w:t>New England Tel. &amp; Tel. Co. v. Clark</w:t>
      </w:r>
      <w:r w:rsidRPr="00183B6A">
        <w:rPr>
          <w:rFonts w:ascii="Garamond" w:hAnsi="Garamond"/>
          <w:sz w:val="22"/>
          <w:szCs w:val="22"/>
        </w:rPr>
        <w:t>, 624 A.2d 298 (R.I. 1993).</w:t>
      </w:r>
    </w:p>
  </w:footnote>
  <w:footnote w:id="9">
    <w:p w14:paraId="45F8336A" w14:textId="7E6FB057" w:rsidR="00E25BA4" w:rsidRPr="00183B6A" w:rsidRDefault="00E25BA4" w:rsidP="00E25BA4">
      <w:pPr>
        <w:pStyle w:val="FootnoteText"/>
        <w:rPr>
          <w:rFonts w:ascii="Garamond" w:hAnsi="Garamond"/>
          <w:sz w:val="22"/>
          <w:szCs w:val="22"/>
        </w:rPr>
      </w:pPr>
      <w:r w:rsidRPr="00183B6A">
        <w:rPr>
          <w:rStyle w:val="FootnoteReference"/>
          <w:rFonts w:ascii="Garamond" w:hAnsi="Garamond"/>
          <w:sz w:val="22"/>
          <w:szCs w:val="22"/>
        </w:rPr>
        <w:footnoteRef/>
      </w:r>
      <w:r w:rsidRPr="00183B6A">
        <w:rPr>
          <w:rFonts w:ascii="Garamond" w:hAnsi="Garamond"/>
          <w:sz w:val="22"/>
          <w:szCs w:val="22"/>
        </w:rPr>
        <w:t xml:space="preserve"> </w:t>
      </w:r>
      <w:r w:rsidRPr="00183B6A">
        <w:rPr>
          <w:rFonts w:ascii="Garamond" w:hAnsi="Garamond"/>
          <w:i/>
          <w:iCs/>
          <w:sz w:val="22"/>
          <w:szCs w:val="22"/>
        </w:rPr>
        <w:t>Catalina Marketing Sales Corporation v. Department of Treas.</w:t>
      </w:r>
      <w:r w:rsidRPr="00183B6A">
        <w:rPr>
          <w:rFonts w:ascii="Garamond" w:hAnsi="Garamond"/>
          <w:sz w:val="22"/>
          <w:szCs w:val="22"/>
        </w:rPr>
        <w:t xml:space="preserve">, 678 N.W.2d 619, </w:t>
      </w:r>
      <w:r w:rsidRPr="00EA13ED">
        <w:rPr>
          <w:rFonts w:ascii="Garamond" w:hAnsi="Garamond"/>
          <w:sz w:val="22"/>
          <w:szCs w:val="22"/>
        </w:rPr>
        <w:t>626</w:t>
      </w:r>
      <w:r w:rsidRPr="00183B6A">
        <w:rPr>
          <w:rFonts w:ascii="Garamond" w:hAnsi="Garamond"/>
          <w:sz w:val="22"/>
          <w:szCs w:val="22"/>
        </w:rPr>
        <w:t xml:space="preserve"> (Mich. 2004); see also, Eric Duey, </w:t>
      </w:r>
      <w:r w:rsidRPr="00183B6A">
        <w:rPr>
          <w:rFonts w:ascii="Garamond" w:hAnsi="Garamond"/>
          <w:i/>
          <w:iCs/>
          <w:sz w:val="22"/>
          <w:szCs w:val="22"/>
        </w:rPr>
        <w:t>Unbundling Bundled Transactions</w:t>
      </w:r>
      <w:r w:rsidRPr="00183B6A">
        <w:rPr>
          <w:rFonts w:ascii="Garamond" w:hAnsi="Garamond"/>
          <w:sz w:val="22"/>
          <w:szCs w:val="22"/>
        </w:rPr>
        <w:t xml:space="preserve">, 49 </w:t>
      </w:r>
      <w:r w:rsidRPr="00183B6A">
        <w:rPr>
          <w:rFonts w:ascii="Garamond" w:hAnsi="Garamond"/>
          <w:smallCaps/>
          <w:sz w:val="22"/>
          <w:szCs w:val="22"/>
        </w:rPr>
        <w:t>Conn. L. Rev.</w:t>
      </w:r>
      <w:r w:rsidRPr="00183B6A">
        <w:rPr>
          <w:rFonts w:ascii="Garamond" w:hAnsi="Garamond"/>
          <w:sz w:val="22"/>
          <w:szCs w:val="22"/>
        </w:rPr>
        <w:t xml:space="preserve"> 659, 679 (2016).</w:t>
      </w:r>
    </w:p>
  </w:footnote>
  <w:footnote w:id="10">
    <w:p w14:paraId="5DD9339C" w14:textId="77777777" w:rsidR="00E25BA4" w:rsidRPr="00183B6A" w:rsidRDefault="00E25BA4" w:rsidP="00E25BA4">
      <w:pPr>
        <w:pStyle w:val="FootnoteText"/>
        <w:rPr>
          <w:rFonts w:ascii="Garamond" w:hAnsi="Garamond"/>
          <w:sz w:val="22"/>
          <w:szCs w:val="22"/>
        </w:rPr>
      </w:pPr>
      <w:r w:rsidRPr="00183B6A">
        <w:rPr>
          <w:rStyle w:val="FootnoteReference"/>
          <w:rFonts w:ascii="Garamond" w:hAnsi="Garamond"/>
          <w:sz w:val="22"/>
          <w:szCs w:val="22"/>
        </w:rPr>
        <w:footnoteRef/>
      </w:r>
      <w:r w:rsidRPr="00183B6A">
        <w:rPr>
          <w:rFonts w:ascii="Garamond" w:hAnsi="Garamond"/>
          <w:sz w:val="22"/>
          <w:szCs w:val="22"/>
        </w:rPr>
        <w:t xml:space="preserve"> </w:t>
      </w:r>
      <w:r w:rsidRPr="00183B6A">
        <w:rPr>
          <w:rFonts w:ascii="Garamond" w:hAnsi="Garamond" w:cs="Arial"/>
          <w:color w:val="252525"/>
          <w:sz w:val="22"/>
          <w:szCs w:val="22"/>
        </w:rPr>
        <w:t>Hellerstein, Hellerstein &amp; Appleby, </w:t>
      </w:r>
      <w:r w:rsidRPr="00183B6A">
        <w:rPr>
          <w:rStyle w:val="c-doc-para-italic"/>
          <w:rFonts w:ascii="Garamond" w:hAnsi="Garamond" w:cs="Arial"/>
          <w:i/>
          <w:iCs/>
          <w:color w:val="252525"/>
          <w:sz w:val="22"/>
          <w:szCs w:val="22"/>
        </w:rPr>
        <w:t>State Taxation</w:t>
      </w:r>
      <w:r w:rsidRPr="00183B6A">
        <w:rPr>
          <w:rStyle w:val="c-doc-para-italic"/>
          <w:rFonts w:ascii="Garamond" w:hAnsi="Garamond" w:cs="Arial"/>
          <w:color w:val="252525"/>
          <w:sz w:val="22"/>
          <w:szCs w:val="22"/>
        </w:rPr>
        <w:t xml:space="preserve">, </w:t>
      </w:r>
      <w:r w:rsidRPr="00183B6A">
        <w:rPr>
          <w:rFonts w:ascii="Garamond" w:hAnsi="Garamond" w:cs="Calibri"/>
          <w:sz w:val="22"/>
          <w:szCs w:val="22"/>
        </w:rPr>
        <w:t>§ 12.08[2]</w:t>
      </w:r>
      <w:r w:rsidRPr="00183B6A">
        <w:rPr>
          <w:rFonts w:ascii="Garamond" w:hAnsi="Garamond" w:cs="Arial"/>
          <w:color w:val="252525"/>
          <w:sz w:val="22"/>
          <w:szCs w:val="22"/>
        </w:rPr>
        <w:t xml:space="preserve">; </w:t>
      </w:r>
      <w:r w:rsidRPr="00183B6A">
        <w:rPr>
          <w:rFonts w:ascii="Garamond" w:hAnsi="Garamond" w:cs="Arial"/>
          <w:i/>
          <w:iCs/>
          <w:color w:val="252525"/>
          <w:sz w:val="22"/>
          <w:szCs w:val="22"/>
        </w:rPr>
        <w:t>see also</w:t>
      </w:r>
      <w:r w:rsidRPr="00183B6A">
        <w:rPr>
          <w:rFonts w:ascii="Garamond" w:hAnsi="Garamond" w:cs="Arial"/>
          <w:color w:val="252525"/>
          <w:sz w:val="22"/>
          <w:szCs w:val="22"/>
        </w:rPr>
        <w:t xml:space="preserve">, </w:t>
      </w:r>
      <w:r w:rsidRPr="00183B6A">
        <w:rPr>
          <w:rFonts w:ascii="Garamond" w:hAnsi="Garamond"/>
          <w:sz w:val="22"/>
          <w:szCs w:val="22"/>
        </w:rPr>
        <w:t xml:space="preserve">Eric Duey, </w:t>
      </w:r>
      <w:r w:rsidRPr="00183B6A">
        <w:rPr>
          <w:rFonts w:ascii="Garamond" w:hAnsi="Garamond"/>
          <w:i/>
          <w:iCs/>
          <w:sz w:val="22"/>
          <w:szCs w:val="22"/>
        </w:rPr>
        <w:t>Unbundling Bundled Transactions</w:t>
      </w:r>
      <w:r w:rsidRPr="00183B6A">
        <w:rPr>
          <w:rFonts w:ascii="Garamond" w:hAnsi="Garamond"/>
          <w:sz w:val="22"/>
          <w:szCs w:val="22"/>
        </w:rPr>
        <w:t xml:space="preserve">, 49 </w:t>
      </w:r>
      <w:r w:rsidRPr="00183B6A">
        <w:rPr>
          <w:rFonts w:ascii="Garamond" w:hAnsi="Garamond"/>
          <w:smallCaps/>
          <w:sz w:val="22"/>
          <w:szCs w:val="22"/>
        </w:rPr>
        <w:t>Conn. L. Rev.</w:t>
      </w:r>
      <w:r w:rsidRPr="00183B6A">
        <w:rPr>
          <w:rFonts w:ascii="Garamond" w:hAnsi="Garamond"/>
          <w:sz w:val="22"/>
          <w:szCs w:val="22"/>
        </w:rPr>
        <w:t xml:space="preserve"> 659, 681 (2016).</w:t>
      </w:r>
    </w:p>
  </w:footnote>
  <w:footnote w:id="11">
    <w:p w14:paraId="709DDA29" w14:textId="25FBE4C7" w:rsidR="00E25BA4" w:rsidRPr="000E0A90" w:rsidRDefault="00E25BA4" w:rsidP="00E25BA4">
      <w:pPr>
        <w:pStyle w:val="FootnoteText"/>
        <w:rPr>
          <w:rFonts w:ascii="Garamond" w:hAnsi="Garamond"/>
          <w:sz w:val="22"/>
          <w:szCs w:val="22"/>
        </w:rPr>
      </w:pPr>
      <w:r w:rsidRPr="00183B6A">
        <w:rPr>
          <w:rStyle w:val="FootnoteReference"/>
          <w:rFonts w:ascii="Garamond" w:hAnsi="Garamond"/>
          <w:sz w:val="22"/>
          <w:szCs w:val="22"/>
        </w:rPr>
        <w:footnoteRef/>
      </w:r>
      <w:r w:rsidRPr="00183B6A">
        <w:rPr>
          <w:rFonts w:ascii="Garamond" w:hAnsi="Garamond"/>
          <w:sz w:val="22"/>
          <w:szCs w:val="22"/>
        </w:rPr>
        <w:t xml:space="preserve"> </w:t>
      </w:r>
      <w:r w:rsidR="00080DCF" w:rsidRPr="000E0A90">
        <w:rPr>
          <w:rFonts w:ascii="Garamond" w:hAnsi="Garamond"/>
          <w:i/>
          <w:iCs/>
          <w:sz w:val="22"/>
          <w:szCs w:val="22"/>
        </w:rPr>
        <w:t>See</w:t>
      </w:r>
      <w:r w:rsidR="00080DCF" w:rsidRPr="000E0A90">
        <w:rPr>
          <w:rFonts w:ascii="Garamond" w:hAnsi="Garamond"/>
          <w:sz w:val="22"/>
          <w:szCs w:val="22"/>
        </w:rPr>
        <w:t xml:space="preserve"> </w:t>
      </w:r>
      <w:hyperlink r:id="rId2" w:history="1">
        <w:r w:rsidR="00080DCF" w:rsidRPr="000E0A90">
          <w:rPr>
            <w:rStyle w:val="Hyperlink"/>
            <w:rFonts w:ascii="Garamond" w:hAnsi="Garamond"/>
            <w:sz w:val="22"/>
            <w:szCs w:val="22"/>
          </w:rPr>
          <w:t>Streamlined Agreement section 330.A</w:t>
        </w:r>
      </w:hyperlink>
      <w:r w:rsidR="00080DCF" w:rsidRPr="000E0A90">
        <w:rPr>
          <w:rFonts w:ascii="Garamond" w:hAnsi="Garamond"/>
          <w:sz w:val="22"/>
          <w:szCs w:val="22"/>
        </w:rPr>
        <w:t xml:space="preserve"> (requiring states to adopt the core definition of a bundled transaction. </w:t>
      </w:r>
      <w:r w:rsidR="00080DCF" w:rsidRPr="000E0A90">
        <w:rPr>
          <w:rFonts w:ascii="Garamond" w:hAnsi="Garamond"/>
          <w:i/>
          <w:iCs/>
          <w:sz w:val="22"/>
          <w:szCs w:val="22"/>
        </w:rPr>
        <w:t>See also</w:t>
      </w:r>
      <w:r w:rsidR="00080DCF" w:rsidRPr="000E0A90">
        <w:rPr>
          <w:rFonts w:ascii="Garamond" w:hAnsi="Garamond"/>
          <w:sz w:val="22"/>
          <w:szCs w:val="22"/>
        </w:rPr>
        <w:t xml:space="preserve">, </w:t>
      </w:r>
      <w:r w:rsidRPr="000E0A90">
        <w:rPr>
          <w:rFonts w:ascii="Garamond" w:hAnsi="Garamond"/>
          <w:sz w:val="22"/>
          <w:szCs w:val="22"/>
        </w:rPr>
        <w:t xml:space="preserve">State and Local Advisory Council, Issue Paper: Bundled Transaction, </w:t>
      </w:r>
      <w:proofErr w:type="spellStart"/>
      <w:r w:rsidRPr="000E0A90">
        <w:rPr>
          <w:rFonts w:ascii="Garamond" w:hAnsi="Garamond"/>
          <w:sz w:val="22"/>
          <w:szCs w:val="22"/>
        </w:rPr>
        <w:t>pg</w:t>
      </w:r>
      <w:proofErr w:type="spellEnd"/>
      <w:r w:rsidRPr="000E0A90">
        <w:rPr>
          <w:rFonts w:ascii="Garamond" w:hAnsi="Garamond"/>
          <w:sz w:val="22"/>
          <w:szCs w:val="22"/>
        </w:rPr>
        <w:t xml:space="preserve"> 11 (2006) (noting that Streamlined member states are required to adopt the provisions of Section 330(C) applying to bundling).</w:t>
      </w:r>
    </w:p>
  </w:footnote>
  <w:footnote w:id="12">
    <w:p w14:paraId="0A69437E" w14:textId="2F6A9196" w:rsidR="007B7491" w:rsidRPr="000E0A90" w:rsidRDefault="007B7491" w:rsidP="007B7491">
      <w:pPr>
        <w:pStyle w:val="FootnoteText"/>
        <w:rPr>
          <w:rFonts w:ascii="Garamond" w:hAnsi="Garamond"/>
          <w:sz w:val="22"/>
          <w:szCs w:val="22"/>
        </w:rPr>
      </w:pPr>
      <w:r w:rsidRPr="000E0A90">
        <w:rPr>
          <w:rStyle w:val="FootnoteReference"/>
          <w:rFonts w:ascii="Garamond" w:hAnsi="Garamond"/>
          <w:sz w:val="22"/>
          <w:szCs w:val="22"/>
        </w:rPr>
        <w:footnoteRef/>
      </w:r>
      <w:r w:rsidRPr="000E0A90">
        <w:rPr>
          <w:rFonts w:ascii="Garamond" w:hAnsi="Garamond"/>
          <w:sz w:val="22"/>
          <w:szCs w:val="22"/>
        </w:rPr>
        <w:t xml:space="preserve"> See </w:t>
      </w:r>
      <w:hyperlink r:id="rId3" w:history="1">
        <w:r w:rsidRPr="000E0A90">
          <w:rPr>
            <w:rStyle w:val="Hyperlink"/>
            <w:rFonts w:ascii="Garamond" w:hAnsi="Garamond"/>
            <w:sz w:val="22"/>
            <w:szCs w:val="22"/>
          </w:rPr>
          <w:t>Streamlined Agreement section 330</w:t>
        </w:r>
      </w:hyperlink>
      <w:r w:rsidRPr="000E0A90">
        <w:rPr>
          <w:rFonts w:ascii="Garamond" w:hAnsi="Garamond"/>
          <w:sz w:val="22"/>
          <w:szCs w:val="22"/>
        </w:rPr>
        <w:t xml:space="preserve"> and accompanying definitions is </w:t>
      </w:r>
      <w:hyperlink r:id="rId4" w:history="1">
        <w:r w:rsidRPr="000E0A90">
          <w:rPr>
            <w:rStyle w:val="Hyperlink"/>
            <w:rFonts w:ascii="Garamond" w:hAnsi="Garamond"/>
            <w:sz w:val="22"/>
            <w:szCs w:val="22"/>
          </w:rPr>
          <w:t>Appendix C, Part 1</w:t>
        </w:r>
      </w:hyperlink>
      <w:r w:rsidRPr="000E0A90">
        <w:rPr>
          <w:rFonts w:ascii="Garamond" w:hAnsi="Garamond"/>
          <w:sz w:val="22"/>
          <w:szCs w:val="22"/>
        </w:rPr>
        <w:t xml:space="preserve"> of the Streamlined Agreement.</w:t>
      </w:r>
    </w:p>
  </w:footnote>
  <w:footnote w:id="13">
    <w:p w14:paraId="034EECED" w14:textId="77777777" w:rsidR="007B7491" w:rsidRPr="000E0A90" w:rsidRDefault="007B7491" w:rsidP="007B7491">
      <w:pPr>
        <w:pStyle w:val="FootnoteText"/>
        <w:rPr>
          <w:rFonts w:ascii="Garamond" w:hAnsi="Garamond"/>
          <w:sz w:val="22"/>
          <w:szCs w:val="22"/>
        </w:rPr>
      </w:pPr>
      <w:r w:rsidRPr="000E0A90">
        <w:rPr>
          <w:rStyle w:val="FootnoteReference"/>
          <w:rFonts w:ascii="Garamond" w:hAnsi="Garamond"/>
          <w:sz w:val="22"/>
          <w:szCs w:val="22"/>
        </w:rPr>
        <w:footnoteRef/>
      </w:r>
      <w:r w:rsidRPr="000E0A90">
        <w:rPr>
          <w:rFonts w:ascii="Garamond" w:hAnsi="Garamond"/>
          <w:sz w:val="22"/>
          <w:szCs w:val="22"/>
        </w:rPr>
        <w:t xml:space="preserve"> </w:t>
      </w:r>
      <w:proofErr w:type="spellStart"/>
      <w:r w:rsidRPr="000E0A90">
        <w:rPr>
          <w:rFonts w:ascii="Garamond" w:hAnsi="Garamond"/>
          <w:sz w:val="22"/>
          <w:szCs w:val="22"/>
          <w:lang w:val="fr-FR"/>
        </w:rPr>
        <w:t>Nev</w:t>
      </w:r>
      <w:proofErr w:type="spellEnd"/>
      <w:r w:rsidRPr="000E0A90">
        <w:rPr>
          <w:rFonts w:ascii="Garamond" w:hAnsi="Garamond"/>
          <w:sz w:val="22"/>
          <w:szCs w:val="22"/>
          <w:lang w:val="fr-FR"/>
        </w:rPr>
        <w:t>. Admin. Code § 372.045.</w:t>
      </w:r>
    </w:p>
  </w:footnote>
  <w:footnote w:id="14">
    <w:p w14:paraId="05E403C3" w14:textId="77777777" w:rsidR="007B7491" w:rsidRPr="000E0A90" w:rsidRDefault="007B7491" w:rsidP="007B7491">
      <w:pPr>
        <w:pStyle w:val="FootnoteText"/>
        <w:rPr>
          <w:rFonts w:ascii="Garamond" w:hAnsi="Garamond"/>
          <w:sz w:val="22"/>
          <w:szCs w:val="22"/>
        </w:rPr>
      </w:pPr>
      <w:r w:rsidRPr="000E0A90">
        <w:rPr>
          <w:rStyle w:val="FootnoteReference"/>
          <w:rFonts w:ascii="Garamond" w:hAnsi="Garamond"/>
          <w:sz w:val="22"/>
          <w:szCs w:val="22"/>
        </w:rPr>
        <w:footnoteRef/>
      </w:r>
      <w:r w:rsidRPr="000E0A90">
        <w:rPr>
          <w:rFonts w:ascii="Garamond" w:hAnsi="Garamond"/>
          <w:sz w:val="22"/>
          <w:szCs w:val="22"/>
        </w:rPr>
        <w:t xml:space="preserve"> </w:t>
      </w:r>
      <w:proofErr w:type="spellStart"/>
      <w:r w:rsidRPr="000E0A90">
        <w:rPr>
          <w:rFonts w:ascii="Garamond" w:hAnsi="Garamond"/>
          <w:sz w:val="22"/>
          <w:szCs w:val="22"/>
          <w:lang w:val="fr-FR"/>
        </w:rPr>
        <w:t>Nev</w:t>
      </w:r>
      <w:proofErr w:type="spellEnd"/>
      <w:r w:rsidRPr="000E0A90">
        <w:rPr>
          <w:rFonts w:ascii="Garamond" w:hAnsi="Garamond"/>
          <w:sz w:val="22"/>
          <w:szCs w:val="22"/>
          <w:lang w:val="fr-FR"/>
        </w:rPr>
        <w:t>. Admin. Code § 372.045(2)(a).</w:t>
      </w:r>
    </w:p>
  </w:footnote>
  <w:footnote w:id="15">
    <w:p w14:paraId="3C99C1AF" w14:textId="77777777" w:rsidR="007B7491" w:rsidRPr="000E0A90" w:rsidRDefault="007B7491" w:rsidP="007B7491">
      <w:pPr>
        <w:pStyle w:val="FootnoteText"/>
        <w:rPr>
          <w:rFonts w:ascii="Garamond" w:hAnsi="Garamond"/>
          <w:sz w:val="22"/>
          <w:szCs w:val="22"/>
        </w:rPr>
      </w:pPr>
      <w:r w:rsidRPr="000E0A90">
        <w:rPr>
          <w:rStyle w:val="FootnoteReference"/>
          <w:rFonts w:ascii="Garamond" w:hAnsi="Garamond"/>
          <w:sz w:val="22"/>
          <w:szCs w:val="22"/>
        </w:rPr>
        <w:footnoteRef/>
      </w:r>
      <w:r w:rsidRPr="000E0A90">
        <w:rPr>
          <w:rFonts w:ascii="Garamond" w:hAnsi="Garamond"/>
          <w:sz w:val="22"/>
          <w:szCs w:val="22"/>
        </w:rPr>
        <w:t xml:space="preserve"> </w:t>
      </w:r>
      <w:proofErr w:type="spellStart"/>
      <w:r w:rsidRPr="000E0A90">
        <w:rPr>
          <w:rFonts w:ascii="Garamond" w:hAnsi="Garamond"/>
          <w:sz w:val="22"/>
          <w:szCs w:val="22"/>
          <w:lang w:val="fr-FR"/>
        </w:rPr>
        <w:t>Nev</w:t>
      </w:r>
      <w:proofErr w:type="spellEnd"/>
      <w:r w:rsidRPr="000E0A90">
        <w:rPr>
          <w:rFonts w:ascii="Garamond" w:hAnsi="Garamond"/>
          <w:sz w:val="22"/>
          <w:szCs w:val="22"/>
          <w:lang w:val="fr-FR"/>
        </w:rPr>
        <w:t>. Admin. Code § 372.045(2)(c).</w:t>
      </w:r>
    </w:p>
  </w:footnote>
  <w:footnote w:id="16">
    <w:p w14:paraId="5DC7478B" w14:textId="77777777" w:rsidR="007B7491" w:rsidRPr="00EA403C" w:rsidRDefault="007B7491" w:rsidP="007B7491">
      <w:pPr>
        <w:pStyle w:val="FootnoteText"/>
        <w:rPr>
          <w:rFonts w:ascii="Garamond" w:hAnsi="Garamond"/>
          <w:sz w:val="22"/>
          <w:szCs w:val="22"/>
        </w:rPr>
      </w:pPr>
      <w:r w:rsidRPr="00EA403C">
        <w:rPr>
          <w:rStyle w:val="FootnoteReference"/>
          <w:rFonts w:ascii="Garamond" w:hAnsi="Garamond"/>
          <w:sz w:val="22"/>
          <w:szCs w:val="22"/>
        </w:rPr>
        <w:footnoteRef/>
      </w:r>
      <w:r w:rsidRPr="00EA403C">
        <w:rPr>
          <w:rFonts w:ascii="Garamond" w:hAnsi="Garamond"/>
          <w:sz w:val="22"/>
          <w:szCs w:val="22"/>
        </w:rPr>
        <w:t xml:space="preserve"> </w:t>
      </w:r>
      <w:proofErr w:type="spellStart"/>
      <w:r w:rsidRPr="00EA403C">
        <w:rPr>
          <w:rFonts w:ascii="Garamond" w:hAnsi="Garamond"/>
          <w:sz w:val="22"/>
          <w:szCs w:val="22"/>
          <w:lang w:val="fr-FR"/>
        </w:rPr>
        <w:t>Nev</w:t>
      </w:r>
      <w:proofErr w:type="spellEnd"/>
      <w:r w:rsidRPr="00EA403C">
        <w:rPr>
          <w:rFonts w:ascii="Garamond" w:hAnsi="Garamond"/>
          <w:sz w:val="22"/>
          <w:szCs w:val="22"/>
          <w:lang w:val="fr-FR"/>
        </w:rPr>
        <w:t>. Admin. Code § 372.045(2)(d).</w:t>
      </w:r>
    </w:p>
  </w:footnote>
  <w:footnote w:id="17">
    <w:p w14:paraId="28F2AFD9" w14:textId="77777777" w:rsidR="0033465C" w:rsidRPr="00EA403C" w:rsidRDefault="0033465C" w:rsidP="0033465C">
      <w:pPr>
        <w:pStyle w:val="FootnoteText"/>
        <w:rPr>
          <w:rFonts w:ascii="Garamond" w:hAnsi="Garamond"/>
          <w:sz w:val="22"/>
          <w:szCs w:val="22"/>
        </w:rPr>
      </w:pPr>
      <w:r w:rsidRPr="00EA403C">
        <w:rPr>
          <w:rStyle w:val="FootnoteReference"/>
          <w:rFonts w:ascii="Garamond" w:hAnsi="Garamond"/>
          <w:sz w:val="22"/>
          <w:szCs w:val="22"/>
        </w:rPr>
        <w:footnoteRef/>
      </w:r>
      <w:r w:rsidRPr="00EA403C">
        <w:rPr>
          <w:rFonts w:ascii="Garamond" w:hAnsi="Garamond"/>
          <w:sz w:val="22"/>
          <w:szCs w:val="22"/>
        </w:rPr>
        <w:t xml:space="preserve"> </w:t>
      </w:r>
      <w:proofErr w:type="spellStart"/>
      <w:r w:rsidRPr="00EA403C">
        <w:rPr>
          <w:rFonts w:ascii="Garamond" w:hAnsi="Garamond"/>
          <w:sz w:val="22"/>
          <w:szCs w:val="22"/>
          <w:lang w:val="fr-FR"/>
        </w:rPr>
        <w:t>Nev</w:t>
      </w:r>
      <w:proofErr w:type="spellEnd"/>
      <w:r w:rsidRPr="00EA403C">
        <w:rPr>
          <w:rFonts w:ascii="Garamond" w:hAnsi="Garamond"/>
          <w:sz w:val="22"/>
          <w:szCs w:val="22"/>
          <w:lang w:val="fr-FR"/>
        </w:rPr>
        <w:t>. Admin. Code § 372.045(2)(b)(2).</w:t>
      </w:r>
    </w:p>
  </w:footnote>
  <w:footnote w:id="18">
    <w:p w14:paraId="0D5505A3" w14:textId="7AF159E6" w:rsidR="000D1AAD" w:rsidRPr="00EA403C" w:rsidRDefault="000D1AAD">
      <w:pPr>
        <w:pStyle w:val="FootnoteText"/>
        <w:rPr>
          <w:rFonts w:ascii="Garamond" w:hAnsi="Garamond"/>
          <w:sz w:val="22"/>
          <w:szCs w:val="22"/>
        </w:rPr>
      </w:pPr>
      <w:r w:rsidRPr="00EA403C">
        <w:rPr>
          <w:rStyle w:val="FootnoteReference"/>
          <w:rFonts w:ascii="Garamond" w:hAnsi="Garamond"/>
          <w:sz w:val="22"/>
          <w:szCs w:val="22"/>
        </w:rPr>
        <w:footnoteRef/>
      </w:r>
      <w:r w:rsidRPr="00EA403C">
        <w:rPr>
          <w:rFonts w:ascii="Garamond" w:hAnsi="Garamond"/>
          <w:sz w:val="22"/>
          <w:szCs w:val="22"/>
        </w:rPr>
        <w:t xml:space="preserve"> </w:t>
      </w:r>
      <w:proofErr w:type="spellStart"/>
      <w:r w:rsidRPr="00EA403C">
        <w:rPr>
          <w:rFonts w:ascii="Garamond" w:hAnsi="Garamond"/>
          <w:sz w:val="22"/>
          <w:szCs w:val="22"/>
          <w:lang w:val="fr-FR"/>
        </w:rPr>
        <w:t>Nev</w:t>
      </w:r>
      <w:proofErr w:type="spellEnd"/>
      <w:r w:rsidRPr="00EA403C">
        <w:rPr>
          <w:rFonts w:ascii="Garamond" w:hAnsi="Garamond"/>
          <w:sz w:val="22"/>
          <w:szCs w:val="22"/>
          <w:lang w:val="fr-FR"/>
        </w:rPr>
        <w:t>. Admin. Code § 372.045(2)(b)(3).</w:t>
      </w:r>
    </w:p>
  </w:footnote>
  <w:footnote w:id="19">
    <w:p w14:paraId="23AE99AE" w14:textId="72FD2DA1" w:rsidR="009B7AAD" w:rsidRPr="00510638" w:rsidRDefault="009B7AAD">
      <w:pPr>
        <w:pStyle w:val="FootnoteText"/>
        <w:rPr>
          <w:rFonts w:ascii="Garamond" w:hAnsi="Garamond"/>
          <w:sz w:val="22"/>
          <w:szCs w:val="22"/>
        </w:rPr>
      </w:pPr>
      <w:r>
        <w:rPr>
          <w:rStyle w:val="FootnoteReference"/>
        </w:rPr>
        <w:footnoteRef/>
      </w:r>
      <w:r>
        <w:t xml:space="preserve"> </w:t>
      </w:r>
      <w:r w:rsidRPr="00510638">
        <w:rPr>
          <w:rFonts w:ascii="Garamond" w:hAnsi="Garamond"/>
          <w:sz w:val="22"/>
          <w:szCs w:val="22"/>
        </w:rPr>
        <w:t>Georgia Letter Ruling 2019-10 (Nov. 2019).</w:t>
      </w:r>
    </w:p>
  </w:footnote>
  <w:footnote w:id="20">
    <w:p w14:paraId="14CE02C9" w14:textId="5A81F8B7" w:rsidR="005511AE" w:rsidRPr="00510638" w:rsidRDefault="005511AE">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proofErr w:type="spellStart"/>
      <w:r w:rsidRPr="00510638">
        <w:rPr>
          <w:rFonts w:ascii="Garamond" w:hAnsi="Garamond"/>
          <w:sz w:val="22"/>
          <w:szCs w:val="22"/>
          <w:lang w:val="fr-FR"/>
        </w:rPr>
        <w:t>Nev</w:t>
      </w:r>
      <w:proofErr w:type="spellEnd"/>
      <w:r w:rsidRPr="00510638">
        <w:rPr>
          <w:rFonts w:ascii="Garamond" w:hAnsi="Garamond"/>
          <w:sz w:val="22"/>
          <w:szCs w:val="22"/>
          <w:lang w:val="fr-FR"/>
        </w:rPr>
        <w:t>. Admin. Code § 372.045(2)(b)(4).</w:t>
      </w:r>
    </w:p>
  </w:footnote>
  <w:footnote w:id="21">
    <w:p w14:paraId="46EFCD87" w14:textId="7A26C737" w:rsidR="00607030" w:rsidRDefault="00607030">
      <w:pPr>
        <w:pStyle w:val="FootnoteText"/>
      </w:pPr>
      <w:r>
        <w:rPr>
          <w:rStyle w:val="FootnoteReference"/>
        </w:rPr>
        <w:footnoteRef/>
      </w:r>
      <w:r>
        <w:t xml:space="preserve"> </w:t>
      </w:r>
      <w:r w:rsidR="00DE1CBD" w:rsidRPr="00DE1CBD">
        <w:rPr>
          <w:rFonts w:ascii="Garamond" w:hAnsi="Garamond"/>
          <w:sz w:val="22"/>
          <w:szCs w:val="22"/>
        </w:rPr>
        <w:t>Fla. Stat. § 212.02(16).</w:t>
      </w:r>
    </w:p>
  </w:footnote>
  <w:footnote w:id="22">
    <w:p w14:paraId="1D1B81E2" w14:textId="0BA4BFE2" w:rsidR="006C7A9C" w:rsidRDefault="006C7A9C">
      <w:pPr>
        <w:pStyle w:val="FootnoteText"/>
      </w:pPr>
      <w:r>
        <w:rPr>
          <w:rStyle w:val="FootnoteReference"/>
        </w:rPr>
        <w:footnoteRef/>
      </w:r>
      <w:r>
        <w:t xml:space="preserve"> </w:t>
      </w:r>
      <w:r w:rsidR="00D15708" w:rsidRPr="00D15708">
        <w:rPr>
          <w:rFonts w:ascii="Garamond" w:hAnsi="Garamond"/>
          <w:sz w:val="22"/>
          <w:szCs w:val="22"/>
        </w:rPr>
        <w:t>Id. Regs. § 35.01.02.011.01.</w:t>
      </w:r>
    </w:p>
  </w:footnote>
  <w:footnote w:id="23">
    <w:p w14:paraId="5DA08346" w14:textId="4710AAA2" w:rsidR="008A4DAD" w:rsidRPr="00510638" w:rsidRDefault="008A4DAD">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Colo. Prv. </w:t>
      </w:r>
      <w:proofErr w:type="spellStart"/>
      <w:r w:rsidRPr="00510638">
        <w:rPr>
          <w:rFonts w:ascii="Garamond" w:hAnsi="Garamond"/>
          <w:sz w:val="22"/>
          <w:szCs w:val="22"/>
        </w:rPr>
        <w:t>Ltr</w:t>
      </w:r>
      <w:proofErr w:type="spellEnd"/>
      <w:r w:rsidRPr="00510638">
        <w:rPr>
          <w:rFonts w:ascii="Garamond" w:hAnsi="Garamond"/>
          <w:sz w:val="22"/>
          <w:szCs w:val="22"/>
        </w:rPr>
        <w:t xml:space="preserve">. Rul. No. 10-001; see also, Colo. Prv. </w:t>
      </w:r>
      <w:proofErr w:type="spellStart"/>
      <w:r w:rsidRPr="00510638">
        <w:rPr>
          <w:rFonts w:ascii="Garamond" w:hAnsi="Garamond"/>
          <w:sz w:val="22"/>
          <w:szCs w:val="22"/>
        </w:rPr>
        <w:t>Ltr</w:t>
      </w:r>
      <w:proofErr w:type="spellEnd"/>
      <w:r w:rsidRPr="00510638">
        <w:rPr>
          <w:rFonts w:ascii="Garamond" w:hAnsi="Garamond"/>
          <w:sz w:val="22"/>
          <w:szCs w:val="22"/>
        </w:rPr>
        <w:t>. Rul. No. 12-006 (rescinded).</w:t>
      </w:r>
    </w:p>
  </w:footnote>
  <w:footnote w:id="24">
    <w:p w14:paraId="339DAA25" w14:textId="554E8BED" w:rsidR="00427BFF" w:rsidRPr="00510638" w:rsidRDefault="00427BFF">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00435F02" w:rsidRPr="00510638">
        <w:rPr>
          <w:rFonts w:ascii="Garamond" w:hAnsi="Garamond"/>
          <w:sz w:val="22"/>
          <w:szCs w:val="22"/>
        </w:rPr>
        <w:t xml:space="preserve">Colo. Prv. </w:t>
      </w:r>
      <w:proofErr w:type="spellStart"/>
      <w:r w:rsidR="00435F02" w:rsidRPr="00510638">
        <w:rPr>
          <w:rFonts w:ascii="Garamond" w:hAnsi="Garamond"/>
          <w:sz w:val="22"/>
          <w:szCs w:val="22"/>
        </w:rPr>
        <w:t>Ltr</w:t>
      </w:r>
      <w:proofErr w:type="spellEnd"/>
      <w:r w:rsidR="00435F02" w:rsidRPr="00510638">
        <w:rPr>
          <w:rFonts w:ascii="Garamond" w:hAnsi="Garamond"/>
          <w:sz w:val="22"/>
          <w:szCs w:val="22"/>
        </w:rPr>
        <w:t xml:space="preserve">. Rul. No. 23-004; see also, </w:t>
      </w:r>
      <w:r w:rsidR="00D47F1F" w:rsidRPr="00510638">
        <w:rPr>
          <w:rFonts w:ascii="Garamond" w:hAnsi="Garamond"/>
          <w:sz w:val="22"/>
          <w:szCs w:val="22"/>
        </w:rPr>
        <w:t>1-CCR</w:t>
      </w:r>
      <w:r w:rsidRPr="00510638">
        <w:rPr>
          <w:rFonts w:ascii="Garamond" w:hAnsi="Garamond"/>
          <w:sz w:val="22"/>
          <w:szCs w:val="22"/>
        </w:rPr>
        <w:t xml:space="preserve"> </w:t>
      </w:r>
      <w:r w:rsidR="00435F02" w:rsidRPr="00510638">
        <w:rPr>
          <w:rFonts w:ascii="Garamond" w:hAnsi="Garamond"/>
          <w:sz w:val="22"/>
          <w:szCs w:val="22"/>
        </w:rPr>
        <w:t xml:space="preserve">201-4 </w:t>
      </w:r>
      <w:r w:rsidR="00EC3194" w:rsidRPr="00510638">
        <w:rPr>
          <w:rFonts w:ascii="Garamond" w:hAnsi="Garamond" w:cs="Calibri"/>
          <w:sz w:val="22"/>
          <w:szCs w:val="22"/>
        </w:rPr>
        <w:t>§</w:t>
      </w:r>
      <w:r w:rsidR="00EC3194" w:rsidRPr="00510638">
        <w:rPr>
          <w:rFonts w:ascii="Garamond" w:hAnsi="Garamond"/>
          <w:sz w:val="22"/>
          <w:szCs w:val="22"/>
        </w:rPr>
        <w:t xml:space="preserve"> </w:t>
      </w:r>
      <w:r w:rsidR="00FF1B8B" w:rsidRPr="00510638">
        <w:rPr>
          <w:rFonts w:ascii="Garamond" w:hAnsi="Garamond"/>
          <w:sz w:val="22"/>
          <w:szCs w:val="22"/>
        </w:rPr>
        <w:t xml:space="preserve">39-26-102(12); -102(7)(a); </w:t>
      </w:r>
      <w:r w:rsidR="00FF1B8B" w:rsidRPr="00510638">
        <w:rPr>
          <w:rFonts w:ascii="Garamond" w:hAnsi="Garamond" w:cs="Calibri"/>
          <w:i/>
          <w:iCs/>
          <w:sz w:val="22"/>
          <w:szCs w:val="22"/>
        </w:rPr>
        <w:t>A.D. Store Co., Inc. v. Exec. Dir</w:t>
      </w:r>
      <w:r w:rsidR="00FF1B8B" w:rsidRPr="00510638">
        <w:rPr>
          <w:rFonts w:ascii="Garamond" w:hAnsi="Garamond" w:cs="Calibri"/>
          <w:sz w:val="22"/>
          <w:szCs w:val="22"/>
        </w:rPr>
        <w:t>, 19 P.3d 680, 683-684 (Colo. 2001)</w:t>
      </w:r>
      <w:r w:rsidR="00435F02" w:rsidRPr="00510638">
        <w:rPr>
          <w:rFonts w:ascii="Garamond" w:hAnsi="Garamond" w:cs="Calibri"/>
          <w:sz w:val="22"/>
          <w:szCs w:val="22"/>
        </w:rPr>
        <w:t>.</w:t>
      </w:r>
    </w:p>
  </w:footnote>
  <w:footnote w:id="25">
    <w:p w14:paraId="5CCA376F" w14:textId="0EE28E42" w:rsidR="00996335" w:rsidRPr="00510638" w:rsidRDefault="00996335" w:rsidP="00996335">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cs="Calibri"/>
          <w:i/>
          <w:iCs/>
          <w:sz w:val="22"/>
          <w:szCs w:val="22"/>
        </w:rPr>
        <w:t>A.D. Store Co., Inc. v. Exec. Dir</w:t>
      </w:r>
      <w:r w:rsidRPr="00510638">
        <w:rPr>
          <w:rFonts w:ascii="Garamond" w:hAnsi="Garamond" w:cs="Calibri"/>
          <w:sz w:val="22"/>
          <w:szCs w:val="22"/>
        </w:rPr>
        <w:t>, 19 P.3d 680 (Colo. 2001)</w:t>
      </w:r>
      <w:r w:rsidR="00856DE5" w:rsidRPr="00510638">
        <w:rPr>
          <w:rFonts w:ascii="Garamond" w:hAnsi="Garamond" w:cs="Calibri"/>
          <w:sz w:val="22"/>
          <w:szCs w:val="22"/>
        </w:rPr>
        <w:t xml:space="preserve"> (In </w:t>
      </w:r>
      <w:r w:rsidR="00856DE5" w:rsidRPr="00510638">
        <w:rPr>
          <w:rFonts w:ascii="Garamond" w:hAnsi="Garamond" w:cs="Calibri"/>
          <w:i/>
          <w:iCs/>
          <w:sz w:val="22"/>
          <w:szCs w:val="22"/>
        </w:rPr>
        <w:t>A.D. Store</w:t>
      </w:r>
      <w:r w:rsidR="00856DE5" w:rsidRPr="00510638">
        <w:rPr>
          <w:rFonts w:ascii="Garamond" w:hAnsi="Garamond" w:cs="Calibri"/>
          <w:sz w:val="22"/>
          <w:szCs w:val="22"/>
        </w:rPr>
        <w:t xml:space="preserve">, the Colorado Supreme Court held that </w:t>
      </w:r>
      <w:r w:rsidR="00692D00" w:rsidRPr="00510638">
        <w:rPr>
          <w:rFonts w:ascii="Garamond" w:hAnsi="Garamond" w:cs="Calibri"/>
          <w:sz w:val="22"/>
          <w:szCs w:val="22"/>
        </w:rPr>
        <w:t xml:space="preserve">if the price of the taxable TPP can be meaningfully separated from the price of the </w:t>
      </w:r>
      <w:r w:rsidR="009F0FE1" w:rsidRPr="00510638">
        <w:rPr>
          <w:rFonts w:ascii="Garamond" w:hAnsi="Garamond" w:cs="Calibri"/>
          <w:sz w:val="22"/>
          <w:szCs w:val="22"/>
        </w:rPr>
        <w:t>nontaxable service</w:t>
      </w:r>
      <w:r w:rsidR="00692D00" w:rsidRPr="00510638">
        <w:rPr>
          <w:rFonts w:ascii="Garamond" w:hAnsi="Garamond" w:cs="Calibri"/>
          <w:sz w:val="22"/>
          <w:szCs w:val="22"/>
        </w:rPr>
        <w:t xml:space="preserve">, </w:t>
      </w:r>
      <w:r w:rsidR="009F0FE1" w:rsidRPr="00510638">
        <w:rPr>
          <w:rFonts w:ascii="Garamond" w:hAnsi="Garamond" w:cs="Calibri"/>
          <w:sz w:val="22"/>
          <w:szCs w:val="22"/>
        </w:rPr>
        <w:t>then the service was not taxable</w:t>
      </w:r>
      <w:r w:rsidR="00692D00" w:rsidRPr="00510638">
        <w:rPr>
          <w:rFonts w:ascii="Garamond" w:hAnsi="Garamond" w:cs="Calibri"/>
          <w:sz w:val="22"/>
          <w:szCs w:val="22"/>
        </w:rPr>
        <w:t>. The court then determined that alteration services performed on clothing were separable</w:t>
      </w:r>
      <w:r w:rsidR="00377213" w:rsidRPr="00510638">
        <w:rPr>
          <w:rFonts w:ascii="Garamond" w:hAnsi="Garamond" w:cs="Calibri"/>
          <w:sz w:val="22"/>
          <w:szCs w:val="22"/>
        </w:rPr>
        <w:t xml:space="preserve"> from the clothing</w:t>
      </w:r>
      <w:r w:rsidR="009F0FE1" w:rsidRPr="00510638">
        <w:rPr>
          <w:rFonts w:ascii="Garamond" w:hAnsi="Garamond" w:cs="Calibri"/>
          <w:sz w:val="22"/>
          <w:szCs w:val="22"/>
        </w:rPr>
        <w:t xml:space="preserve"> sold and altered</w:t>
      </w:r>
      <w:r w:rsidR="00377213" w:rsidRPr="00510638">
        <w:rPr>
          <w:rFonts w:ascii="Garamond" w:hAnsi="Garamond" w:cs="Calibri"/>
          <w:sz w:val="22"/>
          <w:szCs w:val="22"/>
        </w:rPr>
        <w:t>.)</w:t>
      </w:r>
    </w:p>
  </w:footnote>
  <w:footnote w:id="26">
    <w:p w14:paraId="6365E3E6" w14:textId="77777777" w:rsidR="00925A91" w:rsidRPr="00510638" w:rsidRDefault="00925A91" w:rsidP="00925A91">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1-CCR 201-5, Special Rule 18.</w:t>
      </w:r>
    </w:p>
  </w:footnote>
  <w:footnote w:id="27">
    <w:p w14:paraId="150755C7" w14:textId="3DE1B33C" w:rsidR="009019ED" w:rsidRPr="00510638" w:rsidRDefault="009019ED">
      <w:pPr>
        <w:pStyle w:val="FootnoteText"/>
        <w:rPr>
          <w:rFonts w:ascii="Garamond" w:hAnsi="Garamond"/>
          <w:sz w:val="22"/>
          <w:szCs w:val="22"/>
        </w:rPr>
      </w:pPr>
      <w:r>
        <w:rPr>
          <w:rStyle w:val="FootnoteReference"/>
        </w:rPr>
        <w:footnoteRef/>
      </w:r>
      <w:r>
        <w:t xml:space="preserve"> </w:t>
      </w:r>
      <w:r w:rsidRPr="00510638">
        <w:rPr>
          <w:rFonts w:ascii="Garamond" w:hAnsi="Garamond"/>
          <w:sz w:val="22"/>
          <w:szCs w:val="22"/>
        </w:rPr>
        <w:t xml:space="preserve">Citing to </w:t>
      </w:r>
      <w:r w:rsidRPr="00510638">
        <w:rPr>
          <w:rFonts w:ascii="Garamond" w:hAnsi="Garamond"/>
          <w:i/>
          <w:iCs/>
          <w:sz w:val="22"/>
          <w:szCs w:val="22"/>
        </w:rPr>
        <w:t>A.D. Store</w:t>
      </w:r>
      <w:r w:rsidRPr="00510638">
        <w:rPr>
          <w:rFonts w:ascii="Garamond" w:hAnsi="Garamond"/>
          <w:sz w:val="22"/>
          <w:szCs w:val="22"/>
        </w:rPr>
        <w:t xml:space="preserve">, </w:t>
      </w:r>
      <w:r w:rsidR="00912E65" w:rsidRPr="00510638">
        <w:rPr>
          <w:rFonts w:ascii="Garamond" w:hAnsi="Garamond"/>
          <w:sz w:val="22"/>
          <w:szCs w:val="22"/>
        </w:rPr>
        <w:t>19 P.3d at 684</w:t>
      </w:r>
      <w:r w:rsidR="008979A2" w:rsidRPr="00510638">
        <w:rPr>
          <w:rFonts w:ascii="Garamond" w:hAnsi="Garamond"/>
          <w:sz w:val="22"/>
          <w:szCs w:val="22"/>
        </w:rPr>
        <w:t>.</w:t>
      </w:r>
    </w:p>
  </w:footnote>
  <w:footnote w:id="28">
    <w:p w14:paraId="64760501" w14:textId="04542EA2" w:rsidR="00AF71B1" w:rsidRPr="00510638" w:rsidRDefault="00AF71B1">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00435649" w:rsidRPr="00510638">
        <w:rPr>
          <w:rFonts w:ascii="Garamond" w:hAnsi="Garamond"/>
          <w:sz w:val="22"/>
          <w:szCs w:val="22"/>
        </w:rPr>
        <w:t>A.R.S. § 42-5061(F); Ariz. Admin. Code § 15-5-105.</w:t>
      </w:r>
    </w:p>
  </w:footnote>
  <w:footnote w:id="29">
    <w:p w14:paraId="21478AD0" w14:textId="64A1F09A" w:rsidR="00EB37AC" w:rsidRPr="00510638" w:rsidRDefault="00EB37AC">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0080247E" w:rsidRPr="00510638">
        <w:rPr>
          <w:rFonts w:ascii="Garamond" w:hAnsi="Garamond"/>
          <w:sz w:val="22"/>
          <w:szCs w:val="22"/>
        </w:rPr>
        <w:t>A.R.S. § 42-5061(A)(1); Ariz. Admin. Code § 15-5-104(B).</w:t>
      </w:r>
    </w:p>
  </w:footnote>
  <w:footnote w:id="30">
    <w:p w14:paraId="5174251E" w14:textId="2E73DACD" w:rsidR="009870EC" w:rsidRPr="00510638" w:rsidRDefault="009870EC">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00154984" w:rsidRPr="00510638">
        <w:rPr>
          <w:rFonts w:ascii="Garamond" w:hAnsi="Garamond"/>
          <w:sz w:val="22"/>
          <w:szCs w:val="22"/>
        </w:rPr>
        <w:t>Ariz. Admin. Code § 15-5-104(C).</w:t>
      </w:r>
    </w:p>
  </w:footnote>
  <w:footnote w:id="31">
    <w:p w14:paraId="79883A68" w14:textId="410D2057" w:rsidR="0054454F" w:rsidRPr="00510638" w:rsidRDefault="0054454F">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00B6033B" w:rsidRPr="00510638">
        <w:rPr>
          <w:rFonts w:ascii="Garamond" w:hAnsi="Garamond"/>
          <w:i/>
          <w:sz w:val="22"/>
          <w:szCs w:val="22"/>
        </w:rPr>
        <w:t xml:space="preserve">Val-Pak East Valley, Inc. v. Ariz. </w:t>
      </w:r>
      <w:proofErr w:type="spellStart"/>
      <w:r w:rsidR="00B6033B" w:rsidRPr="00510638">
        <w:rPr>
          <w:rFonts w:ascii="Garamond" w:hAnsi="Garamond"/>
          <w:i/>
          <w:sz w:val="22"/>
          <w:szCs w:val="22"/>
        </w:rPr>
        <w:t>Dep’t</w:t>
      </w:r>
      <w:proofErr w:type="spellEnd"/>
      <w:r w:rsidR="00B6033B" w:rsidRPr="00510638">
        <w:rPr>
          <w:rFonts w:ascii="Garamond" w:hAnsi="Garamond"/>
          <w:i/>
          <w:sz w:val="22"/>
          <w:szCs w:val="22"/>
        </w:rPr>
        <w:t xml:space="preserve"> of Rev.</w:t>
      </w:r>
      <w:r w:rsidR="00B6033B" w:rsidRPr="00510638">
        <w:rPr>
          <w:rFonts w:ascii="Garamond" w:hAnsi="Garamond"/>
          <w:iCs/>
          <w:sz w:val="22"/>
          <w:szCs w:val="22"/>
        </w:rPr>
        <w:t>, 272 P.3d 1055 (Ariz. Ct. App. 2012).</w:t>
      </w:r>
    </w:p>
  </w:footnote>
  <w:footnote w:id="32">
    <w:p w14:paraId="6CB35190" w14:textId="77777777" w:rsidR="00925E55" w:rsidRPr="00510638" w:rsidRDefault="00925E55" w:rsidP="00925E55">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Tenn. </w:t>
      </w:r>
      <w:proofErr w:type="spellStart"/>
      <w:r w:rsidRPr="00510638">
        <w:rPr>
          <w:rFonts w:ascii="Garamond" w:hAnsi="Garamond"/>
          <w:sz w:val="22"/>
          <w:szCs w:val="22"/>
        </w:rPr>
        <w:t>Ltr</w:t>
      </w:r>
      <w:proofErr w:type="spellEnd"/>
      <w:r w:rsidRPr="00510638">
        <w:rPr>
          <w:rFonts w:ascii="Garamond" w:hAnsi="Garamond"/>
          <w:sz w:val="22"/>
          <w:szCs w:val="22"/>
        </w:rPr>
        <w:t>. Rul. 14-10.</w:t>
      </w:r>
    </w:p>
  </w:footnote>
  <w:footnote w:id="33">
    <w:p w14:paraId="364CFE5E" w14:textId="77777777" w:rsidR="00925E55" w:rsidRPr="00510638" w:rsidRDefault="00925E55" w:rsidP="00925E55">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Tenn. </w:t>
      </w:r>
      <w:proofErr w:type="spellStart"/>
      <w:r w:rsidRPr="00510638">
        <w:rPr>
          <w:rFonts w:ascii="Garamond" w:hAnsi="Garamond"/>
          <w:sz w:val="22"/>
          <w:szCs w:val="22"/>
        </w:rPr>
        <w:t>Ltr</w:t>
      </w:r>
      <w:proofErr w:type="spellEnd"/>
      <w:r w:rsidRPr="00510638">
        <w:rPr>
          <w:rFonts w:ascii="Garamond" w:hAnsi="Garamond"/>
          <w:sz w:val="22"/>
          <w:szCs w:val="22"/>
        </w:rPr>
        <w:t>. Rul. 14-10.</w:t>
      </w:r>
    </w:p>
  </w:footnote>
  <w:footnote w:id="34">
    <w:p w14:paraId="4479C3E1" w14:textId="77777777" w:rsidR="00DA441E" w:rsidRPr="00510638" w:rsidRDefault="00DA441E" w:rsidP="00DA441E">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cs="Arial"/>
          <w:color w:val="252525"/>
          <w:sz w:val="22"/>
          <w:szCs w:val="22"/>
        </w:rPr>
        <w:t>Hellerstein, Hellerstein &amp; Appleby, </w:t>
      </w:r>
      <w:r w:rsidRPr="00510638">
        <w:rPr>
          <w:rStyle w:val="c-doc-para-italic"/>
          <w:rFonts w:ascii="Garamond" w:hAnsi="Garamond" w:cs="Arial"/>
          <w:i/>
          <w:iCs/>
          <w:color w:val="252525"/>
          <w:sz w:val="22"/>
          <w:szCs w:val="22"/>
        </w:rPr>
        <w:t>State Taxation</w:t>
      </w:r>
      <w:r w:rsidRPr="00510638">
        <w:rPr>
          <w:rStyle w:val="c-doc-para-italic"/>
          <w:rFonts w:ascii="Garamond" w:hAnsi="Garamond" w:cs="Arial"/>
          <w:color w:val="252525"/>
          <w:sz w:val="22"/>
          <w:szCs w:val="22"/>
        </w:rPr>
        <w:t xml:space="preserve">, </w:t>
      </w:r>
      <w:r w:rsidRPr="00510638">
        <w:rPr>
          <w:rFonts w:ascii="Garamond" w:hAnsi="Garamond" w:cs="Calibri"/>
          <w:sz w:val="22"/>
          <w:szCs w:val="22"/>
        </w:rPr>
        <w:t>§ 12.08[1]</w:t>
      </w:r>
      <w:r w:rsidRPr="00510638">
        <w:rPr>
          <w:rFonts w:ascii="Garamond" w:hAnsi="Garamond" w:cs="Arial"/>
          <w:color w:val="252525"/>
          <w:sz w:val="22"/>
          <w:szCs w:val="22"/>
        </w:rPr>
        <w:t xml:space="preserve">; see also, </w:t>
      </w:r>
      <w:r w:rsidRPr="00510638">
        <w:rPr>
          <w:rFonts w:ascii="Garamond" w:hAnsi="Garamond"/>
          <w:sz w:val="22"/>
          <w:szCs w:val="22"/>
        </w:rPr>
        <w:t xml:space="preserve">Eric Duey, </w:t>
      </w:r>
      <w:r w:rsidRPr="00510638">
        <w:rPr>
          <w:rFonts w:ascii="Garamond" w:hAnsi="Garamond"/>
          <w:i/>
          <w:iCs/>
          <w:sz w:val="22"/>
          <w:szCs w:val="22"/>
        </w:rPr>
        <w:t>Unbundling Bundled Transactions</w:t>
      </w:r>
      <w:r w:rsidRPr="00510638">
        <w:rPr>
          <w:rFonts w:ascii="Garamond" w:hAnsi="Garamond"/>
          <w:sz w:val="22"/>
          <w:szCs w:val="22"/>
        </w:rPr>
        <w:t xml:space="preserve">, 49 </w:t>
      </w:r>
      <w:r w:rsidRPr="00510638">
        <w:rPr>
          <w:rFonts w:ascii="Garamond" w:hAnsi="Garamond"/>
          <w:smallCaps/>
          <w:sz w:val="22"/>
          <w:szCs w:val="22"/>
        </w:rPr>
        <w:t>Conn. L. Rev.</w:t>
      </w:r>
      <w:r w:rsidRPr="00510638">
        <w:rPr>
          <w:rFonts w:ascii="Garamond" w:hAnsi="Garamond"/>
          <w:sz w:val="22"/>
          <w:szCs w:val="22"/>
        </w:rPr>
        <w:t xml:space="preserve"> 659, 681.</w:t>
      </w:r>
    </w:p>
  </w:footnote>
  <w:footnote w:id="35">
    <w:p w14:paraId="0E5C78D7" w14:textId="77777777" w:rsidR="00DA441E" w:rsidRPr="00510638" w:rsidRDefault="00DA441E" w:rsidP="00DA441E">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cs="Arial"/>
          <w:color w:val="252525"/>
          <w:sz w:val="22"/>
          <w:szCs w:val="22"/>
        </w:rPr>
        <w:t>Hellerstein, Hellerstein &amp; Appleby, </w:t>
      </w:r>
      <w:r w:rsidRPr="00510638">
        <w:rPr>
          <w:rStyle w:val="c-doc-para-italic"/>
          <w:rFonts w:ascii="Garamond" w:hAnsi="Garamond" w:cs="Arial"/>
          <w:i/>
          <w:iCs/>
          <w:color w:val="252525"/>
          <w:sz w:val="22"/>
          <w:szCs w:val="22"/>
        </w:rPr>
        <w:t>State Taxation</w:t>
      </w:r>
      <w:r w:rsidRPr="00510638">
        <w:rPr>
          <w:rStyle w:val="c-doc-para-italic"/>
          <w:rFonts w:ascii="Garamond" w:hAnsi="Garamond" w:cs="Arial"/>
          <w:color w:val="252525"/>
          <w:sz w:val="22"/>
          <w:szCs w:val="22"/>
        </w:rPr>
        <w:t xml:space="preserve">, </w:t>
      </w:r>
      <w:r w:rsidRPr="00510638">
        <w:rPr>
          <w:rFonts w:ascii="Garamond" w:hAnsi="Garamond" w:cs="Calibri"/>
          <w:sz w:val="22"/>
          <w:szCs w:val="22"/>
        </w:rPr>
        <w:t>§ 12.08[2]</w:t>
      </w:r>
    </w:p>
  </w:footnote>
  <w:footnote w:id="36">
    <w:p w14:paraId="0C948B61" w14:textId="77777777" w:rsidR="00DA441E" w:rsidRPr="00510638" w:rsidRDefault="00DA441E" w:rsidP="00DA441E">
      <w:pPr>
        <w:pStyle w:val="FootnoteText"/>
        <w:rPr>
          <w:rFonts w:ascii="Garamond" w:hAnsi="Garamond"/>
          <w:sz w:val="22"/>
          <w:szCs w:val="22"/>
        </w:rPr>
      </w:pPr>
      <w:r>
        <w:rPr>
          <w:rStyle w:val="FootnoteReference"/>
        </w:rPr>
        <w:footnoteRef/>
      </w:r>
      <w:r>
        <w:t xml:space="preserve"> </w:t>
      </w:r>
      <w:r w:rsidRPr="00510638">
        <w:rPr>
          <w:rFonts w:ascii="Garamond" w:hAnsi="Garamond"/>
          <w:i/>
          <w:iCs/>
          <w:sz w:val="22"/>
          <w:szCs w:val="22"/>
        </w:rPr>
        <w:t>Dun &amp; Bradstreet, Inc. v. City of New York</w:t>
      </w:r>
      <w:r w:rsidRPr="00510638">
        <w:rPr>
          <w:rFonts w:ascii="Garamond" w:hAnsi="Garamond"/>
          <w:sz w:val="22"/>
          <w:szCs w:val="22"/>
        </w:rPr>
        <w:t>, 11 N.E.2d 728 (1937).</w:t>
      </w:r>
    </w:p>
  </w:footnote>
  <w:footnote w:id="37">
    <w:p w14:paraId="39B3AF5A" w14:textId="77777777" w:rsidR="00DA441E" w:rsidRPr="00510638" w:rsidRDefault="00DA441E" w:rsidP="00DA441E">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i/>
          <w:iCs/>
          <w:sz w:val="22"/>
          <w:szCs w:val="22"/>
        </w:rPr>
        <w:t>Dun &amp; Bradstreet, Inc. v. City of New York</w:t>
      </w:r>
      <w:r w:rsidRPr="00510638">
        <w:rPr>
          <w:rFonts w:ascii="Garamond" w:hAnsi="Garamond"/>
          <w:sz w:val="22"/>
          <w:szCs w:val="22"/>
        </w:rPr>
        <w:t>, 11 N.E.2d 728, 731 (1937).</w:t>
      </w:r>
    </w:p>
  </w:footnote>
  <w:footnote w:id="38">
    <w:p w14:paraId="41CF765B" w14:textId="77777777" w:rsidR="00EB741A" w:rsidRPr="00510638" w:rsidRDefault="00EB741A" w:rsidP="00EB741A">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i/>
          <w:iCs/>
          <w:sz w:val="22"/>
          <w:szCs w:val="22"/>
        </w:rPr>
        <w:t xml:space="preserve">City of Boulder v. </w:t>
      </w:r>
      <w:proofErr w:type="spellStart"/>
      <w:r w:rsidRPr="00510638">
        <w:rPr>
          <w:rFonts w:ascii="Garamond" w:hAnsi="Garamond"/>
          <w:i/>
          <w:iCs/>
          <w:sz w:val="22"/>
          <w:szCs w:val="22"/>
        </w:rPr>
        <w:t>Leanin</w:t>
      </w:r>
      <w:proofErr w:type="spellEnd"/>
      <w:r w:rsidRPr="00510638">
        <w:rPr>
          <w:rFonts w:ascii="Garamond" w:hAnsi="Garamond"/>
          <w:i/>
          <w:iCs/>
          <w:sz w:val="22"/>
          <w:szCs w:val="22"/>
        </w:rPr>
        <w:t>’ Tree, Inc.</w:t>
      </w:r>
      <w:r w:rsidRPr="00510638">
        <w:rPr>
          <w:rFonts w:ascii="Garamond" w:hAnsi="Garamond"/>
          <w:sz w:val="22"/>
          <w:szCs w:val="22"/>
        </w:rPr>
        <w:t>, 72 P.3d 361 (Colo. 2003).</w:t>
      </w:r>
    </w:p>
  </w:footnote>
  <w:footnote w:id="39">
    <w:p w14:paraId="2095A519" w14:textId="7E5E76E0" w:rsidR="00774185" w:rsidRPr="00A93F0C" w:rsidRDefault="00774185" w:rsidP="00774185">
      <w:pPr>
        <w:pStyle w:val="FootnoteText"/>
        <w:rPr>
          <w:rFonts w:ascii="Garamond" w:hAnsi="Garamond"/>
          <w:sz w:val="22"/>
          <w:szCs w:val="22"/>
        </w:rPr>
      </w:pPr>
      <w:r>
        <w:rPr>
          <w:rStyle w:val="FootnoteReference"/>
        </w:rPr>
        <w:footnoteRef/>
      </w:r>
      <w:r>
        <w:t xml:space="preserve"> </w:t>
      </w:r>
      <w:r w:rsidRPr="00A93F0C">
        <w:rPr>
          <w:rFonts w:ascii="Garamond" w:hAnsi="Garamond"/>
          <w:i/>
          <w:sz w:val="22"/>
          <w:szCs w:val="22"/>
        </w:rPr>
        <w:t xml:space="preserve">Val-Pak East Valley, Inc. v. Ariz. </w:t>
      </w:r>
      <w:proofErr w:type="spellStart"/>
      <w:r w:rsidRPr="00A93F0C">
        <w:rPr>
          <w:rFonts w:ascii="Garamond" w:hAnsi="Garamond"/>
          <w:i/>
          <w:sz w:val="22"/>
          <w:szCs w:val="22"/>
        </w:rPr>
        <w:t>Dep’t</w:t>
      </w:r>
      <w:proofErr w:type="spellEnd"/>
      <w:r w:rsidRPr="00A93F0C">
        <w:rPr>
          <w:rFonts w:ascii="Garamond" w:hAnsi="Garamond"/>
          <w:i/>
          <w:sz w:val="22"/>
          <w:szCs w:val="22"/>
        </w:rPr>
        <w:t xml:space="preserve"> of Rev.</w:t>
      </w:r>
      <w:r w:rsidRPr="00A93F0C">
        <w:rPr>
          <w:rFonts w:ascii="Garamond" w:hAnsi="Garamond"/>
          <w:iCs/>
          <w:sz w:val="22"/>
          <w:szCs w:val="22"/>
        </w:rPr>
        <w:t>, 272 P.3d 1055 (Ariz. Ct. App. 2012)</w:t>
      </w:r>
      <w:r w:rsidR="00A93F0C">
        <w:rPr>
          <w:rFonts w:ascii="Garamond" w:hAnsi="Garamond"/>
          <w:iCs/>
          <w:sz w:val="22"/>
          <w:szCs w:val="22"/>
        </w:rPr>
        <w:t>.</w:t>
      </w:r>
    </w:p>
  </w:footnote>
  <w:footnote w:id="40">
    <w:p w14:paraId="133180D5" w14:textId="621B4D1C" w:rsidR="00F00937" w:rsidRDefault="00F00937">
      <w:pPr>
        <w:pStyle w:val="FootnoteText"/>
      </w:pPr>
      <w:r>
        <w:rPr>
          <w:rStyle w:val="FootnoteReference"/>
        </w:rPr>
        <w:footnoteRef/>
      </w:r>
      <w:r>
        <w:t xml:space="preserve"> </w:t>
      </w:r>
      <w:r w:rsidRPr="00510638">
        <w:rPr>
          <w:rFonts w:ascii="Garamond" w:hAnsi="Garamond"/>
          <w:i/>
          <w:iCs/>
          <w:sz w:val="22"/>
          <w:szCs w:val="22"/>
        </w:rPr>
        <w:t xml:space="preserve">Emery </w:t>
      </w:r>
      <w:proofErr w:type="spellStart"/>
      <w:r w:rsidRPr="00510638">
        <w:rPr>
          <w:rFonts w:ascii="Garamond" w:hAnsi="Garamond"/>
          <w:i/>
          <w:iCs/>
          <w:sz w:val="22"/>
          <w:szCs w:val="22"/>
        </w:rPr>
        <w:t>Indust</w:t>
      </w:r>
      <w:proofErr w:type="spellEnd"/>
      <w:r w:rsidRPr="00510638">
        <w:rPr>
          <w:rFonts w:ascii="Garamond" w:hAnsi="Garamond"/>
          <w:i/>
          <w:iCs/>
          <w:sz w:val="22"/>
          <w:szCs w:val="22"/>
        </w:rPr>
        <w:t>., Inc. v. Limbach</w:t>
      </w:r>
      <w:r w:rsidRPr="00510638">
        <w:rPr>
          <w:rFonts w:ascii="Garamond" w:hAnsi="Garamond"/>
          <w:sz w:val="22"/>
          <w:szCs w:val="22"/>
        </w:rPr>
        <w:t>, 539 N.E.2d 608 (Ohio 1989)</w:t>
      </w:r>
      <w:r>
        <w:rPr>
          <w:rFonts w:ascii="Garamond" w:hAnsi="Garamond"/>
          <w:sz w:val="22"/>
          <w:szCs w:val="22"/>
        </w:rPr>
        <w:t>.</w:t>
      </w:r>
    </w:p>
  </w:footnote>
  <w:footnote w:id="41">
    <w:p w14:paraId="1E047054" w14:textId="77777777" w:rsidR="0002071A" w:rsidRPr="00510638" w:rsidRDefault="0002071A" w:rsidP="0002071A">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i/>
          <w:iCs/>
          <w:sz w:val="22"/>
          <w:szCs w:val="22"/>
        </w:rPr>
        <w:t>See, e.g.</w:t>
      </w:r>
      <w:r w:rsidRPr="00510638">
        <w:rPr>
          <w:rFonts w:ascii="Garamond" w:hAnsi="Garamond"/>
          <w:sz w:val="22"/>
          <w:szCs w:val="22"/>
        </w:rPr>
        <w:t xml:space="preserve">, </w:t>
      </w:r>
      <w:r w:rsidRPr="00510638">
        <w:rPr>
          <w:rFonts w:ascii="Garamond" w:hAnsi="Garamond"/>
          <w:i/>
          <w:iCs/>
          <w:sz w:val="22"/>
          <w:szCs w:val="22"/>
        </w:rPr>
        <w:t xml:space="preserve">Emery </w:t>
      </w:r>
      <w:proofErr w:type="spellStart"/>
      <w:r w:rsidRPr="00510638">
        <w:rPr>
          <w:rFonts w:ascii="Garamond" w:hAnsi="Garamond"/>
          <w:i/>
          <w:iCs/>
          <w:sz w:val="22"/>
          <w:szCs w:val="22"/>
        </w:rPr>
        <w:t>Indust</w:t>
      </w:r>
      <w:proofErr w:type="spellEnd"/>
      <w:r w:rsidRPr="00510638">
        <w:rPr>
          <w:rFonts w:ascii="Garamond" w:hAnsi="Garamond"/>
          <w:i/>
          <w:iCs/>
          <w:sz w:val="22"/>
          <w:szCs w:val="22"/>
        </w:rPr>
        <w:t>., Inc. v. Limbach</w:t>
      </w:r>
      <w:r w:rsidRPr="00510638">
        <w:rPr>
          <w:rFonts w:ascii="Garamond" w:hAnsi="Garamond"/>
          <w:sz w:val="22"/>
          <w:szCs w:val="22"/>
        </w:rPr>
        <w:t xml:space="preserve">, 539 N.E.2d 608 (Ohio 1989) (overriding purpose test); </w:t>
      </w:r>
      <w:r w:rsidRPr="00510638">
        <w:rPr>
          <w:rFonts w:ascii="Garamond" w:hAnsi="Garamond"/>
          <w:i/>
          <w:iCs/>
          <w:sz w:val="22"/>
          <w:szCs w:val="22"/>
        </w:rPr>
        <w:t>Hasbro Indus., Inc. v. Norberg</w:t>
      </w:r>
      <w:r w:rsidRPr="00510638">
        <w:rPr>
          <w:rFonts w:ascii="Garamond" w:hAnsi="Garamond"/>
          <w:sz w:val="22"/>
          <w:szCs w:val="22"/>
        </w:rPr>
        <w:t xml:space="preserve">, 487 A.2d 124 (R.I. 1985) (real object test); </w:t>
      </w:r>
      <w:r w:rsidRPr="00510638">
        <w:rPr>
          <w:rFonts w:ascii="Garamond" w:hAnsi="Garamond"/>
          <w:i/>
          <w:iCs/>
          <w:sz w:val="22"/>
          <w:szCs w:val="22"/>
        </w:rPr>
        <w:t>Quotron Systems, Inc. v. Comptroller of Treasury</w:t>
      </w:r>
      <w:r w:rsidRPr="00510638">
        <w:rPr>
          <w:rFonts w:ascii="Garamond" w:hAnsi="Garamond"/>
          <w:sz w:val="22"/>
          <w:szCs w:val="22"/>
        </w:rPr>
        <w:t xml:space="preserve">, 411 A.2d 439 (Md. 1980) (predominant purpose test); </w:t>
      </w:r>
      <w:r w:rsidRPr="00510638">
        <w:rPr>
          <w:rFonts w:ascii="Garamond" w:hAnsi="Garamond"/>
          <w:i/>
          <w:iCs/>
          <w:sz w:val="22"/>
          <w:szCs w:val="22"/>
        </w:rPr>
        <w:t>Bullock v. Statistical Tabulating Corp.</w:t>
      </w:r>
      <w:r w:rsidRPr="00510638">
        <w:rPr>
          <w:rFonts w:ascii="Garamond" w:hAnsi="Garamond"/>
          <w:sz w:val="22"/>
          <w:szCs w:val="22"/>
        </w:rPr>
        <w:t xml:space="preserve">, 549 S.W.2d 166 (Tex. 1977) (essence of the transaction test); </w:t>
      </w:r>
      <w:r w:rsidRPr="00510638">
        <w:rPr>
          <w:rFonts w:ascii="Garamond" w:hAnsi="Garamond"/>
          <w:i/>
          <w:iCs/>
          <w:sz w:val="22"/>
          <w:szCs w:val="22"/>
        </w:rPr>
        <w:t>WTAR Radio-TV Corp. v. Commonwealth</w:t>
      </w:r>
      <w:r w:rsidRPr="00510638">
        <w:rPr>
          <w:rFonts w:ascii="Garamond" w:hAnsi="Garamond"/>
          <w:sz w:val="22"/>
          <w:szCs w:val="22"/>
        </w:rPr>
        <w:t>, 234 S.E.2d 245 (1977) (true object test).</w:t>
      </w:r>
    </w:p>
  </w:footnote>
  <w:footnote w:id="42">
    <w:p w14:paraId="32B1C915" w14:textId="77777777" w:rsidR="00F40274" w:rsidRPr="00510638" w:rsidRDefault="00F40274" w:rsidP="00F40274">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i/>
          <w:iCs/>
          <w:sz w:val="22"/>
          <w:szCs w:val="22"/>
        </w:rPr>
        <w:t>Washington Times-Herald v. District of Columbia</w:t>
      </w:r>
      <w:r w:rsidRPr="00510638">
        <w:rPr>
          <w:rFonts w:ascii="Garamond" w:hAnsi="Garamond"/>
          <w:sz w:val="22"/>
          <w:szCs w:val="22"/>
        </w:rPr>
        <w:t xml:space="preserve">, 213 F.2d 23 (D.C. Cir. 1954); </w:t>
      </w:r>
      <w:r w:rsidRPr="00510638">
        <w:rPr>
          <w:rFonts w:ascii="Garamond" w:hAnsi="Garamond"/>
          <w:i/>
          <w:iCs/>
          <w:sz w:val="22"/>
          <w:szCs w:val="22"/>
        </w:rPr>
        <w:t>Fingerhut Prods. Co. v. Comm’r of Revenue</w:t>
      </w:r>
      <w:r w:rsidRPr="00510638">
        <w:rPr>
          <w:rFonts w:ascii="Garamond" w:hAnsi="Garamond"/>
          <w:sz w:val="22"/>
          <w:szCs w:val="22"/>
        </w:rPr>
        <w:t>, 258 N.W.2d 606 (Minn. 1977).</w:t>
      </w:r>
    </w:p>
  </w:footnote>
  <w:footnote w:id="43">
    <w:p w14:paraId="697C025E" w14:textId="77777777" w:rsidR="00F40274" w:rsidRPr="00510638" w:rsidRDefault="00F40274" w:rsidP="00F40274">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i/>
          <w:iCs/>
          <w:sz w:val="22"/>
          <w:szCs w:val="22"/>
        </w:rPr>
        <w:t>Commerce Union Bank v. Tidwell</w:t>
      </w:r>
      <w:r w:rsidRPr="00510638">
        <w:rPr>
          <w:rFonts w:ascii="Garamond" w:hAnsi="Garamond"/>
          <w:sz w:val="22"/>
          <w:szCs w:val="22"/>
        </w:rPr>
        <w:t xml:space="preserve">, 538 S.W.2d 405 (Tenn. 1976); </w:t>
      </w:r>
      <w:r w:rsidRPr="00510638">
        <w:rPr>
          <w:rFonts w:ascii="Garamond" w:hAnsi="Garamond"/>
          <w:i/>
          <w:iCs/>
          <w:sz w:val="22"/>
          <w:szCs w:val="22"/>
        </w:rPr>
        <w:t>Bullock v. Statistical Tabulating Corp.</w:t>
      </w:r>
      <w:r w:rsidRPr="00510638">
        <w:rPr>
          <w:rFonts w:ascii="Garamond" w:hAnsi="Garamond"/>
          <w:sz w:val="22"/>
          <w:szCs w:val="22"/>
        </w:rPr>
        <w:t>, 549 S.W.2d 166 (Tex. 1977).</w:t>
      </w:r>
    </w:p>
  </w:footnote>
  <w:footnote w:id="44">
    <w:p w14:paraId="5573C4E3" w14:textId="77777777" w:rsidR="00F40274" w:rsidRPr="00510638" w:rsidRDefault="00F40274" w:rsidP="00F40274">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i/>
          <w:iCs/>
          <w:sz w:val="22"/>
          <w:szCs w:val="22"/>
        </w:rPr>
        <w:t>Fingerhut Prods. Co. v. Comm’r of Revenue</w:t>
      </w:r>
      <w:r w:rsidRPr="00510638">
        <w:rPr>
          <w:rFonts w:ascii="Garamond" w:hAnsi="Garamond"/>
          <w:sz w:val="22"/>
          <w:szCs w:val="22"/>
        </w:rPr>
        <w:t xml:space="preserve">, 258 N.W.2d 606 (Minn. 1977); </w:t>
      </w:r>
      <w:r w:rsidRPr="00510638">
        <w:rPr>
          <w:rFonts w:ascii="Garamond" w:hAnsi="Garamond"/>
          <w:i/>
          <w:iCs/>
          <w:sz w:val="22"/>
          <w:szCs w:val="22"/>
        </w:rPr>
        <w:t>Williams Lee Scouting Service, Inc. v. Calvert</w:t>
      </w:r>
      <w:r w:rsidRPr="00510638">
        <w:rPr>
          <w:rFonts w:ascii="Garamond" w:hAnsi="Garamond"/>
          <w:sz w:val="22"/>
          <w:szCs w:val="22"/>
        </w:rPr>
        <w:t>, 452 S.W.2d 789 (</w:t>
      </w:r>
      <w:proofErr w:type="spellStart"/>
      <w:r w:rsidRPr="00510638">
        <w:rPr>
          <w:rFonts w:ascii="Garamond" w:hAnsi="Garamond"/>
          <w:sz w:val="22"/>
          <w:szCs w:val="22"/>
        </w:rPr>
        <w:t>Tex.App</w:t>
      </w:r>
      <w:proofErr w:type="spellEnd"/>
      <w:r w:rsidRPr="00510638">
        <w:rPr>
          <w:rFonts w:ascii="Garamond" w:hAnsi="Garamond"/>
          <w:sz w:val="22"/>
          <w:szCs w:val="22"/>
        </w:rPr>
        <w:t>. 1970).</w:t>
      </w:r>
    </w:p>
  </w:footnote>
  <w:footnote w:id="45">
    <w:p w14:paraId="55551227" w14:textId="77777777" w:rsidR="00F40274" w:rsidRPr="00510638" w:rsidRDefault="00F40274" w:rsidP="00F40274">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i/>
          <w:iCs/>
          <w:sz w:val="22"/>
          <w:szCs w:val="22"/>
        </w:rPr>
        <w:t>Dun &amp; Bradstreet, Inc. v. City of New York</w:t>
      </w:r>
      <w:r w:rsidRPr="00510638">
        <w:rPr>
          <w:rFonts w:ascii="Garamond" w:hAnsi="Garamond"/>
          <w:sz w:val="22"/>
          <w:szCs w:val="22"/>
        </w:rPr>
        <w:t>, 11 N.E.2d 728 (1937).</w:t>
      </w:r>
    </w:p>
  </w:footnote>
  <w:footnote w:id="46">
    <w:p w14:paraId="3BA64C44" w14:textId="77777777" w:rsidR="00F40274" w:rsidRPr="00510638" w:rsidRDefault="00F40274" w:rsidP="00F40274">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i/>
          <w:iCs/>
          <w:sz w:val="22"/>
          <w:szCs w:val="22"/>
        </w:rPr>
        <w:t>Commerce Union Bank v. Tidwell</w:t>
      </w:r>
      <w:r w:rsidRPr="00510638">
        <w:rPr>
          <w:rFonts w:ascii="Garamond" w:hAnsi="Garamond"/>
          <w:sz w:val="22"/>
          <w:szCs w:val="22"/>
        </w:rPr>
        <w:t xml:space="preserve">, 538 S.W.2d 405 (Tenn. 1976); </w:t>
      </w:r>
      <w:r w:rsidRPr="00510638">
        <w:rPr>
          <w:rFonts w:ascii="Garamond" w:hAnsi="Garamond"/>
          <w:i/>
          <w:iCs/>
          <w:sz w:val="22"/>
          <w:szCs w:val="22"/>
        </w:rPr>
        <w:t>Sneary v. Director of Revenue</w:t>
      </w:r>
      <w:r w:rsidRPr="00510638">
        <w:rPr>
          <w:rFonts w:ascii="Garamond" w:hAnsi="Garamond"/>
          <w:sz w:val="22"/>
          <w:szCs w:val="22"/>
        </w:rPr>
        <w:t>, 865 S.W.2d 342 (Mo. 1993).</w:t>
      </w:r>
    </w:p>
  </w:footnote>
  <w:footnote w:id="47">
    <w:p w14:paraId="75C8AE55" w14:textId="77777777" w:rsidR="00F40274" w:rsidRPr="00510638" w:rsidRDefault="00F40274" w:rsidP="00F40274">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i/>
          <w:iCs/>
          <w:sz w:val="22"/>
          <w:szCs w:val="22"/>
        </w:rPr>
        <w:t>Columbus Coated Fabrics Div. v. Porterfield</w:t>
      </w:r>
      <w:r w:rsidRPr="00510638">
        <w:rPr>
          <w:rFonts w:ascii="Garamond" w:hAnsi="Garamond"/>
          <w:sz w:val="22"/>
          <w:szCs w:val="22"/>
        </w:rPr>
        <w:t xml:space="preserve">, 285 N.E.2d 50 (Ohio 1972); </w:t>
      </w:r>
      <w:r w:rsidRPr="00510638">
        <w:rPr>
          <w:rFonts w:ascii="Garamond" w:hAnsi="Garamond"/>
          <w:i/>
          <w:iCs/>
          <w:sz w:val="22"/>
          <w:szCs w:val="22"/>
        </w:rPr>
        <w:t>Hasbro Indus., Inc. v. Norberg</w:t>
      </w:r>
      <w:r w:rsidRPr="00510638">
        <w:rPr>
          <w:rFonts w:ascii="Garamond" w:hAnsi="Garamond"/>
          <w:sz w:val="22"/>
          <w:szCs w:val="22"/>
        </w:rPr>
        <w:t>, 487 A.2d 124 (R.I. 1985).</w:t>
      </w:r>
    </w:p>
  </w:footnote>
  <w:footnote w:id="48">
    <w:p w14:paraId="453B0296" w14:textId="77777777" w:rsidR="00F548E6" w:rsidRPr="002F2F89" w:rsidRDefault="00F548E6" w:rsidP="00F548E6">
      <w:pPr>
        <w:pStyle w:val="FootnoteText"/>
        <w:rPr>
          <w:rFonts w:ascii="Garamond" w:hAnsi="Garamond"/>
          <w:sz w:val="22"/>
          <w:szCs w:val="22"/>
        </w:rPr>
      </w:pPr>
      <w:r>
        <w:rPr>
          <w:rStyle w:val="FootnoteReference"/>
        </w:rPr>
        <w:footnoteRef/>
      </w:r>
      <w:r>
        <w:t xml:space="preserve"> </w:t>
      </w:r>
      <w:r w:rsidRPr="002F2F89">
        <w:rPr>
          <w:rFonts w:ascii="Garamond" w:hAnsi="Garamond"/>
          <w:i/>
          <w:iCs/>
          <w:sz w:val="22"/>
          <w:szCs w:val="22"/>
        </w:rPr>
        <w:t>Penske Truck Leasing Co. v. Huddleston</w:t>
      </w:r>
      <w:r w:rsidRPr="002F2F89">
        <w:rPr>
          <w:rFonts w:ascii="Garamond" w:hAnsi="Garamond"/>
          <w:sz w:val="22"/>
          <w:szCs w:val="22"/>
        </w:rPr>
        <w:t>, 795 S.W.2d 669 (Tenn. 1990).</w:t>
      </w:r>
    </w:p>
  </w:footnote>
  <w:footnote w:id="49">
    <w:p w14:paraId="03DEFE60" w14:textId="77777777" w:rsidR="00F548E6" w:rsidRPr="002F2F89" w:rsidRDefault="00F548E6" w:rsidP="00F548E6">
      <w:pPr>
        <w:pStyle w:val="FootnoteText"/>
        <w:rPr>
          <w:rFonts w:ascii="Garamond" w:hAnsi="Garamond"/>
          <w:sz w:val="22"/>
          <w:szCs w:val="22"/>
        </w:rPr>
      </w:pPr>
      <w:r w:rsidRPr="002F2F89">
        <w:rPr>
          <w:rStyle w:val="FootnoteReference"/>
          <w:rFonts w:ascii="Garamond" w:hAnsi="Garamond"/>
          <w:sz w:val="22"/>
          <w:szCs w:val="22"/>
        </w:rPr>
        <w:footnoteRef/>
      </w:r>
      <w:r w:rsidRPr="002F2F89">
        <w:rPr>
          <w:rFonts w:ascii="Garamond" w:hAnsi="Garamond"/>
          <w:sz w:val="22"/>
          <w:szCs w:val="22"/>
        </w:rPr>
        <w:t xml:space="preserve"> </w:t>
      </w:r>
      <w:r w:rsidRPr="002F2F89">
        <w:rPr>
          <w:rFonts w:ascii="Garamond" w:hAnsi="Garamond"/>
          <w:i/>
          <w:iCs/>
          <w:sz w:val="22"/>
          <w:szCs w:val="22"/>
        </w:rPr>
        <w:t>Magnavox Consumer Electronics v. King</w:t>
      </w:r>
      <w:r w:rsidRPr="002F2F89">
        <w:rPr>
          <w:rFonts w:ascii="Garamond" w:hAnsi="Garamond"/>
          <w:sz w:val="22"/>
          <w:szCs w:val="22"/>
        </w:rPr>
        <w:t>, 707 S.W.2d 504 (Tenn. 1986).</w:t>
      </w:r>
    </w:p>
  </w:footnote>
  <w:footnote w:id="50">
    <w:p w14:paraId="1CD1601A" w14:textId="77777777" w:rsidR="00F548E6" w:rsidRPr="002F2F89" w:rsidRDefault="00F548E6" w:rsidP="00F548E6">
      <w:pPr>
        <w:pStyle w:val="FootnoteText"/>
        <w:rPr>
          <w:rFonts w:ascii="Garamond" w:hAnsi="Garamond"/>
          <w:sz w:val="22"/>
          <w:szCs w:val="22"/>
        </w:rPr>
      </w:pPr>
      <w:r w:rsidRPr="002F2F89">
        <w:rPr>
          <w:rStyle w:val="FootnoteReference"/>
          <w:rFonts w:ascii="Garamond" w:hAnsi="Garamond"/>
          <w:sz w:val="22"/>
          <w:szCs w:val="22"/>
        </w:rPr>
        <w:footnoteRef/>
      </w:r>
      <w:r w:rsidRPr="002F2F89">
        <w:rPr>
          <w:rFonts w:ascii="Garamond" w:hAnsi="Garamond"/>
          <w:sz w:val="22"/>
          <w:szCs w:val="22"/>
        </w:rPr>
        <w:t xml:space="preserve"> </w:t>
      </w:r>
      <w:r w:rsidRPr="002F2F89">
        <w:rPr>
          <w:rFonts w:ascii="Garamond" w:hAnsi="Garamond"/>
          <w:i/>
          <w:iCs/>
          <w:sz w:val="22"/>
          <w:szCs w:val="22"/>
        </w:rPr>
        <w:t>Rylander v. San Antonio SMSA L.P.</w:t>
      </w:r>
      <w:r w:rsidRPr="002F2F89">
        <w:rPr>
          <w:rFonts w:ascii="Garamond" w:hAnsi="Garamond"/>
          <w:sz w:val="22"/>
          <w:szCs w:val="22"/>
        </w:rPr>
        <w:t>, 11 S.W.3d 484 (Tex. App. 2000).</w:t>
      </w:r>
    </w:p>
  </w:footnote>
  <w:footnote w:id="51">
    <w:p w14:paraId="276073E7" w14:textId="77777777" w:rsidR="00F548E6" w:rsidRPr="002F2F89" w:rsidRDefault="00F548E6" w:rsidP="00F548E6">
      <w:pPr>
        <w:pStyle w:val="FootnoteText"/>
        <w:rPr>
          <w:rFonts w:ascii="Garamond" w:hAnsi="Garamond"/>
          <w:sz w:val="22"/>
          <w:szCs w:val="22"/>
        </w:rPr>
      </w:pPr>
      <w:r w:rsidRPr="002F2F89">
        <w:rPr>
          <w:rStyle w:val="FootnoteReference"/>
          <w:rFonts w:ascii="Garamond" w:hAnsi="Garamond"/>
          <w:sz w:val="22"/>
          <w:szCs w:val="22"/>
        </w:rPr>
        <w:footnoteRef/>
      </w:r>
      <w:r w:rsidRPr="002F2F89">
        <w:rPr>
          <w:rFonts w:ascii="Garamond" w:hAnsi="Garamond"/>
          <w:sz w:val="22"/>
          <w:szCs w:val="22"/>
        </w:rPr>
        <w:t xml:space="preserve"> </w:t>
      </w:r>
      <w:r w:rsidRPr="002F2F89">
        <w:rPr>
          <w:rFonts w:ascii="Garamond" w:hAnsi="Garamond"/>
          <w:i/>
          <w:iCs/>
          <w:sz w:val="22"/>
          <w:szCs w:val="22"/>
        </w:rPr>
        <w:t>New England Tel. &amp; Tel. Co. v. Clark</w:t>
      </w:r>
      <w:r w:rsidRPr="002F2F89">
        <w:rPr>
          <w:rFonts w:ascii="Garamond" w:hAnsi="Garamond"/>
          <w:sz w:val="22"/>
          <w:szCs w:val="22"/>
        </w:rPr>
        <w:t>, 624 A.2d 298 (R.I. 1993).</w:t>
      </w:r>
    </w:p>
  </w:footnote>
  <w:footnote w:id="52">
    <w:p w14:paraId="3A4B3012" w14:textId="77777777" w:rsidR="00F548E6" w:rsidRPr="002F2F89" w:rsidRDefault="00F548E6" w:rsidP="00F548E6">
      <w:pPr>
        <w:pStyle w:val="FootnoteText"/>
        <w:rPr>
          <w:rFonts w:ascii="Garamond" w:hAnsi="Garamond"/>
          <w:sz w:val="22"/>
          <w:szCs w:val="22"/>
        </w:rPr>
      </w:pPr>
      <w:r w:rsidRPr="002F2F89">
        <w:rPr>
          <w:rStyle w:val="FootnoteReference"/>
          <w:rFonts w:ascii="Garamond" w:hAnsi="Garamond"/>
          <w:sz w:val="22"/>
          <w:szCs w:val="22"/>
        </w:rPr>
        <w:footnoteRef/>
      </w:r>
      <w:r w:rsidRPr="002F2F89">
        <w:rPr>
          <w:rFonts w:ascii="Garamond" w:hAnsi="Garamond"/>
          <w:sz w:val="22"/>
          <w:szCs w:val="22"/>
        </w:rPr>
        <w:t xml:space="preserve"> </w:t>
      </w:r>
      <w:r w:rsidRPr="002F2F89">
        <w:rPr>
          <w:rFonts w:ascii="Garamond" w:hAnsi="Garamond"/>
          <w:i/>
          <w:iCs/>
          <w:sz w:val="22"/>
          <w:szCs w:val="22"/>
        </w:rPr>
        <w:t>Dell, Inc. v. Superior Ct. of San Francisco</w:t>
      </w:r>
      <w:r w:rsidRPr="002F2F89">
        <w:rPr>
          <w:rFonts w:ascii="Garamond" w:hAnsi="Garamond"/>
          <w:sz w:val="22"/>
          <w:szCs w:val="22"/>
        </w:rPr>
        <w:t>, 159 Cal. App. 4th 911 (Cal. Ct. App. 2008).</w:t>
      </w:r>
    </w:p>
  </w:footnote>
  <w:footnote w:id="53">
    <w:p w14:paraId="7180037E" w14:textId="77777777" w:rsidR="00F548E6" w:rsidRDefault="00F548E6" w:rsidP="00F548E6">
      <w:pPr>
        <w:pStyle w:val="FootnoteText"/>
      </w:pPr>
      <w:r w:rsidRPr="002F2F89">
        <w:rPr>
          <w:rStyle w:val="FootnoteReference"/>
          <w:rFonts w:ascii="Garamond" w:hAnsi="Garamond"/>
          <w:sz w:val="22"/>
          <w:szCs w:val="22"/>
        </w:rPr>
        <w:footnoteRef/>
      </w:r>
      <w:r w:rsidRPr="002F2F89">
        <w:rPr>
          <w:rFonts w:ascii="Garamond" w:hAnsi="Garamond"/>
          <w:sz w:val="22"/>
          <w:szCs w:val="22"/>
        </w:rPr>
        <w:t xml:space="preserve"> Citing to </w:t>
      </w:r>
      <w:proofErr w:type="gramStart"/>
      <w:r w:rsidRPr="002F2F89">
        <w:rPr>
          <w:rFonts w:ascii="Garamond" w:hAnsi="Garamond"/>
          <w:i/>
          <w:iCs/>
          <w:sz w:val="22"/>
          <w:szCs w:val="22"/>
        </w:rPr>
        <w:t>In</w:t>
      </w:r>
      <w:proofErr w:type="gramEnd"/>
      <w:r w:rsidRPr="002F2F89">
        <w:rPr>
          <w:rFonts w:ascii="Garamond" w:hAnsi="Garamond"/>
          <w:i/>
          <w:iCs/>
          <w:sz w:val="22"/>
          <w:szCs w:val="22"/>
        </w:rPr>
        <w:t xml:space="preserve"> re Advance Schools, Inc.</w:t>
      </w:r>
      <w:r w:rsidRPr="002F2F89">
        <w:rPr>
          <w:rFonts w:ascii="Garamond" w:hAnsi="Garamond"/>
          <w:sz w:val="22"/>
          <w:szCs w:val="22"/>
        </w:rPr>
        <w:t>, 2 B.R. 231, 235 (</w:t>
      </w:r>
      <w:proofErr w:type="spellStart"/>
      <w:r w:rsidRPr="002F2F89">
        <w:rPr>
          <w:rFonts w:ascii="Garamond" w:hAnsi="Garamond"/>
          <w:sz w:val="22"/>
          <w:szCs w:val="22"/>
        </w:rPr>
        <w:t>Bankr</w:t>
      </w:r>
      <w:proofErr w:type="spellEnd"/>
      <w:r w:rsidRPr="002F2F89">
        <w:rPr>
          <w:rFonts w:ascii="Garamond" w:hAnsi="Garamond"/>
          <w:sz w:val="22"/>
          <w:szCs w:val="22"/>
        </w:rPr>
        <w:t xml:space="preserve">. </w:t>
      </w:r>
      <w:proofErr w:type="spellStart"/>
      <w:r w:rsidRPr="002F2F89">
        <w:rPr>
          <w:rFonts w:ascii="Garamond" w:hAnsi="Garamond"/>
          <w:sz w:val="22"/>
          <w:szCs w:val="22"/>
        </w:rPr>
        <w:t>N.D.Ill</w:t>
      </w:r>
      <w:proofErr w:type="spellEnd"/>
      <w:r w:rsidRPr="002F2F89">
        <w:rPr>
          <w:rFonts w:ascii="Garamond" w:hAnsi="Garamond"/>
          <w:sz w:val="22"/>
          <w:szCs w:val="22"/>
        </w:rPr>
        <w:t>. 1980).</w:t>
      </w:r>
    </w:p>
  </w:footnote>
  <w:footnote w:id="54">
    <w:p w14:paraId="5737AC23" w14:textId="677CF22C" w:rsidR="00025113" w:rsidRPr="00025113" w:rsidRDefault="00025113">
      <w:pPr>
        <w:pStyle w:val="FootnoteText"/>
        <w:rPr>
          <w:rFonts w:ascii="Garamond" w:hAnsi="Garamond"/>
          <w:sz w:val="22"/>
          <w:szCs w:val="22"/>
        </w:rPr>
      </w:pPr>
      <w:r>
        <w:rPr>
          <w:rStyle w:val="FootnoteReference"/>
        </w:rPr>
        <w:footnoteRef/>
      </w:r>
      <w:r>
        <w:t xml:space="preserve"> </w:t>
      </w:r>
      <w:r w:rsidR="00101122">
        <w:rPr>
          <w:rFonts w:ascii="Garamond" w:hAnsi="Garamond"/>
          <w:sz w:val="22"/>
          <w:szCs w:val="22"/>
        </w:rPr>
        <w:t>A</w:t>
      </w:r>
      <w:r>
        <w:rPr>
          <w:rFonts w:ascii="Garamond" w:hAnsi="Garamond"/>
          <w:sz w:val="22"/>
          <w:szCs w:val="22"/>
        </w:rPr>
        <w:t>d</w:t>
      </w:r>
      <w:r w:rsidR="00101122">
        <w:rPr>
          <w:rFonts w:ascii="Garamond" w:hAnsi="Garamond"/>
          <w:sz w:val="22"/>
          <w:szCs w:val="22"/>
        </w:rPr>
        <w:t>d</w:t>
      </w:r>
      <w:r>
        <w:rPr>
          <w:rFonts w:ascii="Garamond" w:hAnsi="Garamond"/>
          <w:sz w:val="22"/>
          <w:szCs w:val="22"/>
        </w:rPr>
        <w:t xml:space="preserve"> cite to the slides/presentation</w:t>
      </w:r>
      <w:r w:rsidR="00101122">
        <w:rPr>
          <w:rFonts w:ascii="Garamond" w:hAnsi="Garamond"/>
          <w:sz w:val="22"/>
          <w:szCs w:val="22"/>
        </w:rPr>
        <w:t>.</w:t>
      </w:r>
    </w:p>
  </w:footnote>
  <w:footnote w:id="55">
    <w:p w14:paraId="079D27F2" w14:textId="201C746A" w:rsidR="00102D8B" w:rsidRPr="00102D8B" w:rsidRDefault="00102D8B">
      <w:pPr>
        <w:pStyle w:val="FootnoteText"/>
        <w:rPr>
          <w:rFonts w:ascii="Garamond" w:hAnsi="Garamond"/>
          <w:sz w:val="22"/>
          <w:szCs w:val="22"/>
        </w:rPr>
      </w:pPr>
      <w:r>
        <w:rPr>
          <w:rStyle w:val="FootnoteReference"/>
        </w:rPr>
        <w:footnoteRef/>
      </w:r>
      <w:r>
        <w:t xml:space="preserve"> </w:t>
      </w:r>
      <w:r w:rsidRPr="00102D8B">
        <w:rPr>
          <w:rFonts w:ascii="Garamond" w:hAnsi="Garamond"/>
          <w:sz w:val="22"/>
          <w:szCs w:val="22"/>
        </w:rPr>
        <w:t>Details on the relevant ITFA language are presented in section X of this white paper.</w:t>
      </w:r>
    </w:p>
  </w:footnote>
  <w:footnote w:id="56">
    <w:p w14:paraId="41E4BA22" w14:textId="77777777" w:rsidR="00E25BA4" w:rsidRPr="00133BE8" w:rsidRDefault="00E25BA4" w:rsidP="00E25BA4">
      <w:pPr>
        <w:pStyle w:val="FootnoteText"/>
        <w:rPr>
          <w:rFonts w:ascii="Garamond" w:hAnsi="Garamond"/>
          <w:sz w:val="22"/>
          <w:szCs w:val="22"/>
        </w:rPr>
      </w:pPr>
      <w:r>
        <w:rPr>
          <w:rStyle w:val="FootnoteReference"/>
        </w:rPr>
        <w:footnoteRef/>
      </w:r>
      <w:r>
        <w:t xml:space="preserve"> </w:t>
      </w:r>
      <w:r w:rsidRPr="00133BE8">
        <w:rPr>
          <w:rFonts w:ascii="Garamond" w:hAnsi="Garamond"/>
          <w:sz w:val="22"/>
          <w:szCs w:val="22"/>
        </w:rPr>
        <w:t>Rhode Island Dec. Rul. Req. No. 23017-01 (March 31, 2017).</w:t>
      </w:r>
    </w:p>
  </w:footnote>
  <w:footnote w:id="57">
    <w:p w14:paraId="7EC58C34" w14:textId="77777777" w:rsidR="00E25BA4" w:rsidRPr="00133BE8" w:rsidRDefault="00E25BA4" w:rsidP="00E25BA4">
      <w:pPr>
        <w:pStyle w:val="FootnoteText"/>
        <w:rPr>
          <w:rFonts w:ascii="Garamond" w:hAnsi="Garamond"/>
          <w:sz w:val="22"/>
          <w:szCs w:val="22"/>
        </w:rPr>
      </w:pPr>
      <w:r w:rsidRPr="00133BE8">
        <w:rPr>
          <w:rStyle w:val="FootnoteReference"/>
          <w:rFonts w:ascii="Garamond" w:hAnsi="Garamond"/>
          <w:sz w:val="22"/>
          <w:szCs w:val="22"/>
        </w:rPr>
        <w:footnoteRef/>
      </w:r>
      <w:r w:rsidRPr="00133BE8">
        <w:rPr>
          <w:rFonts w:ascii="Garamond" w:hAnsi="Garamond"/>
          <w:sz w:val="22"/>
          <w:szCs w:val="22"/>
        </w:rPr>
        <w:t xml:space="preserve"> </w:t>
      </w:r>
      <w:r w:rsidRPr="00133BE8">
        <w:rPr>
          <w:rFonts w:ascii="Garamond" w:eastAsia="Times New Roman" w:hAnsi="Garamond" w:cs="Calibri"/>
          <w:color w:val="000000"/>
          <w:kern w:val="0"/>
          <w:sz w:val="22"/>
          <w:szCs w:val="22"/>
          <w14:ligatures w14:val="none"/>
        </w:rPr>
        <w:t>Iowa Declaratory Order 2018-300-2-0508 (Feb. 5, 2019).</w:t>
      </w:r>
    </w:p>
  </w:footnote>
  <w:footnote w:id="58">
    <w:p w14:paraId="5BB9B2B5" w14:textId="305E5266" w:rsidR="005511AE" w:rsidRPr="00133BE8" w:rsidRDefault="005511AE">
      <w:pPr>
        <w:pStyle w:val="FootnoteText"/>
        <w:rPr>
          <w:rFonts w:ascii="Garamond" w:hAnsi="Garamond"/>
          <w:sz w:val="22"/>
          <w:szCs w:val="22"/>
        </w:rPr>
      </w:pPr>
      <w:r w:rsidRPr="00133BE8">
        <w:rPr>
          <w:rStyle w:val="FootnoteReference"/>
          <w:rFonts w:ascii="Garamond" w:hAnsi="Garamond"/>
          <w:sz w:val="22"/>
          <w:szCs w:val="22"/>
        </w:rPr>
        <w:footnoteRef/>
      </w:r>
      <w:r w:rsidRPr="00133BE8">
        <w:rPr>
          <w:rFonts w:ascii="Garamond" w:hAnsi="Garamond"/>
          <w:sz w:val="22"/>
          <w:szCs w:val="22"/>
        </w:rPr>
        <w:t xml:space="preserve"> Georgia Letter Ruling 2019-10 (Nov. 2019).</w:t>
      </w:r>
    </w:p>
  </w:footnote>
  <w:footnote w:id="59">
    <w:p w14:paraId="430D2647" w14:textId="77777777" w:rsidR="00AC4D1A" w:rsidRPr="002C29C1" w:rsidRDefault="00AC4D1A" w:rsidP="00AC4D1A">
      <w:pPr>
        <w:pStyle w:val="FootnoteText"/>
        <w:rPr>
          <w:rFonts w:ascii="Garamond" w:hAnsi="Garamond"/>
          <w:sz w:val="22"/>
          <w:szCs w:val="22"/>
        </w:rPr>
      </w:pPr>
      <w:r>
        <w:rPr>
          <w:rStyle w:val="FootnoteReference"/>
        </w:rPr>
        <w:footnoteRef/>
      </w:r>
      <w:r>
        <w:t xml:space="preserve"> </w:t>
      </w:r>
      <w:r>
        <w:rPr>
          <w:rFonts w:ascii="Garamond" w:hAnsi="Garamond"/>
          <w:sz w:val="22"/>
          <w:szCs w:val="22"/>
        </w:rPr>
        <w:t>For example, Tex. Tax Code Ann. § 151.025(d) states: “</w:t>
      </w:r>
      <w:r w:rsidRPr="002C29C1">
        <w:rPr>
          <w:rFonts w:ascii="Garamond" w:hAnsi="Garamond"/>
          <w:sz w:val="22"/>
          <w:szCs w:val="22"/>
        </w:rPr>
        <w:t>If any nontaxable charges are combined with and not separately stated from taxable telecommunications service charges on the customer bill or invoice of a provider of telecommunications services, the combined charge is subject to tax unless the provider can identify the portion of the charges that are nontaxable through the provider's books and records kept in the regular course of business. If the nontaxable charges cannot reasonably be identified, the charges from the sale of both nontaxable services and taxable telecommunications services are attributable to taxable telecommunications services. The provider of telecommunications services has the burden of proving nontaxable charges.</w:t>
      </w:r>
      <w:r>
        <w:rPr>
          <w:rFonts w:ascii="Garamond" w:hAnsi="Garamond"/>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6076"/>
      <w:docPartObj>
        <w:docPartGallery w:val="Watermarks"/>
        <w:docPartUnique/>
      </w:docPartObj>
    </w:sdtPr>
    <w:sdtEndPr/>
    <w:sdtContent>
      <w:p w14:paraId="627C6C08" w14:textId="389F784D" w:rsidR="009B6973" w:rsidRDefault="008A5587">
        <w:pPr>
          <w:pStyle w:val="Header"/>
        </w:pPr>
        <w:r>
          <w:rPr>
            <w:noProof/>
          </w:rPr>
          <w:pict w14:anchorId="2F506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FBA93EE"/>
    <w:lvl w:ilvl="0">
      <w:numFmt w:val="bullet"/>
      <w:lvlText w:val="*"/>
      <w:lvlJc w:val="left"/>
      <w:pPr>
        <w:ind w:left="0" w:firstLine="0"/>
      </w:pPr>
    </w:lvl>
  </w:abstractNum>
  <w:abstractNum w:abstractNumId="1" w15:restartNumberingAfterBreak="0">
    <w:nsid w:val="02BF0EB9"/>
    <w:multiLevelType w:val="hybridMultilevel"/>
    <w:tmpl w:val="2B66574C"/>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945BDE"/>
    <w:multiLevelType w:val="hybridMultilevel"/>
    <w:tmpl w:val="9F2CDAC4"/>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9E0D2F"/>
    <w:multiLevelType w:val="hybridMultilevel"/>
    <w:tmpl w:val="530C749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AD336ED"/>
    <w:multiLevelType w:val="hybridMultilevel"/>
    <w:tmpl w:val="C0EA4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23DC7"/>
    <w:multiLevelType w:val="hybridMultilevel"/>
    <w:tmpl w:val="8D86BB5A"/>
    <w:lvl w:ilvl="0" w:tplc="E444C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A28CE"/>
    <w:multiLevelType w:val="hybridMultilevel"/>
    <w:tmpl w:val="3998E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387FC9"/>
    <w:multiLevelType w:val="hybridMultilevel"/>
    <w:tmpl w:val="2744B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6938EC"/>
    <w:multiLevelType w:val="hybridMultilevel"/>
    <w:tmpl w:val="F4CA91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32D08"/>
    <w:multiLevelType w:val="hybridMultilevel"/>
    <w:tmpl w:val="6DE211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7C6B63"/>
    <w:multiLevelType w:val="hybridMultilevel"/>
    <w:tmpl w:val="F808D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5F6350"/>
    <w:multiLevelType w:val="hybridMultilevel"/>
    <w:tmpl w:val="A428040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2" w15:restartNumberingAfterBreak="0">
    <w:nsid w:val="3BAB5F37"/>
    <w:multiLevelType w:val="hybridMultilevel"/>
    <w:tmpl w:val="AFF271F4"/>
    <w:lvl w:ilvl="0" w:tplc="ED7AE1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73251"/>
    <w:multiLevelType w:val="hybridMultilevel"/>
    <w:tmpl w:val="24005D9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D21728"/>
    <w:multiLevelType w:val="hybridMultilevel"/>
    <w:tmpl w:val="081E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16D27"/>
    <w:multiLevelType w:val="hybridMultilevel"/>
    <w:tmpl w:val="8F983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95971"/>
    <w:multiLevelType w:val="hybridMultilevel"/>
    <w:tmpl w:val="1F22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D31F0"/>
    <w:multiLevelType w:val="hybridMultilevel"/>
    <w:tmpl w:val="7C3C73DA"/>
    <w:lvl w:ilvl="0" w:tplc="7708D0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34655"/>
    <w:multiLevelType w:val="hybridMultilevel"/>
    <w:tmpl w:val="F2183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432395A"/>
    <w:multiLevelType w:val="hybridMultilevel"/>
    <w:tmpl w:val="182EF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36038"/>
    <w:multiLevelType w:val="hybridMultilevel"/>
    <w:tmpl w:val="3AAC4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32E1C"/>
    <w:multiLevelType w:val="hybridMultilevel"/>
    <w:tmpl w:val="88CEC2F8"/>
    <w:lvl w:ilvl="0" w:tplc="EB9C58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D6014"/>
    <w:multiLevelType w:val="hybridMultilevel"/>
    <w:tmpl w:val="D2048B12"/>
    <w:lvl w:ilvl="0" w:tplc="51187ACE">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D1BF5"/>
    <w:multiLevelType w:val="hybridMultilevel"/>
    <w:tmpl w:val="DD7C91F0"/>
    <w:lvl w:ilvl="0" w:tplc="3DA4492E">
      <w:start w:val="1"/>
      <w:numFmt w:val="low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1076F"/>
    <w:multiLevelType w:val="hybridMultilevel"/>
    <w:tmpl w:val="8F58A6C2"/>
    <w:lvl w:ilvl="0" w:tplc="A0381A3A">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774D9E"/>
    <w:multiLevelType w:val="hybridMultilevel"/>
    <w:tmpl w:val="BE4292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9179D"/>
    <w:multiLevelType w:val="hybridMultilevel"/>
    <w:tmpl w:val="9F2CDAC4"/>
    <w:lvl w:ilvl="0" w:tplc="A0381A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61202"/>
    <w:multiLevelType w:val="hybridMultilevel"/>
    <w:tmpl w:val="C73CE59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0350503">
    <w:abstractNumId w:val="19"/>
  </w:num>
  <w:num w:numId="2" w16cid:durableId="1265308113">
    <w:abstractNumId w:val="10"/>
  </w:num>
  <w:num w:numId="3" w16cid:durableId="1842230499">
    <w:abstractNumId w:val="6"/>
  </w:num>
  <w:num w:numId="4" w16cid:durableId="1754233341">
    <w:abstractNumId w:val="3"/>
  </w:num>
  <w:num w:numId="5" w16cid:durableId="1526794755">
    <w:abstractNumId w:val="26"/>
  </w:num>
  <w:num w:numId="6" w16cid:durableId="416707868">
    <w:abstractNumId w:val="2"/>
  </w:num>
  <w:num w:numId="7" w16cid:durableId="1045836749">
    <w:abstractNumId w:val="5"/>
  </w:num>
  <w:num w:numId="8" w16cid:durableId="1899827012">
    <w:abstractNumId w:val="23"/>
  </w:num>
  <w:num w:numId="9" w16cid:durableId="1766266649">
    <w:abstractNumId w:val="0"/>
    <w:lvlOverride w:ilvl="0">
      <w:lvl w:ilvl="0">
        <w:numFmt w:val="decimal"/>
        <w:lvlText w:val="•"/>
        <w:legacy w:legacy="1" w:legacySpace="0" w:legacyIndent="0"/>
        <w:lvlJc w:val="left"/>
        <w:pPr>
          <w:ind w:left="0" w:firstLine="0"/>
        </w:pPr>
        <w:rPr>
          <w:rFonts w:ascii="Times New Roman" w:hAnsi="Times New Roman" w:cs="Times New Roman" w:hint="default"/>
          <w:sz w:val="37"/>
        </w:rPr>
      </w:lvl>
    </w:lvlOverride>
  </w:num>
  <w:num w:numId="10" w16cid:durableId="244261899">
    <w:abstractNumId w:val="0"/>
    <w:lvlOverride w:ilvl="0">
      <w:lvl w:ilvl="0">
        <w:numFmt w:val="decimal"/>
        <w:lvlText w:val=""/>
        <w:legacy w:legacy="1" w:legacySpace="0" w:legacyIndent="0"/>
        <w:lvlJc w:val="left"/>
        <w:pPr>
          <w:ind w:left="0" w:firstLine="0"/>
        </w:pPr>
        <w:rPr>
          <w:rFonts w:ascii="Wingdings 2" w:hAnsi="Wingdings 2" w:hint="default"/>
          <w:sz w:val="31"/>
        </w:rPr>
      </w:lvl>
    </w:lvlOverride>
  </w:num>
  <w:num w:numId="11" w16cid:durableId="1618485354">
    <w:abstractNumId w:val="0"/>
    <w:lvlOverride w:ilvl="0">
      <w:lvl w:ilvl="0">
        <w:numFmt w:val="decimal"/>
        <w:lvlText w:val=""/>
        <w:legacy w:legacy="1" w:legacySpace="0" w:legacyIndent="0"/>
        <w:lvlJc w:val="left"/>
        <w:pPr>
          <w:ind w:left="0" w:firstLine="0"/>
        </w:pPr>
        <w:rPr>
          <w:rFonts w:ascii="Wingdings 2" w:hAnsi="Wingdings 2" w:hint="default"/>
          <w:sz w:val="40"/>
        </w:rPr>
      </w:lvl>
    </w:lvlOverride>
  </w:num>
  <w:num w:numId="12" w16cid:durableId="1009603117">
    <w:abstractNumId w:val="0"/>
    <w:lvlOverride w:ilvl="0">
      <w:lvl w:ilvl="0">
        <w:numFmt w:val="decimal"/>
        <w:lvlText w:val=""/>
        <w:legacy w:legacy="1" w:legacySpace="0" w:legacyIndent="0"/>
        <w:lvlJc w:val="left"/>
        <w:pPr>
          <w:ind w:left="0" w:firstLine="0"/>
        </w:pPr>
        <w:rPr>
          <w:rFonts w:ascii="Wingdings" w:hAnsi="Wingdings" w:hint="default"/>
          <w:sz w:val="40"/>
        </w:rPr>
      </w:lvl>
    </w:lvlOverride>
  </w:num>
  <w:num w:numId="13" w16cid:durableId="1155025715">
    <w:abstractNumId w:val="0"/>
    <w:lvlOverride w:ilvl="0">
      <w:lvl w:ilvl="0">
        <w:numFmt w:val="decimal"/>
        <w:lvlText w:val=""/>
        <w:legacy w:legacy="1" w:legacySpace="0" w:legacyIndent="0"/>
        <w:lvlJc w:val="left"/>
        <w:pPr>
          <w:ind w:left="3870" w:firstLine="0"/>
        </w:pPr>
        <w:rPr>
          <w:rFonts w:ascii="Wingdings" w:hAnsi="Wingdings" w:hint="default"/>
          <w:sz w:val="40"/>
        </w:rPr>
      </w:lvl>
    </w:lvlOverride>
  </w:num>
  <w:num w:numId="14" w16cid:durableId="414133326">
    <w:abstractNumId w:val="0"/>
    <w:lvlOverride w:ilvl="0">
      <w:lvl w:ilvl="0">
        <w:numFmt w:val="decimal"/>
        <w:lvlText w:val=""/>
        <w:legacy w:legacy="1" w:legacySpace="0" w:legacyIndent="0"/>
        <w:lvlJc w:val="left"/>
        <w:pPr>
          <w:ind w:left="0" w:firstLine="0"/>
        </w:pPr>
        <w:rPr>
          <w:rFonts w:ascii="Wingdings 2" w:hAnsi="Wingdings 2" w:hint="default"/>
          <w:sz w:val="44"/>
        </w:rPr>
      </w:lvl>
    </w:lvlOverride>
  </w:num>
  <w:num w:numId="15" w16cid:durableId="1510292221">
    <w:abstractNumId w:val="0"/>
    <w:lvlOverride w:ilvl="0">
      <w:lvl w:ilvl="0">
        <w:numFmt w:val="decimal"/>
        <w:lvlText w:val=""/>
        <w:legacy w:legacy="1" w:legacySpace="0" w:legacyIndent="0"/>
        <w:lvlJc w:val="left"/>
        <w:pPr>
          <w:ind w:left="0" w:firstLine="0"/>
        </w:pPr>
        <w:rPr>
          <w:rFonts w:ascii="Wingdings" w:hAnsi="Wingdings" w:hint="default"/>
          <w:sz w:val="44"/>
        </w:rPr>
      </w:lvl>
    </w:lvlOverride>
  </w:num>
  <w:num w:numId="16" w16cid:durableId="1295870916">
    <w:abstractNumId w:val="0"/>
    <w:lvlOverride w:ilvl="0">
      <w:lvl w:ilvl="0">
        <w:numFmt w:val="decimal"/>
        <w:lvlText w:val=""/>
        <w:legacy w:legacy="1" w:legacySpace="0" w:legacyIndent="0"/>
        <w:lvlJc w:val="left"/>
        <w:pPr>
          <w:ind w:left="0" w:firstLine="0"/>
        </w:pPr>
        <w:rPr>
          <w:rFonts w:ascii="Wingdings" w:hAnsi="Wingdings" w:hint="default"/>
          <w:sz w:val="44"/>
        </w:rPr>
      </w:lvl>
    </w:lvlOverride>
  </w:num>
  <w:num w:numId="17" w16cid:durableId="2118214648">
    <w:abstractNumId w:val="0"/>
    <w:lvlOverride w:ilvl="0">
      <w:lvl w:ilvl="0">
        <w:numFmt w:val="decimal"/>
        <w:lvlText w:val="•"/>
        <w:legacy w:legacy="1" w:legacySpace="0" w:legacyIndent="0"/>
        <w:lvlJc w:val="left"/>
        <w:pPr>
          <w:ind w:left="0" w:firstLine="0"/>
        </w:pPr>
        <w:rPr>
          <w:rFonts w:ascii="Franklin Gothic Book" w:hAnsi="Franklin Gothic Book" w:hint="default"/>
          <w:sz w:val="44"/>
        </w:rPr>
      </w:lvl>
    </w:lvlOverride>
  </w:num>
  <w:num w:numId="18" w16cid:durableId="1762022810">
    <w:abstractNumId w:val="0"/>
    <w:lvlOverride w:ilvl="0">
      <w:lvl w:ilvl="0">
        <w:numFmt w:val="decimal"/>
        <w:lvlText w:val="•"/>
        <w:legacy w:legacy="1" w:legacySpace="0" w:legacyIndent="0"/>
        <w:lvlJc w:val="left"/>
        <w:pPr>
          <w:ind w:left="0" w:firstLine="0"/>
        </w:pPr>
        <w:rPr>
          <w:rFonts w:ascii="Times New Roman" w:hAnsi="Times New Roman" w:cs="Times New Roman" w:hint="default"/>
          <w:sz w:val="44"/>
        </w:rPr>
      </w:lvl>
    </w:lvlOverride>
  </w:num>
  <w:num w:numId="19" w16cid:durableId="1086532805">
    <w:abstractNumId w:val="0"/>
    <w:lvlOverride w:ilvl="0">
      <w:lvl w:ilvl="0">
        <w:numFmt w:val="decimal"/>
        <w:lvlText w:val="o"/>
        <w:legacy w:legacy="1" w:legacySpace="0" w:legacyIndent="0"/>
        <w:lvlJc w:val="left"/>
        <w:pPr>
          <w:ind w:left="0" w:firstLine="0"/>
        </w:pPr>
        <w:rPr>
          <w:rFonts w:ascii="Courier New" w:hAnsi="Courier New" w:cs="Courier New" w:hint="default"/>
          <w:sz w:val="44"/>
        </w:rPr>
      </w:lvl>
    </w:lvlOverride>
  </w:num>
  <w:num w:numId="20" w16cid:durableId="1889300282">
    <w:abstractNumId w:val="0"/>
    <w:lvlOverride w:ilvl="0">
      <w:lvl w:ilvl="0">
        <w:numFmt w:val="decimal"/>
        <w:lvlText w:val=""/>
        <w:legacy w:legacy="1" w:legacySpace="0" w:legacyIndent="0"/>
        <w:lvlJc w:val="left"/>
        <w:pPr>
          <w:ind w:left="0" w:firstLine="0"/>
        </w:pPr>
        <w:rPr>
          <w:rFonts w:ascii="Symbol" w:hAnsi="Symbol" w:hint="default"/>
          <w:sz w:val="44"/>
        </w:rPr>
      </w:lvl>
    </w:lvlOverride>
  </w:num>
  <w:num w:numId="21" w16cid:durableId="163325194">
    <w:abstractNumId w:val="9"/>
  </w:num>
  <w:num w:numId="22" w16cid:durableId="188497450">
    <w:abstractNumId w:val="13"/>
  </w:num>
  <w:num w:numId="23" w16cid:durableId="1924534379">
    <w:abstractNumId w:val="4"/>
  </w:num>
  <w:num w:numId="24" w16cid:durableId="1389646587">
    <w:abstractNumId w:val="8"/>
  </w:num>
  <w:num w:numId="25" w16cid:durableId="1857380620">
    <w:abstractNumId w:val="20"/>
  </w:num>
  <w:num w:numId="26" w16cid:durableId="1294754121">
    <w:abstractNumId w:val="25"/>
  </w:num>
  <w:num w:numId="27" w16cid:durableId="774787312">
    <w:abstractNumId w:val="15"/>
  </w:num>
  <w:num w:numId="28" w16cid:durableId="2142579151">
    <w:abstractNumId w:val="1"/>
  </w:num>
  <w:num w:numId="29" w16cid:durableId="375930696">
    <w:abstractNumId w:val="27"/>
  </w:num>
  <w:num w:numId="30" w16cid:durableId="507528521">
    <w:abstractNumId w:val="18"/>
  </w:num>
  <w:num w:numId="31" w16cid:durableId="14842245">
    <w:abstractNumId w:val="11"/>
  </w:num>
  <w:num w:numId="32" w16cid:durableId="1724714736">
    <w:abstractNumId w:val="17"/>
  </w:num>
  <w:num w:numId="33" w16cid:durableId="1294286110">
    <w:abstractNumId w:val="12"/>
  </w:num>
  <w:num w:numId="34" w16cid:durableId="1921019359">
    <w:abstractNumId w:val="16"/>
  </w:num>
  <w:num w:numId="35" w16cid:durableId="1451707215">
    <w:abstractNumId w:val="24"/>
  </w:num>
  <w:num w:numId="36" w16cid:durableId="848829362">
    <w:abstractNumId w:val="7"/>
  </w:num>
  <w:num w:numId="37" w16cid:durableId="339739607">
    <w:abstractNumId w:val="21"/>
  </w:num>
  <w:num w:numId="38" w16cid:durableId="1520198656">
    <w:abstractNumId w:val="22"/>
  </w:num>
  <w:num w:numId="39" w16cid:durableId="67502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06"/>
    <w:rsid w:val="00001413"/>
    <w:rsid w:val="000019E9"/>
    <w:rsid w:val="00002144"/>
    <w:rsid w:val="00002B22"/>
    <w:rsid w:val="00004388"/>
    <w:rsid w:val="000061B1"/>
    <w:rsid w:val="0000650F"/>
    <w:rsid w:val="00007604"/>
    <w:rsid w:val="00010538"/>
    <w:rsid w:val="00011E62"/>
    <w:rsid w:val="000128A5"/>
    <w:rsid w:val="00012D6D"/>
    <w:rsid w:val="000130BA"/>
    <w:rsid w:val="00013F03"/>
    <w:rsid w:val="00014172"/>
    <w:rsid w:val="00015D68"/>
    <w:rsid w:val="000165DE"/>
    <w:rsid w:val="00016EDA"/>
    <w:rsid w:val="00016EFD"/>
    <w:rsid w:val="0002071A"/>
    <w:rsid w:val="00020E1C"/>
    <w:rsid w:val="00022ADC"/>
    <w:rsid w:val="00023299"/>
    <w:rsid w:val="00023930"/>
    <w:rsid w:val="00024099"/>
    <w:rsid w:val="00025113"/>
    <w:rsid w:val="00025E41"/>
    <w:rsid w:val="00025E47"/>
    <w:rsid w:val="0002649C"/>
    <w:rsid w:val="00027101"/>
    <w:rsid w:val="0003161B"/>
    <w:rsid w:val="0003358A"/>
    <w:rsid w:val="000337A6"/>
    <w:rsid w:val="000347BE"/>
    <w:rsid w:val="000376EB"/>
    <w:rsid w:val="00042033"/>
    <w:rsid w:val="0004224C"/>
    <w:rsid w:val="00042600"/>
    <w:rsid w:val="00044558"/>
    <w:rsid w:val="00044670"/>
    <w:rsid w:val="00046D83"/>
    <w:rsid w:val="00050362"/>
    <w:rsid w:val="000534D0"/>
    <w:rsid w:val="0005400C"/>
    <w:rsid w:val="000575DB"/>
    <w:rsid w:val="00061057"/>
    <w:rsid w:val="0006176E"/>
    <w:rsid w:val="00063B52"/>
    <w:rsid w:val="000642E2"/>
    <w:rsid w:val="000656D3"/>
    <w:rsid w:val="00074619"/>
    <w:rsid w:val="00076720"/>
    <w:rsid w:val="00080DCF"/>
    <w:rsid w:val="00081C1E"/>
    <w:rsid w:val="00084651"/>
    <w:rsid w:val="00085512"/>
    <w:rsid w:val="0009272A"/>
    <w:rsid w:val="000A1344"/>
    <w:rsid w:val="000A44FE"/>
    <w:rsid w:val="000A523B"/>
    <w:rsid w:val="000A5BA7"/>
    <w:rsid w:val="000A6E1A"/>
    <w:rsid w:val="000B2566"/>
    <w:rsid w:val="000B3AF6"/>
    <w:rsid w:val="000B5370"/>
    <w:rsid w:val="000B6A41"/>
    <w:rsid w:val="000C0964"/>
    <w:rsid w:val="000C17FD"/>
    <w:rsid w:val="000C633A"/>
    <w:rsid w:val="000C7E48"/>
    <w:rsid w:val="000D109F"/>
    <w:rsid w:val="000D1143"/>
    <w:rsid w:val="000D1AAD"/>
    <w:rsid w:val="000D249D"/>
    <w:rsid w:val="000D2746"/>
    <w:rsid w:val="000E0A90"/>
    <w:rsid w:val="000E25F7"/>
    <w:rsid w:val="000E33F4"/>
    <w:rsid w:val="000E4716"/>
    <w:rsid w:val="000E6A81"/>
    <w:rsid w:val="000F18E2"/>
    <w:rsid w:val="000F2BEB"/>
    <w:rsid w:val="000F6EA4"/>
    <w:rsid w:val="000F7CD4"/>
    <w:rsid w:val="00100842"/>
    <w:rsid w:val="001009CA"/>
    <w:rsid w:val="00101122"/>
    <w:rsid w:val="001024C1"/>
    <w:rsid w:val="00102D41"/>
    <w:rsid w:val="00102D8B"/>
    <w:rsid w:val="00104102"/>
    <w:rsid w:val="00106514"/>
    <w:rsid w:val="00110057"/>
    <w:rsid w:val="00113CAD"/>
    <w:rsid w:val="00117557"/>
    <w:rsid w:val="0012269A"/>
    <w:rsid w:val="00124844"/>
    <w:rsid w:val="00124878"/>
    <w:rsid w:val="001248BA"/>
    <w:rsid w:val="0012692C"/>
    <w:rsid w:val="001332EC"/>
    <w:rsid w:val="00133BE8"/>
    <w:rsid w:val="00134B03"/>
    <w:rsid w:val="00137FF5"/>
    <w:rsid w:val="001424C8"/>
    <w:rsid w:val="0014483E"/>
    <w:rsid w:val="001448EF"/>
    <w:rsid w:val="001461CB"/>
    <w:rsid w:val="001464EC"/>
    <w:rsid w:val="00154984"/>
    <w:rsid w:val="00163B46"/>
    <w:rsid w:val="00171E91"/>
    <w:rsid w:val="00174E3A"/>
    <w:rsid w:val="001765AE"/>
    <w:rsid w:val="00177409"/>
    <w:rsid w:val="001804D7"/>
    <w:rsid w:val="00180B01"/>
    <w:rsid w:val="001821C6"/>
    <w:rsid w:val="0018224E"/>
    <w:rsid w:val="001826CA"/>
    <w:rsid w:val="00182A0E"/>
    <w:rsid w:val="00182ECA"/>
    <w:rsid w:val="00183B6A"/>
    <w:rsid w:val="00184B50"/>
    <w:rsid w:val="0018702A"/>
    <w:rsid w:val="00192253"/>
    <w:rsid w:val="00194B8A"/>
    <w:rsid w:val="001A03DE"/>
    <w:rsid w:val="001A2506"/>
    <w:rsid w:val="001A2CAB"/>
    <w:rsid w:val="001A3FD4"/>
    <w:rsid w:val="001A5B0A"/>
    <w:rsid w:val="001A6ED5"/>
    <w:rsid w:val="001B1C92"/>
    <w:rsid w:val="001B2CE3"/>
    <w:rsid w:val="001B341B"/>
    <w:rsid w:val="001B3599"/>
    <w:rsid w:val="001B4A5C"/>
    <w:rsid w:val="001B5A9E"/>
    <w:rsid w:val="001C203C"/>
    <w:rsid w:val="001C303C"/>
    <w:rsid w:val="001D025F"/>
    <w:rsid w:val="001D0E5C"/>
    <w:rsid w:val="001D26A4"/>
    <w:rsid w:val="001D3BFA"/>
    <w:rsid w:val="001D7515"/>
    <w:rsid w:val="001E0C0A"/>
    <w:rsid w:val="001E0FE7"/>
    <w:rsid w:val="001E62F8"/>
    <w:rsid w:val="001F5515"/>
    <w:rsid w:val="0020041D"/>
    <w:rsid w:val="00201512"/>
    <w:rsid w:val="00202DBA"/>
    <w:rsid w:val="00205B69"/>
    <w:rsid w:val="002064CA"/>
    <w:rsid w:val="00207DE5"/>
    <w:rsid w:val="0021002E"/>
    <w:rsid w:val="00210402"/>
    <w:rsid w:val="00212BB8"/>
    <w:rsid w:val="0021529B"/>
    <w:rsid w:val="002166C2"/>
    <w:rsid w:val="00220678"/>
    <w:rsid w:val="0022478A"/>
    <w:rsid w:val="002247FB"/>
    <w:rsid w:val="00225B24"/>
    <w:rsid w:val="00226054"/>
    <w:rsid w:val="00226E87"/>
    <w:rsid w:val="002312A8"/>
    <w:rsid w:val="002318E7"/>
    <w:rsid w:val="00231AF5"/>
    <w:rsid w:val="00233951"/>
    <w:rsid w:val="00244A6E"/>
    <w:rsid w:val="00245169"/>
    <w:rsid w:val="00250AAC"/>
    <w:rsid w:val="00252263"/>
    <w:rsid w:val="002526CC"/>
    <w:rsid w:val="00253701"/>
    <w:rsid w:val="00257CC0"/>
    <w:rsid w:val="00262383"/>
    <w:rsid w:val="00264140"/>
    <w:rsid w:val="00264A67"/>
    <w:rsid w:val="002659D4"/>
    <w:rsid w:val="002659DF"/>
    <w:rsid w:val="002706AA"/>
    <w:rsid w:val="00270A21"/>
    <w:rsid w:val="00273915"/>
    <w:rsid w:val="00274327"/>
    <w:rsid w:val="00274D5B"/>
    <w:rsid w:val="0027672A"/>
    <w:rsid w:val="00280920"/>
    <w:rsid w:val="00280BB5"/>
    <w:rsid w:val="00283731"/>
    <w:rsid w:val="00284492"/>
    <w:rsid w:val="002867E6"/>
    <w:rsid w:val="00287D3D"/>
    <w:rsid w:val="002901EE"/>
    <w:rsid w:val="00292339"/>
    <w:rsid w:val="00292709"/>
    <w:rsid w:val="002934AD"/>
    <w:rsid w:val="00297C24"/>
    <w:rsid w:val="002A22CB"/>
    <w:rsid w:val="002A2CDE"/>
    <w:rsid w:val="002A3009"/>
    <w:rsid w:val="002A4465"/>
    <w:rsid w:val="002A65E2"/>
    <w:rsid w:val="002B1CBA"/>
    <w:rsid w:val="002B4690"/>
    <w:rsid w:val="002C29C1"/>
    <w:rsid w:val="002D1717"/>
    <w:rsid w:val="002D38A0"/>
    <w:rsid w:val="002D4D58"/>
    <w:rsid w:val="002D64DD"/>
    <w:rsid w:val="002E03FB"/>
    <w:rsid w:val="002E04BE"/>
    <w:rsid w:val="002E0644"/>
    <w:rsid w:val="002E0CF9"/>
    <w:rsid w:val="002E4363"/>
    <w:rsid w:val="002E4897"/>
    <w:rsid w:val="002E6CF2"/>
    <w:rsid w:val="002F17F3"/>
    <w:rsid w:val="002F2F89"/>
    <w:rsid w:val="002F4AEB"/>
    <w:rsid w:val="002F5176"/>
    <w:rsid w:val="002F7855"/>
    <w:rsid w:val="003008D7"/>
    <w:rsid w:val="00301D41"/>
    <w:rsid w:val="003029D9"/>
    <w:rsid w:val="00303A9A"/>
    <w:rsid w:val="0030598E"/>
    <w:rsid w:val="003109DA"/>
    <w:rsid w:val="0031742E"/>
    <w:rsid w:val="00320320"/>
    <w:rsid w:val="00331F66"/>
    <w:rsid w:val="0033465C"/>
    <w:rsid w:val="00334877"/>
    <w:rsid w:val="0033697B"/>
    <w:rsid w:val="003375CD"/>
    <w:rsid w:val="00341482"/>
    <w:rsid w:val="003421FA"/>
    <w:rsid w:val="0034402B"/>
    <w:rsid w:val="00346438"/>
    <w:rsid w:val="00347632"/>
    <w:rsid w:val="00347DBA"/>
    <w:rsid w:val="0035087C"/>
    <w:rsid w:val="00350FCA"/>
    <w:rsid w:val="0035241D"/>
    <w:rsid w:val="00352A47"/>
    <w:rsid w:val="00352F8C"/>
    <w:rsid w:val="00353EE0"/>
    <w:rsid w:val="0035409E"/>
    <w:rsid w:val="003545CC"/>
    <w:rsid w:val="003558EB"/>
    <w:rsid w:val="003559BC"/>
    <w:rsid w:val="00355D29"/>
    <w:rsid w:val="003568C0"/>
    <w:rsid w:val="00357484"/>
    <w:rsid w:val="00361256"/>
    <w:rsid w:val="003612A6"/>
    <w:rsid w:val="0036298C"/>
    <w:rsid w:val="00364B5C"/>
    <w:rsid w:val="003705DF"/>
    <w:rsid w:val="00370E30"/>
    <w:rsid w:val="00374396"/>
    <w:rsid w:val="00377213"/>
    <w:rsid w:val="00382E84"/>
    <w:rsid w:val="00384ACF"/>
    <w:rsid w:val="003854D6"/>
    <w:rsid w:val="00385702"/>
    <w:rsid w:val="00387F84"/>
    <w:rsid w:val="00390B9B"/>
    <w:rsid w:val="003911B3"/>
    <w:rsid w:val="003913CC"/>
    <w:rsid w:val="003931AB"/>
    <w:rsid w:val="00393708"/>
    <w:rsid w:val="00395C65"/>
    <w:rsid w:val="003974B6"/>
    <w:rsid w:val="00397543"/>
    <w:rsid w:val="003A0426"/>
    <w:rsid w:val="003A2985"/>
    <w:rsid w:val="003A2DD9"/>
    <w:rsid w:val="003A5DC2"/>
    <w:rsid w:val="003A6CA0"/>
    <w:rsid w:val="003B16D5"/>
    <w:rsid w:val="003B4F72"/>
    <w:rsid w:val="003B501E"/>
    <w:rsid w:val="003B54C8"/>
    <w:rsid w:val="003B5732"/>
    <w:rsid w:val="003B7885"/>
    <w:rsid w:val="003C04D9"/>
    <w:rsid w:val="003C1928"/>
    <w:rsid w:val="003C2822"/>
    <w:rsid w:val="003C3010"/>
    <w:rsid w:val="003D089D"/>
    <w:rsid w:val="003D094B"/>
    <w:rsid w:val="003D09D1"/>
    <w:rsid w:val="003D0F80"/>
    <w:rsid w:val="003D1A69"/>
    <w:rsid w:val="003D720F"/>
    <w:rsid w:val="003E0333"/>
    <w:rsid w:val="003E3523"/>
    <w:rsid w:val="003E3B77"/>
    <w:rsid w:val="003F046A"/>
    <w:rsid w:val="003F3499"/>
    <w:rsid w:val="003F55BC"/>
    <w:rsid w:val="003F5B5B"/>
    <w:rsid w:val="003F6874"/>
    <w:rsid w:val="00402712"/>
    <w:rsid w:val="004032CF"/>
    <w:rsid w:val="00406AFC"/>
    <w:rsid w:val="00411297"/>
    <w:rsid w:val="00413019"/>
    <w:rsid w:val="0041622A"/>
    <w:rsid w:val="00416C5A"/>
    <w:rsid w:val="004170D0"/>
    <w:rsid w:val="00417227"/>
    <w:rsid w:val="00417C16"/>
    <w:rsid w:val="0042183A"/>
    <w:rsid w:val="004232D3"/>
    <w:rsid w:val="00424F35"/>
    <w:rsid w:val="00427BFF"/>
    <w:rsid w:val="00427EDC"/>
    <w:rsid w:val="00435649"/>
    <w:rsid w:val="00435F02"/>
    <w:rsid w:val="004423C1"/>
    <w:rsid w:val="00454A60"/>
    <w:rsid w:val="00454E07"/>
    <w:rsid w:val="00462BEB"/>
    <w:rsid w:val="00463E75"/>
    <w:rsid w:val="004640A4"/>
    <w:rsid w:val="0046465C"/>
    <w:rsid w:val="00465197"/>
    <w:rsid w:val="00465DE4"/>
    <w:rsid w:val="004663B4"/>
    <w:rsid w:val="0047179B"/>
    <w:rsid w:val="00475D31"/>
    <w:rsid w:val="00482945"/>
    <w:rsid w:val="004848B3"/>
    <w:rsid w:val="0048739F"/>
    <w:rsid w:val="00487D94"/>
    <w:rsid w:val="00493E45"/>
    <w:rsid w:val="00494869"/>
    <w:rsid w:val="00494EDC"/>
    <w:rsid w:val="004958B0"/>
    <w:rsid w:val="00497BE1"/>
    <w:rsid w:val="00497C36"/>
    <w:rsid w:val="004A1C4E"/>
    <w:rsid w:val="004A2643"/>
    <w:rsid w:val="004A3752"/>
    <w:rsid w:val="004A48AB"/>
    <w:rsid w:val="004A48E1"/>
    <w:rsid w:val="004A6439"/>
    <w:rsid w:val="004A7C20"/>
    <w:rsid w:val="004B360C"/>
    <w:rsid w:val="004B4B18"/>
    <w:rsid w:val="004B5AE1"/>
    <w:rsid w:val="004C1F4A"/>
    <w:rsid w:val="004C26E1"/>
    <w:rsid w:val="004D5058"/>
    <w:rsid w:val="004D6863"/>
    <w:rsid w:val="004E68EA"/>
    <w:rsid w:val="004F30B1"/>
    <w:rsid w:val="004F3CBD"/>
    <w:rsid w:val="004F4944"/>
    <w:rsid w:val="005009D2"/>
    <w:rsid w:val="00500F88"/>
    <w:rsid w:val="00504A50"/>
    <w:rsid w:val="00504D13"/>
    <w:rsid w:val="005054B1"/>
    <w:rsid w:val="00510638"/>
    <w:rsid w:val="00512BD5"/>
    <w:rsid w:val="00514AF1"/>
    <w:rsid w:val="00515059"/>
    <w:rsid w:val="00515E9C"/>
    <w:rsid w:val="00516ED8"/>
    <w:rsid w:val="00522673"/>
    <w:rsid w:val="00525285"/>
    <w:rsid w:val="00525517"/>
    <w:rsid w:val="005329D8"/>
    <w:rsid w:val="0053387E"/>
    <w:rsid w:val="00534656"/>
    <w:rsid w:val="00536161"/>
    <w:rsid w:val="00536A37"/>
    <w:rsid w:val="0054454F"/>
    <w:rsid w:val="00546ADB"/>
    <w:rsid w:val="0054744C"/>
    <w:rsid w:val="00547E3C"/>
    <w:rsid w:val="005511AE"/>
    <w:rsid w:val="00554D9E"/>
    <w:rsid w:val="00555729"/>
    <w:rsid w:val="005607AD"/>
    <w:rsid w:val="005615F8"/>
    <w:rsid w:val="00565E4B"/>
    <w:rsid w:val="00567A85"/>
    <w:rsid w:val="0057325A"/>
    <w:rsid w:val="0057600C"/>
    <w:rsid w:val="00580C90"/>
    <w:rsid w:val="00581CA8"/>
    <w:rsid w:val="00582EC3"/>
    <w:rsid w:val="005846DE"/>
    <w:rsid w:val="005856CB"/>
    <w:rsid w:val="00586EDA"/>
    <w:rsid w:val="00592374"/>
    <w:rsid w:val="005934BD"/>
    <w:rsid w:val="00595435"/>
    <w:rsid w:val="00596EAB"/>
    <w:rsid w:val="005A55AD"/>
    <w:rsid w:val="005A57AD"/>
    <w:rsid w:val="005A6836"/>
    <w:rsid w:val="005B086B"/>
    <w:rsid w:val="005B199F"/>
    <w:rsid w:val="005B418D"/>
    <w:rsid w:val="005B45DC"/>
    <w:rsid w:val="005B6D46"/>
    <w:rsid w:val="005C03F9"/>
    <w:rsid w:val="005C3548"/>
    <w:rsid w:val="005C5E09"/>
    <w:rsid w:val="005D2894"/>
    <w:rsid w:val="005D5ADF"/>
    <w:rsid w:val="005D6B20"/>
    <w:rsid w:val="005E002B"/>
    <w:rsid w:val="005E2312"/>
    <w:rsid w:val="005E53F4"/>
    <w:rsid w:val="005E5616"/>
    <w:rsid w:val="005E57DC"/>
    <w:rsid w:val="005E7E4B"/>
    <w:rsid w:val="005F18F6"/>
    <w:rsid w:val="005F672E"/>
    <w:rsid w:val="005F69C2"/>
    <w:rsid w:val="006025E9"/>
    <w:rsid w:val="00603D9D"/>
    <w:rsid w:val="00604839"/>
    <w:rsid w:val="00607030"/>
    <w:rsid w:val="0060781D"/>
    <w:rsid w:val="006078F0"/>
    <w:rsid w:val="00611CA8"/>
    <w:rsid w:val="00611E8B"/>
    <w:rsid w:val="006126C0"/>
    <w:rsid w:val="00612C8E"/>
    <w:rsid w:val="00615B57"/>
    <w:rsid w:val="0062083A"/>
    <w:rsid w:val="00621C84"/>
    <w:rsid w:val="00621EFF"/>
    <w:rsid w:val="006223AC"/>
    <w:rsid w:val="00633C67"/>
    <w:rsid w:val="00635CF1"/>
    <w:rsid w:val="006459BB"/>
    <w:rsid w:val="00645B41"/>
    <w:rsid w:val="00646FF6"/>
    <w:rsid w:val="00650798"/>
    <w:rsid w:val="00651F29"/>
    <w:rsid w:val="006531E7"/>
    <w:rsid w:val="00655AA5"/>
    <w:rsid w:val="00657BDE"/>
    <w:rsid w:val="006600ED"/>
    <w:rsid w:val="00660C90"/>
    <w:rsid w:val="0066196F"/>
    <w:rsid w:val="00666EC4"/>
    <w:rsid w:val="00670EAE"/>
    <w:rsid w:val="00672123"/>
    <w:rsid w:val="00672549"/>
    <w:rsid w:val="00672A40"/>
    <w:rsid w:val="006757B6"/>
    <w:rsid w:val="0067755D"/>
    <w:rsid w:val="00681210"/>
    <w:rsid w:val="006815B2"/>
    <w:rsid w:val="00681ACB"/>
    <w:rsid w:val="006868B7"/>
    <w:rsid w:val="00686F14"/>
    <w:rsid w:val="00687831"/>
    <w:rsid w:val="00690D76"/>
    <w:rsid w:val="00691370"/>
    <w:rsid w:val="00692D00"/>
    <w:rsid w:val="006932C9"/>
    <w:rsid w:val="0069605B"/>
    <w:rsid w:val="006A049D"/>
    <w:rsid w:val="006A43B3"/>
    <w:rsid w:val="006B078C"/>
    <w:rsid w:val="006B0C31"/>
    <w:rsid w:val="006B3F47"/>
    <w:rsid w:val="006B48CC"/>
    <w:rsid w:val="006C1B0C"/>
    <w:rsid w:val="006C2321"/>
    <w:rsid w:val="006C262D"/>
    <w:rsid w:val="006C61BB"/>
    <w:rsid w:val="006C7A9C"/>
    <w:rsid w:val="006D260C"/>
    <w:rsid w:val="006D2E5C"/>
    <w:rsid w:val="006D3E6E"/>
    <w:rsid w:val="006D4595"/>
    <w:rsid w:val="006D48FB"/>
    <w:rsid w:val="006D4A66"/>
    <w:rsid w:val="006D4AD0"/>
    <w:rsid w:val="006D57FC"/>
    <w:rsid w:val="006D75F5"/>
    <w:rsid w:val="006E1370"/>
    <w:rsid w:val="006E1C76"/>
    <w:rsid w:val="006E1CE8"/>
    <w:rsid w:val="006E4A79"/>
    <w:rsid w:val="006E5B0C"/>
    <w:rsid w:val="006E7DAE"/>
    <w:rsid w:val="006F0ED7"/>
    <w:rsid w:val="006F30A3"/>
    <w:rsid w:val="006F4036"/>
    <w:rsid w:val="00700837"/>
    <w:rsid w:val="007051D2"/>
    <w:rsid w:val="007057CB"/>
    <w:rsid w:val="007073E0"/>
    <w:rsid w:val="0070747A"/>
    <w:rsid w:val="0071073E"/>
    <w:rsid w:val="007113B6"/>
    <w:rsid w:val="00713948"/>
    <w:rsid w:val="00717810"/>
    <w:rsid w:val="0072308C"/>
    <w:rsid w:val="00733BF4"/>
    <w:rsid w:val="00733C88"/>
    <w:rsid w:val="00734B1F"/>
    <w:rsid w:val="00734B36"/>
    <w:rsid w:val="007363B9"/>
    <w:rsid w:val="00736E6B"/>
    <w:rsid w:val="0074249A"/>
    <w:rsid w:val="0074340E"/>
    <w:rsid w:val="00744B50"/>
    <w:rsid w:val="00747400"/>
    <w:rsid w:val="0074755A"/>
    <w:rsid w:val="007502DD"/>
    <w:rsid w:val="00750611"/>
    <w:rsid w:val="00750761"/>
    <w:rsid w:val="00751965"/>
    <w:rsid w:val="0075301D"/>
    <w:rsid w:val="00753FAA"/>
    <w:rsid w:val="00754F92"/>
    <w:rsid w:val="00755BBD"/>
    <w:rsid w:val="00762D47"/>
    <w:rsid w:val="0076399A"/>
    <w:rsid w:val="0076689B"/>
    <w:rsid w:val="007722D6"/>
    <w:rsid w:val="00774185"/>
    <w:rsid w:val="0077694E"/>
    <w:rsid w:val="00782601"/>
    <w:rsid w:val="007915DB"/>
    <w:rsid w:val="00792149"/>
    <w:rsid w:val="00792B42"/>
    <w:rsid w:val="00795DAB"/>
    <w:rsid w:val="00796169"/>
    <w:rsid w:val="0079794C"/>
    <w:rsid w:val="007A1F64"/>
    <w:rsid w:val="007A294A"/>
    <w:rsid w:val="007A3476"/>
    <w:rsid w:val="007A3C1B"/>
    <w:rsid w:val="007A3F1A"/>
    <w:rsid w:val="007A5EB4"/>
    <w:rsid w:val="007A7E1F"/>
    <w:rsid w:val="007B1690"/>
    <w:rsid w:val="007B1BA6"/>
    <w:rsid w:val="007B2136"/>
    <w:rsid w:val="007B22E5"/>
    <w:rsid w:val="007B291B"/>
    <w:rsid w:val="007B2CDF"/>
    <w:rsid w:val="007B3928"/>
    <w:rsid w:val="007B3CB1"/>
    <w:rsid w:val="007B7491"/>
    <w:rsid w:val="007C0B24"/>
    <w:rsid w:val="007C126F"/>
    <w:rsid w:val="007C214B"/>
    <w:rsid w:val="007C4267"/>
    <w:rsid w:val="007C4392"/>
    <w:rsid w:val="007C4408"/>
    <w:rsid w:val="007C50BE"/>
    <w:rsid w:val="007C5552"/>
    <w:rsid w:val="007C5583"/>
    <w:rsid w:val="007D37ED"/>
    <w:rsid w:val="007D45A4"/>
    <w:rsid w:val="007D500C"/>
    <w:rsid w:val="007D6405"/>
    <w:rsid w:val="007E0103"/>
    <w:rsid w:val="007E1D8E"/>
    <w:rsid w:val="007E1D99"/>
    <w:rsid w:val="007E27DC"/>
    <w:rsid w:val="007E5D25"/>
    <w:rsid w:val="007E6034"/>
    <w:rsid w:val="007E7EA8"/>
    <w:rsid w:val="007F0544"/>
    <w:rsid w:val="007F35B4"/>
    <w:rsid w:val="007F3D01"/>
    <w:rsid w:val="007F3DC0"/>
    <w:rsid w:val="007F43D9"/>
    <w:rsid w:val="00800F3F"/>
    <w:rsid w:val="0080247E"/>
    <w:rsid w:val="008051F3"/>
    <w:rsid w:val="00805CD2"/>
    <w:rsid w:val="00807278"/>
    <w:rsid w:val="00810377"/>
    <w:rsid w:val="008114BF"/>
    <w:rsid w:val="008120B2"/>
    <w:rsid w:val="008132FC"/>
    <w:rsid w:val="0081448E"/>
    <w:rsid w:val="008175BA"/>
    <w:rsid w:val="00821A0B"/>
    <w:rsid w:val="00825940"/>
    <w:rsid w:val="008346C2"/>
    <w:rsid w:val="00835DA6"/>
    <w:rsid w:val="00836A73"/>
    <w:rsid w:val="0083776D"/>
    <w:rsid w:val="00837C16"/>
    <w:rsid w:val="00842E1A"/>
    <w:rsid w:val="00843829"/>
    <w:rsid w:val="008444E7"/>
    <w:rsid w:val="00846BD0"/>
    <w:rsid w:val="00847EDC"/>
    <w:rsid w:val="00851021"/>
    <w:rsid w:val="008516C8"/>
    <w:rsid w:val="00851CA7"/>
    <w:rsid w:val="00851DD4"/>
    <w:rsid w:val="00856DE5"/>
    <w:rsid w:val="00856E9D"/>
    <w:rsid w:val="00862278"/>
    <w:rsid w:val="00862F88"/>
    <w:rsid w:val="0086469B"/>
    <w:rsid w:val="00865B51"/>
    <w:rsid w:val="00866A16"/>
    <w:rsid w:val="00871C5C"/>
    <w:rsid w:val="00872587"/>
    <w:rsid w:val="00875506"/>
    <w:rsid w:val="0088418B"/>
    <w:rsid w:val="00885DFD"/>
    <w:rsid w:val="00886BE9"/>
    <w:rsid w:val="0089492D"/>
    <w:rsid w:val="0089539C"/>
    <w:rsid w:val="008979A2"/>
    <w:rsid w:val="008A4DAD"/>
    <w:rsid w:val="008A5587"/>
    <w:rsid w:val="008B2D17"/>
    <w:rsid w:val="008B39AF"/>
    <w:rsid w:val="008B3D2A"/>
    <w:rsid w:val="008B5118"/>
    <w:rsid w:val="008C4048"/>
    <w:rsid w:val="008C51D5"/>
    <w:rsid w:val="008D2747"/>
    <w:rsid w:val="008D443D"/>
    <w:rsid w:val="008D5A06"/>
    <w:rsid w:val="008D6C12"/>
    <w:rsid w:val="008E43CB"/>
    <w:rsid w:val="008E5196"/>
    <w:rsid w:val="008F14C4"/>
    <w:rsid w:val="008F2250"/>
    <w:rsid w:val="008F2586"/>
    <w:rsid w:val="00900762"/>
    <w:rsid w:val="00900ADC"/>
    <w:rsid w:val="009019ED"/>
    <w:rsid w:val="00902349"/>
    <w:rsid w:val="00902C61"/>
    <w:rsid w:val="00902E63"/>
    <w:rsid w:val="00903D1A"/>
    <w:rsid w:val="00903FA3"/>
    <w:rsid w:val="009074D0"/>
    <w:rsid w:val="00907AD9"/>
    <w:rsid w:val="009103E8"/>
    <w:rsid w:val="00911E4F"/>
    <w:rsid w:val="00911F04"/>
    <w:rsid w:val="00912E65"/>
    <w:rsid w:val="00914FD8"/>
    <w:rsid w:val="009224F4"/>
    <w:rsid w:val="009256ED"/>
    <w:rsid w:val="0092579F"/>
    <w:rsid w:val="00925A91"/>
    <w:rsid w:val="00925E55"/>
    <w:rsid w:val="00926FC5"/>
    <w:rsid w:val="009357D0"/>
    <w:rsid w:val="0093674C"/>
    <w:rsid w:val="009401AC"/>
    <w:rsid w:val="009419A6"/>
    <w:rsid w:val="00952040"/>
    <w:rsid w:val="009525FC"/>
    <w:rsid w:val="00956587"/>
    <w:rsid w:val="00957DFC"/>
    <w:rsid w:val="009629E4"/>
    <w:rsid w:val="00963E83"/>
    <w:rsid w:val="009641E2"/>
    <w:rsid w:val="00972F75"/>
    <w:rsid w:val="00973AD8"/>
    <w:rsid w:val="0097703D"/>
    <w:rsid w:val="009770BD"/>
    <w:rsid w:val="0098038F"/>
    <w:rsid w:val="009870EC"/>
    <w:rsid w:val="009872C3"/>
    <w:rsid w:val="00987478"/>
    <w:rsid w:val="00991303"/>
    <w:rsid w:val="009918E9"/>
    <w:rsid w:val="00991A0D"/>
    <w:rsid w:val="0099332F"/>
    <w:rsid w:val="00996335"/>
    <w:rsid w:val="009A2CF9"/>
    <w:rsid w:val="009A4FE2"/>
    <w:rsid w:val="009B0C4B"/>
    <w:rsid w:val="009B0F12"/>
    <w:rsid w:val="009B2231"/>
    <w:rsid w:val="009B4DF0"/>
    <w:rsid w:val="009B5A09"/>
    <w:rsid w:val="009B6973"/>
    <w:rsid w:val="009B7AAD"/>
    <w:rsid w:val="009B7BD1"/>
    <w:rsid w:val="009C0CDF"/>
    <w:rsid w:val="009C17C6"/>
    <w:rsid w:val="009C29D9"/>
    <w:rsid w:val="009C2A09"/>
    <w:rsid w:val="009C5A74"/>
    <w:rsid w:val="009C7A50"/>
    <w:rsid w:val="009C7AB2"/>
    <w:rsid w:val="009D1FA5"/>
    <w:rsid w:val="009D53E3"/>
    <w:rsid w:val="009D58BB"/>
    <w:rsid w:val="009E7570"/>
    <w:rsid w:val="009F0283"/>
    <w:rsid w:val="009F0C1F"/>
    <w:rsid w:val="009F0FE1"/>
    <w:rsid w:val="009F14F6"/>
    <w:rsid w:val="009F5166"/>
    <w:rsid w:val="009F57B8"/>
    <w:rsid w:val="00A00135"/>
    <w:rsid w:val="00A001E8"/>
    <w:rsid w:val="00A04883"/>
    <w:rsid w:val="00A04A27"/>
    <w:rsid w:val="00A054D2"/>
    <w:rsid w:val="00A06E9B"/>
    <w:rsid w:val="00A10F28"/>
    <w:rsid w:val="00A153E4"/>
    <w:rsid w:val="00A159B9"/>
    <w:rsid w:val="00A165B6"/>
    <w:rsid w:val="00A21399"/>
    <w:rsid w:val="00A2201C"/>
    <w:rsid w:val="00A22A79"/>
    <w:rsid w:val="00A230E2"/>
    <w:rsid w:val="00A236AD"/>
    <w:rsid w:val="00A24E15"/>
    <w:rsid w:val="00A2581E"/>
    <w:rsid w:val="00A25C80"/>
    <w:rsid w:val="00A2650E"/>
    <w:rsid w:val="00A26C3A"/>
    <w:rsid w:val="00A2704D"/>
    <w:rsid w:val="00A30082"/>
    <w:rsid w:val="00A3030F"/>
    <w:rsid w:val="00A30E98"/>
    <w:rsid w:val="00A328A7"/>
    <w:rsid w:val="00A34F96"/>
    <w:rsid w:val="00A363B6"/>
    <w:rsid w:val="00A36649"/>
    <w:rsid w:val="00A46D48"/>
    <w:rsid w:val="00A5071E"/>
    <w:rsid w:val="00A54649"/>
    <w:rsid w:val="00A61550"/>
    <w:rsid w:val="00A61626"/>
    <w:rsid w:val="00A62775"/>
    <w:rsid w:val="00A65705"/>
    <w:rsid w:val="00A657CB"/>
    <w:rsid w:val="00A65FC5"/>
    <w:rsid w:val="00A675C4"/>
    <w:rsid w:val="00A67CDB"/>
    <w:rsid w:val="00A715DF"/>
    <w:rsid w:val="00A719D0"/>
    <w:rsid w:val="00A746A1"/>
    <w:rsid w:val="00A7676C"/>
    <w:rsid w:val="00A767A7"/>
    <w:rsid w:val="00A76CD8"/>
    <w:rsid w:val="00A800A9"/>
    <w:rsid w:val="00A840E9"/>
    <w:rsid w:val="00A8546C"/>
    <w:rsid w:val="00A86E40"/>
    <w:rsid w:val="00A9030B"/>
    <w:rsid w:val="00A93F0C"/>
    <w:rsid w:val="00A94167"/>
    <w:rsid w:val="00A955A4"/>
    <w:rsid w:val="00A95C0C"/>
    <w:rsid w:val="00A96222"/>
    <w:rsid w:val="00A970C7"/>
    <w:rsid w:val="00AA3BFC"/>
    <w:rsid w:val="00AA4374"/>
    <w:rsid w:val="00AA480A"/>
    <w:rsid w:val="00AA7BF6"/>
    <w:rsid w:val="00AB1D3B"/>
    <w:rsid w:val="00AB238C"/>
    <w:rsid w:val="00AB3481"/>
    <w:rsid w:val="00AB774F"/>
    <w:rsid w:val="00AC2B11"/>
    <w:rsid w:val="00AC2DEC"/>
    <w:rsid w:val="00AC449B"/>
    <w:rsid w:val="00AC4D1A"/>
    <w:rsid w:val="00AD07CD"/>
    <w:rsid w:val="00AD0F4E"/>
    <w:rsid w:val="00AD25C2"/>
    <w:rsid w:val="00AD2C30"/>
    <w:rsid w:val="00AD5E0E"/>
    <w:rsid w:val="00AD7668"/>
    <w:rsid w:val="00AE09D8"/>
    <w:rsid w:val="00AE16F2"/>
    <w:rsid w:val="00AE1F74"/>
    <w:rsid w:val="00AE27C2"/>
    <w:rsid w:val="00AE2B54"/>
    <w:rsid w:val="00AE39FA"/>
    <w:rsid w:val="00AE5648"/>
    <w:rsid w:val="00AF192F"/>
    <w:rsid w:val="00AF1C7A"/>
    <w:rsid w:val="00AF2DB2"/>
    <w:rsid w:val="00AF4488"/>
    <w:rsid w:val="00AF6D58"/>
    <w:rsid w:val="00AF71B1"/>
    <w:rsid w:val="00B02795"/>
    <w:rsid w:val="00B10F1C"/>
    <w:rsid w:val="00B1458A"/>
    <w:rsid w:val="00B14806"/>
    <w:rsid w:val="00B1544D"/>
    <w:rsid w:val="00B2104F"/>
    <w:rsid w:val="00B21AC4"/>
    <w:rsid w:val="00B24555"/>
    <w:rsid w:val="00B26AA0"/>
    <w:rsid w:val="00B33AF8"/>
    <w:rsid w:val="00B34A2A"/>
    <w:rsid w:val="00B367F5"/>
    <w:rsid w:val="00B37FE7"/>
    <w:rsid w:val="00B4236C"/>
    <w:rsid w:val="00B463F8"/>
    <w:rsid w:val="00B4690C"/>
    <w:rsid w:val="00B51FC9"/>
    <w:rsid w:val="00B526C8"/>
    <w:rsid w:val="00B529A6"/>
    <w:rsid w:val="00B53A9A"/>
    <w:rsid w:val="00B54828"/>
    <w:rsid w:val="00B55E4E"/>
    <w:rsid w:val="00B56691"/>
    <w:rsid w:val="00B56832"/>
    <w:rsid w:val="00B5791D"/>
    <w:rsid w:val="00B60208"/>
    <w:rsid w:val="00B6033B"/>
    <w:rsid w:val="00B614ED"/>
    <w:rsid w:val="00B616AA"/>
    <w:rsid w:val="00B627EC"/>
    <w:rsid w:val="00B64859"/>
    <w:rsid w:val="00B67F75"/>
    <w:rsid w:val="00B802E0"/>
    <w:rsid w:val="00B8366A"/>
    <w:rsid w:val="00B86049"/>
    <w:rsid w:val="00B86AB4"/>
    <w:rsid w:val="00BA1A05"/>
    <w:rsid w:val="00BA4A09"/>
    <w:rsid w:val="00BB0E56"/>
    <w:rsid w:val="00BB32E3"/>
    <w:rsid w:val="00BC15D6"/>
    <w:rsid w:val="00BC22D0"/>
    <w:rsid w:val="00BC3882"/>
    <w:rsid w:val="00BD0ED8"/>
    <w:rsid w:val="00BD2EEB"/>
    <w:rsid w:val="00BD4CA0"/>
    <w:rsid w:val="00BD6EC4"/>
    <w:rsid w:val="00BE007A"/>
    <w:rsid w:val="00BE0588"/>
    <w:rsid w:val="00BE0825"/>
    <w:rsid w:val="00BE5479"/>
    <w:rsid w:val="00BE79F2"/>
    <w:rsid w:val="00BF0232"/>
    <w:rsid w:val="00BF31AB"/>
    <w:rsid w:val="00BF63AE"/>
    <w:rsid w:val="00BF7193"/>
    <w:rsid w:val="00C04A7E"/>
    <w:rsid w:val="00C0506B"/>
    <w:rsid w:val="00C06987"/>
    <w:rsid w:val="00C07171"/>
    <w:rsid w:val="00C072A3"/>
    <w:rsid w:val="00C13C55"/>
    <w:rsid w:val="00C2290D"/>
    <w:rsid w:val="00C22A57"/>
    <w:rsid w:val="00C23497"/>
    <w:rsid w:val="00C24142"/>
    <w:rsid w:val="00C244BC"/>
    <w:rsid w:val="00C278A7"/>
    <w:rsid w:val="00C27D0E"/>
    <w:rsid w:val="00C32EC8"/>
    <w:rsid w:val="00C34F7D"/>
    <w:rsid w:val="00C40A11"/>
    <w:rsid w:val="00C41AC9"/>
    <w:rsid w:val="00C421EE"/>
    <w:rsid w:val="00C5188E"/>
    <w:rsid w:val="00C51F46"/>
    <w:rsid w:val="00C521CB"/>
    <w:rsid w:val="00C5322F"/>
    <w:rsid w:val="00C54A30"/>
    <w:rsid w:val="00C5574F"/>
    <w:rsid w:val="00C57020"/>
    <w:rsid w:val="00C60045"/>
    <w:rsid w:val="00C60928"/>
    <w:rsid w:val="00C61B05"/>
    <w:rsid w:val="00C63F49"/>
    <w:rsid w:val="00C6472D"/>
    <w:rsid w:val="00C674D7"/>
    <w:rsid w:val="00C71858"/>
    <w:rsid w:val="00C72852"/>
    <w:rsid w:val="00C80296"/>
    <w:rsid w:val="00C82968"/>
    <w:rsid w:val="00C83E81"/>
    <w:rsid w:val="00C85992"/>
    <w:rsid w:val="00C85EFA"/>
    <w:rsid w:val="00C90CAE"/>
    <w:rsid w:val="00C937A6"/>
    <w:rsid w:val="00C9786D"/>
    <w:rsid w:val="00CA0810"/>
    <w:rsid w:val="00CA0B76"/>
    <w:rsid w:val="00CA1DEB"/>
    <w:rsid w:val="00CA1E63"/>
    <w:rsid w:val="00CA61E1"/>
    <w:rsid w:val="00CA66B4"/>
    <w:rsid w:val="00CA6EC1"/>
    <w:rsid w:val="00CB4AB9"/>
    <w:rsid w:val="00CB7788"/>
    <w:rsid w:val="00CC205A"/>
    <w:rsid w:val="00CC2A2F"/>
    <w:rsid w:val="00CC2B21"/>
    <w:rsid w:val="00CC47AA"/>
    <w:rsid w:val="00CC783B"/>
    <w:rsid w:val="00CD0450"/>
    <w:rsid w:val="00CD060D"/>
    <w:rsid w:val="00CD3500"/>
    <w:rsid w:val="00CD4F8B"/>
    <w:rsid w:val="00CD513C"/>
    <w:rsid w:val="00CD7316"/>
    <w:rsid w:val="00CE0DCE"/>
    <w:rsid w:val="00CE23A3"/>
    <w:rsid w:val="00CE3C54"/>
    <w:rsid w:val="00CE4173"/>
    <w:rsid w:val="00CF07ED"/>
    <w:rsid w:val="00CF36CF"/>
    <w:rsid w:val="00CF3A4C"/>
    <w:rsid w:val="00CF3F21"/>
    <w:rsid w:val="00CF6119"/>
    <w:rsid w:val="00CF6401"/>
    <w:rsid w:val="00D002D2"/>
    <w:rsid w:val="00D073DA"/>
    <w:rsid w:val="00D07E5C"/>
    <w:rsid w:val="00D104C8"/>
    <w:rsid w:val="00D10D73"/>
    <w:rsid w:val="00D11D1E"/>
    <w:rsid w:val="00D12E2B"/>
    <w:rsid w:val="00D1340E"/>
    <w:rsid w:val="00D15708"/>
    <w:rsid w:val="00D159BD"/>
    <w:rsid w:val="00D169CC"/>
    <w:rsid w:val="00D179AA"/>
    <w:rsid w:val="00D2503E"/>
    <w:rsid w:val="00D26A85"/>
    <w:rsid w:val="00D278B7"/>
    <w:rsid w:val="00D305D1"/>
    <w:rsid w:val="00D308CD"/>
    <w:rsid w:val="00D31DFE"/>
    <w:rsid w:val="00D33A1A"/>
    <w:rsid w:val="00D35A20"/>
    <w:rsid w:val="00D377E7"/>
    <w:rsid w:val="00D41C8C"/>
    <w:rsid w:val="00D44D53"/>
    <w:rsid w:val="00D4612E"/>
    <w:rsid w:val="00D47F1F"/>
    <w:rsid w:val="00D52203"/>
    <w:rsid w:val="00D526AA"/>
    <w:rsid w:val="00D55719"/>
    <w:rsid w:val="00D57F57"/>
    <w:rsid w:val="00D63342"/>
    <w:rsid w:val="00D646B9"/>
    <w:rsid w:val="00D658A9"/>
    <w:rsid w:val="00D65BE3"/>
    <w:rsid w:val="00D66CFD"/>
    <w:rsid w:val="00D66D80"/>
    <w:rsid w:val="00D71730"/>
    <w:rsid w:val="00D74C12"/>
    <w:rsid w:val="00D75D6D"/>
    <w:rsid w:val="00D768A6"/>
    <w:rsid w:val="00D76E3A"/>
    <w:rsid w:val="00D81E83"/>
    <w:rsid w:val="00D81FE8"/>
    <w:rsid w:val="00D82827"/>
    <w:rsid w:val="00D84A38"/>
    <w:rsid w:val="00D84C15"/>
    <w:rsid w:val="00D853BC"/>
    <w:rsid w:val="00D85F2A"/>
    <w:rsid w:val="00D87DB4"/>
    <w:rsid w:val="00D90E15"/>
    <w:rsid w:val="00D910B4"/>
    <w:rsid w:val="00D9194F"/>
    <w:rsid w:val="00D9451C"/>
    <w:rsid w:val="00D953E1"/>
    <w:rsid w:val="00D97790"/>
    <w:rsid w:val="00DA441E"/>
    <w:rsid w:val="00DB0766"/>
    <w:rsid w:val="00DB3234"/>
    <w:rsid w:val="00DB34DA"/>
    <w:rsid w:val="00DB417A"/>
    <w:rsid w:val="00DB66F1"/>
    <w:rsid w:val="00DC4E78"/>
    <w:rsid w:val="00DC530D"/>
    <w:rsid w:val="00DC54E8"/>
    <w:rsid w:val="00DC6AC3"/>
    <w:rsid w:val="00DC7B6C"/>
    <w:rsid w:val="00DD0DF4"/>
    <w:rsid w:val="00DD127D"/>
    <w:rsid w:val="00DD2246"/>
    <w:rsid w:val="00DD3F06"/>
    <w:rsid w:val="00DD63A2"/>
    <w:rsid w:val="00DD6B7F"/>
    <w:rsid w:val="00DE0294"/>
    <w:rsid w:val="00DE1CBD"/>
    <w:rsid w:val="00DE1EC8"/>
    <w:rsid w:val="00DF3505"/>
    <w:rsid w:val="00DF3C32"/>
    <w:rsid w:val="00DF6734"/>
    <w:rsid w:val="00DF677F"/>
    <w:rsid w:val="00E01865"/>
    <w:rsid w:val="00E022AB"/>
    <w:rsid w:val="00E025E7"/>
    <w:rsid w:val="00E02B50"/>
    <w:rsid w:val="00E04A67"/>
    <w:rsid w:val="00E06F03"/>
    <w:rsid w:val="00E13DDE"/>
    <w:rsid w:val="00E173D3"/>
    <w:rsid w:val="00E231D8"/>
    <w:rsid w:val="00E24A31"/>
    <w:rsid w:val="00E25774"/>
    <w:rsid w:val="00E25BA4"/>
    <w:rsid w:val="00E274C7"/>
    <w:rsid w:val="00E3265C"/>
    <w:rsid w:val="00E3286F"/>
    <w:rsid w:val="00E334B5"/>
    <w:rsid w:val="00E352A0"/>
    <w:rsid w:val="00E35ED4"/>
    <w:rsid w:val="00E364CF"/>
    <w:rsid w:val="00E40F1A"/>
    <w:rsid w:val="00E50409"/>
    <w:rsid w:val="00E53AB8"/>
    <w:rsid w:val="00E54EE2"/>
    <w:rsid w:val="00E578ED"/>
    <w:rsid w:val="00E60A61"/>
    <w:rsid w:val="00E6530B"/>
    <w:rsid w:val="00E676FE"/>
    <w:rsid w:val="00E733E6"/>
    <w:rsid w:val="00E7588E"/>
    <w:rsid w:val="00E77CAE"/>
    <w:rsid w:val="00E81C01"/>
    <w:rsid w:val="00E81F17"/>
    <w:rsid w:val="00E82026"/>
    <w:rsid w:val="00E82BCD"/>
    <w:rsid w:val="00E84E99"/>
    <w:rsid w:val="00E877D7"/>
    <w:rsid w:val="00E91102"/>
    <w:rsid w:val="00E92DD5"/>
    <w:rsid w:val="00E93CF0"/>
    <w:rsid w:val="00E93D92"/>
    <w:rsid w:val="00E952B7"/>
    <w:rsid w:val="00E9585E"/>
    <w:rsid w:val="00E9733E"/>
    <w:rsid w:val="00EA0448"/>
    <w:rsid w:val="00EA0646"/>
    <w:rsid w:val="00EA0DB1"/>
    <w:rsid w:val="00EA13ED"/>
    <w:rsid w:val="00EA1C48"/>
    <w:rsid w:val="00EA403C"/>
    <w:rsid w:val="00EA4855"/>
    <w:rsid w:val="00EA6B01"/>
    <w:rsid w:val="00EB2A43"/>
    <w:rsid w:val="00EB3597"/>
    <w:rsid w:val="00EB37AC"/>
    <w:rsid w:val="00EB436A"/>
    <w:rsid w:val="00EB4DC6"/>
    <w:rsid w:val="00EB57CA"/>
    <w:rsid w:val="00EB741A"/>
    <w:rsid w:val="00EC0B3C"/>
    <w:rsid w:val="00EC0B60"/>
    <w:rsid w:val="00EC3194"/>
    <w:rsid w:val="00EC700D"/>
    <w:rsid w:val="00EC77FD"/>
    <w:rsid w:val="00ED058A"/>
    <w:rsid w:val="00ED6286"/>
    <w:rsid w:val="00EE2C8D"/>
    <w:rsid w:val="00EE69BC"/>
    <w:rsid w:val="00EE70E1"/>
    <w:rsid w:val="00EF024B"/>
    <w:rsid w:val="00EF1867"/>
    <w:rsid w:val="00EF1E30"/>
    <w:rsid w:val="00EF33CB"/>
    <w:rsid w:val="00EF4762"/>
    <w:rsid w:val="00F00783"/>
    <w:rsid w:val="00F00937"/>
    <w:rsid w:val="00F01D06"/>
    <w:rsid w:val="00F02C43"/>
    <w:rsid w:val="00F0687C"/>
    <w:rsid w:val="00F10B0D"/>
    <w:rsid w:val="00F13587"/>
    <w:rsid w:val="00F14208"/>
    <w:rsid w:val="00F1517D"/>
    <w:rsid w:val="00F155F4"/>
    <w:rsid w:val="00F16A87"/>
    <w:rsid w:val="00F27277"/>
    <w:rsid w:val="00F27373"/>
    <w:rsid w:val="00F30CCB"/>
    <w:rsid w:val="00F31FE8"/>
    <w:rsid w:val="00F326E7"/>
    <w:rsid w:val="00F32E21"/>
    <w:rsid w:val="00F37092"/>
    <w:rsid w:val="00F37BC6"/>
    <w:rsid w:val="00F40274"/>
    <w:rsid w:val="00F43840"/>
    <w:rsid w:val="00F458A6"/>
    <w:rsid w:val="00F478AA"/>
    <w:rsid w:val="00F50007"/>
    <w:rsid w:val="00F5141F"/>
    <w:rsid w:val="00F529B2"/>
    <w:rsid w:val="00F548E6"/>
    <w:rsid w:val="00F55BB2"/>
    <w:rsid w:val="00F57120"/>
    <w:rsid w:val="00F6185C"/>
    <w:rsid w:val="00F64460"/>
    <w:rsid w:val="00F65129"/>
    <w:rsid w:val="00F66972"/>
    <w:rsid w:val="00F67207"/>
    <w:rsid w:val="00F75F03"/>
    <w:rsid w:val="00F7705A"/>
    <w:rsid w:val="00F80684"/>
    <w:rsid w:val="00F8167E"/>
    <w:rsid w:val="00F852E3"/>
    <w:rsid w:val="00F858C5"/>
    <w:rsid w:val="00F85F77"/>
    <w:rsid w:val="00F873C9"/>
    <w:rsid w:val="00F9120F"/>
    <w:rsid w:val="00F91885"/>
    <w:rsid w:val="00F9564C"/>
    <w:rsid w:val="00F9658E"/>
    <w:rsid w:val="00F97F6D"/>
    <w:rsid w:val="00FA22C1"/>
    <w:rsid w:val="00FA2F3B"/>
    <w:rsid w:val="00FA30BB"/>
    <w:rsid w:val="00FA474D"/>
    <w:rsid w:val="00FA6CB4"/>
    <w:rsid w:val="00FB2091"/>
    <w:rsid w:val="00FB47D9"/>
    <w:rsid w:val="00FB4F69"/>
    <w:rsid w:val="00FB5F31"/>
    <w:rsid w:val="00FB6C10"/>
    <w:rsid w:val="00FC61BF"/>
    <w:rsid w:val="00FC6AE2"/>
    <w:rsid w:val="00FD3755"/>
    <w:rsid w:val="00FD3F12"/>
    <w:rsid w:val="00FD6FBA"/>
    <w:rsid w:val="00FD712F"/>
    <w:rsid w:val="00FD7D7E"/>
    <w:rsid w:val="00FE0884"/>
    <w:rsid w:val="00FE0B56"/>
    <w:rsid w:val="00FE31F9"/>
    <w:rsid w:val="00FE3873"/>
    <w:rsid w:val="00FE38F8"/>
    <w:rsid w:val="00FE4A6B"/>
    <w:rsid w:val="00FF0A56"/>
    <w:rsid w:val="00FF1B8B"/>
    <w:rsid w:val="00FF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E79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06"/>
    <w:rPr>
      <w:rFonts w:ascii="Garamond" w:hAnsi="Garamond"/>
    </w:rPr>
  </w:style>
  <w:style w:type="paragraph" w:styleId="Heading1">
    <w:name w:val="heading 1"/>
    <w:basedOn w:val="Normal"/>
    <w:next w:val="Normal"/>
    <w:link w:val="Heading1Char"/>
    <w:uiPriority w:val="9"/>
    <w:qFormat/>
    <w:rsid w:val="00E60A61"/>
    <w:pPr>
      <w:keepNext/>
      <w:keepLines/>
      <w:spacing w:before="360" w:after="80"/>
      <w:outlineLvl w:val="0"/>
    </w:pPr>
    <w:rPr>
      <w:rFonts w:eastAsiaTheme="majorEastAsia" w:cstheme="majorBidi"/>
      <w:color w:val="0F4761" w:themeColor="accent1" w:themeShade="BF"/>
      <w:sz w:val="36"/>
      <w:szCs w:val="40"/>
    </w:rPr>
  </w:style>
  <w:style w:type="paragraph" w:styleId="Heading2">
    <w:name w:val="heading 2"/>
    <w:basedOn w:val="Normal"/>
    <w:next w:val="Normal"/>
    <w:link w:val="Heading2Char"/>
    <w:uiPriority w:val="9"/>
    <w:unhideWhenUsed/>
    <w:qFormat/>
    <w:rsid w:val="002312A8"/>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3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14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A61"/>
    <w:rPr>
      <w:rFonts w:ascii="Garamond" w:eastAsiaTheme="majorEastAsia" w:hAnsi="Garamond" w:cstheme="majorBidi"/>
      <w:color w:val="0F4761" w:themeColor="accent1" w:themeShade="BF"/>
      <w:sz w:val="36"/>
      <w:szCs w:val="40"/>
    </w:rPr>
  </w:style>
  <w:style w:type="character" w:customStyle="1" w:styleId="Heading2Char">
    <w:name w:val="Heading 2 Char"/>
    <w:basedOn w:val="DefaultParagraphFont"/>
    <w:link w:val="Heading2"/>
    <w:uiPriority w:val="9"/>
    <w:rsid w:val="002312A8"/>
    <w:rPr>
      <w:rFonts w:ascii="Garamond" w:eastAsiaTheme="majorEastAsia" w:hAnsi="Garamond" w:cstheme="majorBidi"/>
      <w:color w:val="0F4761" w:themeColor="accent1" w:themeShade="BF"/>
      <w:sz w:val="32"/>
      <w:szCs w:val="32"/>
    </w:rPr>
  </w:style>
  <w:style w:type="character" w:customStyle="1" w:styleId="Heading3Char">
    <w:name w:val="Heading 3 Char"/>
    <w:basedOn w:val="DefaultParagraphFont"/>
    <w:link w:val="Heading3"/>
    <w:uiPriority w:val="9"/>
    <w:rsid w:val="00EB3597"/>
    <w:rPr>
      <w:rFonts w:ascii="Garamond" w:eastAsiaTheme="majorEastAsia" w:hAnsi="Garamond" w:cstheme="majorBidi"/>
      <w:color w:val="0F4761" w:themeColor="accent1" w:themeShade="BF"/>
      <w:sz w:val="28"/>
      <w:szCs w:val="28"/>
    </w:rPr>
  </w:style>
  <w:style w:type="character" w:customStyle="1" w:styleId="Heading4Char">
    <w:name w:val="Heading 4 Char"/>
    <w:basedOn w:val="DefaultParagraphFont"/>
    <w:link w:val="Heading4"/>
    <w:uiPriority w:val="9"/>
    <w:rsid w:val="00027101"/>
    <w:rPr>
      <w:rFonts w:ascii="Garamond" w:eastAsiaTheme="majorEastAsia" w:hAnsi="Garamond" w:cstheme="majorBidi"/>
      <w:i/>
      <w:iCs/>
      <w:color w:val="0F4761" w:themeColor="accent1" w:themeShade="BF"/>
    </w:rPr>
  </w:style>
  <w:style w:type="character" w:customStyle="1" w:styleId="Heading5Char">
    <w:name w:val="Heading 5 Char"/>
    <w:basedOn w:val="DefaultParagraphFont"/>
    <w:link w:val="Heading5"/>
    <w:uiPriority w:val="9"/>
    <w:semiHidden/>
    <w:rsid w:val="00B14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806"/>
    <w:rPr>
      <w:rFonts w:eastAsiaTheme="majorEastAsia" w:cstheme="majorBidi"/>
      <w:color w:val="272727" w:themeColor="text1" w:themeTint="D8"/>
    </w:rPr>
  </w:style>
  <w:style w:type="paragraph" w:styleId="Title">
    <w:name w:val="Title"/>
    <w:basedOn w:val="Normal"/>
    <w:next w:val="Normal"/>
    <w:link w:val="TitleChar"/>
    <w:uiPriority w:val="10"/>
    <w:qFormat/>
    <w:rsid w:val="00B14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806"/>
    <w:pPr>
      <w:spacing w:before="160"/>
      <w:jc w:val="center"/>
    </w:pPr>
    <w:rPr>
      <w:i/>
      <w:iCs/>
      <w:color w:val="404040" w:themeColor="text1" w:themeTint="BF"/>
    </w:rPr>
  </w:style>
  <w:style w:type="character" w:customStyle="1" w:styleId="QuoteChar">
    <w:name w:val="Quote Char"/>
    <w:basedOn w:val="DefaultParagraphFont"/>
    <w:link w:val="Quote"/>
    <w:uiPriority w:val="29"/>
    <w:rsid w:val="00B14806"/>
    <w:rPr>
      <w:i/>
      <w:iCs/>
      <w:color w:val="404040" w:themeColor="text1" w:themeTint="BF"/>
    </w:rPr>
  </w:style>
  <w:style w:type="paragraph" w:styleId="ListParagraph">
    <w:name w:val="List Paragraph"/>
    <w:basedOn w:val="Normal"/>
    <w:uiPriority w:val="34"/>
    <w:qFormat/>
    <w:rsid w:val="00B14806"/>
    <w:pPr>
      <w:ind w:left="720"/>
      <w:contextualSpacing/>
    </w:pPr>
  </w:style>
  <w:style w:type="character" w:styleId="IntenseEmphasis">
    <w:name w:val="Intense Emphasis"/>
    <w:basedOn w:val="DefaultParagraphFont"/>
    <w:uiPriority w:val="21"/>
    <w:qFormat/>
    <w:rsid w:val="00B14806"/>
    <w:rPr>
      <w:i/>
      <w:iCs/>
      <w:color w:val="0F4761" w:themeColor="accent1" w:themeShade="BF"/>
    </w:rPr>
  </w:style>
  <w:style w:type="paragraph" w:styleId="IntenseQuote">
    <w:name w:val="Intense Quote"/>
    <w:basedOn w:val="Normal"/>
    <w:next w:val="Normal"/>
    <w:link w:val="IntenseQuoteChar"/>
    <w:uiPriority w:val="30"/>
    <w:qFormat/>
    <w:rsid w:val="00B14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806"/>
    <w:rPr>
      <w:i/>
      <w:iCs/>
      <w:color w:val="0F4761" w:themeColor="accent1" w:themeShade="BF"/>
    </w:rPr>
  </w:style>
  <w:style w:type="character" w:styleId="IntenseReference">
    <w:name w:val="Intense Reference"/>
    <w:basedOn w:val="DefaultParagraphFont"/>
    <w:uiPriority w:val="32"/>
    <w:qFormat/>
    <w:rsid w:val="00B14806"/>
    <w:rPr>
      <w:b/>
      <w:bCs/>
      <w:smallCaps/>
      <w:color w:val="0F4761" w:themeColor="accent1" w:themeShade="BF"/>
      <w:spacing w:val="5"/>
    </w:rPr>
  </w:style>
  <w:style w:type="paragraph" w:styleId="Revision">
    <w:name w:val="Revision"/>
    <w:hidden/>
    <w:uiPriority w:val="99"/>
    <w:semiHidden/>
    <w:rsid w:val="004D6863"/>
    <w:pPr>
      <w:spacing w:after="0" w:line="240" w:lineRule="auto"/>
    </w:pPr>
    <w:rPr>
      <w:rFonts w:ascii="Garamond" w:hAnsi="Garamond"/>
    </w:rPr>
  </w:style>
  <w:style w:type="character" w:styleId="CommentReference">
    <w:name w:val="annotation reference"/>
    <w:basedOn w:val="DefaultParagraphFont"/>
    <w:uiPriority w:val="99"/>
    <w:semiHidden/>
    <w:unhideWhenUsed/>
    <w:rsid w:val="00E25774"/>
    <w:rPr>
      <w:sz w:val="16"/>
      <w:szCs w:val="16"/>
    </w:rPr>
  </w:style>
  <w:style w:type="paragraph" w:styleId="CommentText">
    <w:name w:val="annotation text"/>
    <w:basedOn w:val="Normal"/>
    <w:link w:val="CommentTextChar"/>
    <w:uiPriority w:val="99"/>
    <w:unhideWhenUsed/>
    <w:rsid w:val="00E25774"/>
    <w:pPr>
      <w:spacing w:line="240" w:lineRule="auto"/>
    </w:pPr>
    <w:rPr>
      <w:sz w:val="20"/>
      <w:szCs w:val="20"/>
    </w:rPr>
  </w:style>
  <w:style w:type="character" w:customStyle="1" w:styleId="CommentTextChar">
    <w:name w:val="Comment Text Char"/>
    <w:basedOn w:val="DefaultParagraphFont"/>
    <w:link w:val="CommentText"/>
    <w:uiPriority w:val="99"/>
    <w:rsid w:val="00E2577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E25774"/>
    <w:rPr>
      <w:b/>
      <w:bCs/>
    </w:rPr>
  </w:style>
  <w:style w:type="character" w:customStyle="1" w:styleId="CommentSubjectChar">
    <w:name w:val="Comment Subject Char"/>
    <w:basedOn w:val="CommentTextChar"/>
    <w:link w:val="CommentSubject"/>
    <w:uiPriority w:val="99"/>
    <w:semiHidden/>
    <w:rsid w:val="00E25774"/>
    <w:rPr>
      <w:rFonts w:ascii="Garamond" w:hAnsi="Garamond"/>
      <w:b/>
      <w:bCs/>
      <w:sz w:val="20"/>
      <w:szCs w:val="20"/>
    </w:rPr>
  </w:style>
  <w:style w:type="paragraph" w:styleId="Header">
    <w:name w:val="header"/>
    <w:basedOn w:val="Normal"/>
    <w:link w:val="HeaderChar"/>
    <w:uiPriority w:val="99"/>
    <w:unhideWhenUsed/>
    <w:rsid w:val="007D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7ED"/>
    <w:rPr>
      <w:rFonts w:ascii="Garamond" w:hAnsi="Garamond"/>
    </w:rPr>
  </w:style>
  <w:style w:type="paragraph" w:styleId="Footer">
    <w:name w:val="footer"/>
    <w:basedOn w:val="Normal"/>
    <w:link w:val="FooterChar"/>
    <w:uiPriority w:val="99"/>
    <w:unhideWhenUsed/>
    <w:rsid w:val="007D3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7ED"/>
    <w:rPr>
      <w:rFonts w:ascii="Garamond" w:hAnsi="Garamond"/>
    </w:rPr>
  </w:style>
  <w:style w:type="character" w:styleId="Hyperlink">
    <w:name w:val="Hyperlink"/>
    <w:basedOn w:val="DefaultParagraphFont"/>
    <w:uiPriority w:val="99"/>
    <w:unhideWhenUsed/>
    <w:rsid w:val="00A675C4"/>
    <w:rPr>
      <w:color w:val="467886" w:themeColor="hyperlink"/>
      <w:u w:val="single"/>
    </w:rPr>
  </w:style>
  <w:style w:type="character" w:styleId="UnresolvedMention">
    <w:name w:val="Unresolved Mention"/>
    <w:basedOn w:val="DefaultParagraphFont"/>
    <w:uiPriority w:val="99"/>
    <w:semiHidden/>
    <w:unhideWhenUsed/>
    <w:rsid w:val="00A675C4"/>
    <w:rPr>
      <w:color w:val="605E5C"/>
      <w:shd w:val="clear" w:color="auto" w:fill="E1DFDD"/>
    </w:rPr>
  </w:style>
  <w:style w:type="paragraph" w:styleId="FootnoteText">
    <w:name w:val="footnote text"/>
    <w:basedOn w:val="Normal"/>
    <w:link w:val="FootnoteTextChar"/>
    <w:uiPriority w:val="99"/>
    <w:semiHidden/>
    <w:unhideWhenUsed/>
    <w:rsid w:val="00E25BA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E25BA4"/>
    <w:rPr>
      <w:sz w:val="20"/>
      <w:szCs w:val="20"/>
    </w:rPr>
  </w:style>
  <w:style w:type="character" w:styleId="FootnoteReference">
    <w:name w:val="footnote reference"/>
    <w:basedOn w:val="DefaultParagraphFont"/>
    <w:uiPriority w:val="99"/>
    <w:semiHidden/>
    <w:unhideWhenUsed/>
    <w:rsid w:val="00E25BA4"/>
    <w:rPr>
      <w:vertAlign w:val="superscript"/>
    </w:rPr>
  </w:style>
  <w:style w:type="character" w:customStyle="1" w:styleId="c-doc-para-italic">
    <w:name w:val="c-doc-para-italic"/>
    <w:basedOn w:val="DefaultParagraphFont"/>
    <w:rsid w:val="00E25BA4"/>
  </w:style>
  <w:style w:type="character" w:styleId="FollowedHyperlink">
    <w:name w:val="FollowedHyperlink"/>
    <w:basedOn w:val="DefaultParagraphFont"/>
    <w:uiPriority w:val="99"/>
    <w:semiHidden/>
    <w:unhideWhenUsed/>
    <w:rsid w:val="00C06987"/>
    <w:rPr>
      <w:color w:val="96607D" w:themeColor="followedHyperlink"/>
      <w:u w:val="single"/>
    </w:rPr>
  </w:style>
  <w:style w:type="paragraph" w:styleId="PlainText">
    <w:name w:val="Plain Text"/>
    <w:basedOn w:val="Normal"/>
    <w:link w:val="PlainTextChar"/>
    <w:uiPriority w:val="99"/>
    <w:unhideWhenUsed/>
    <w:rsid w:val="00C83E81"/>
    <w:pPr>
      <w:spacing w:after="0" w:line="240" w:lineRule="auto"/>
    </w:pPr>
    <w:rPr>
      <w:kern w:val="0"/>
      <w:sz w:val="26"/>
      <w:szCs w:val="21"/>
      <w14:ligatures w14:val="none"/>
    </w:rPr>
  </w:style>
  <w:style w:type="character" w:customStyle="1" w:styleId="PlainTextChar">
    <w:name w:val="Plain Text Char"/>
    <w:basedOn w:val="DefaultParagraphFont"/>
    <w:link w:val="PlainText"/>
    <w:uiPriority w:val="99"/>
    <w:rsid w:val="00C83E81"/>
    <w:rPr>
      <w:rFonts w:ascii="Garamond" w:hAnsi="Garamond"/>
      <w:kern w:val="0"/>
      <w:sz w:val="26"/>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29955">
      <w:bodyDiv w:val="1"/>
      <w:marLeft w:val="0"/>
      <w:marRight w:val="0"/>
      <w:marTop w:val="0"/>
      <w:marBottom w:val="0"/>
      <w:divBdr>
        <w:top w:val="none" w:sz="0" w:space="0" w:color="auto"/>
        <w:left w:val="none" w:sz="0" w:space="0" w:color="auto"/>
        <w:bottom w:val="none" w:sz="0" w:space="0" w:color="auto"/>
        <w:right w:val="none" w:sz="0" w:space="0" w:color="auto"/>
      </w:divBdr>
    </w:div>
    <w:div w:id="795216108">
      <w:bodyDiv w:val="1"/>
      <w:marLeft w:val="0"/>
      <w:marRight w:val="0"/>
      <w:marTop w:val="0"/>
      <w:marBottom w:val="0"/>
      <w:divBdr>
        <w:top w:val="none" w:sz="0" w:space="0" w:color="auto"/>
        <w:left w:val="none" w:sz="0" w:space="0" w:color="auto"/>
        <w:bottom w:val="none" w:sz="0" w:space="0" w:color="auto"/>
        <w:right w:val="none" w:sz="0" w:space="0" w:color="auto"/>
      </w:divBdr>
    </w:div>
    <w:div w:id="1064185439">
      <w:bodyDiv w:val="1"/>
      <w:marLeft w:val="0"/>
      <w:marRight w:val="0"/>
      <w:marTop w:val="0"/>
      <w:marBottom w:val="0"/>
      <w:divBdr>
        <w:top w:val="none" w:sz="0" w:space="0" w:color="auto"/>
        <w:left w:val="none" w:sz="0" w:space="0" w:color="auto"/>
        <w:bottom w:val="none" w:sz="0" w:space="0" w:color="auto"/>
        <w:right w:val="none" w:sz="0" w:space="0" w:color="auto"/>
      </w:divBdr>
    </w:div>
    <w:div w:id="1308823695">
      <w:bodyDiv w:val="1"/>
      <w:marLeft w:val="0"/>
      <w:marRight w:val="0"/>
      <w:marTop w:val="0"/>
      <w:marBottom w:val="0"/>
      <w:divBdr>
        <w:top w:val="none" w:sz="0" w:space="0" w:color="auto"/>
        <w:left w:val="none" w:sz="0" w:space="0" w:color="auto"/>
        <w:bottom w:val="none" w:sz="0" w:space="0" w:color="auto"/>
        <w:right w:val="none" w:sz="0" w:space="0" w:color="auto"/>
      </w:divBdr>
    </w:div>
    <w:div w:id="1331370025">
      <w:bodyDiv w:val="1"/>
      <w:marLeft w:val="0"/>
      <w:marRight w:val="0"/>
      <w:marTop w:val="0"/>
      <w:marBottom w:val="0"/>
      <w:divBdr>
        <w:top w:val="none" w:sz="0" w:space="0" w:color="auto"/>
        <w:left w:val="none" w:sz="0" w:space="0" w:color="auto"/>
        <w:bottom w:val="none" w:sz="0" w:space="0" w:color="auto"/>
        <w:right w:val="none" w:sz="0" w:space="0" w:color="auto"/>
      </w:divBdr>
    </w:div>
    <w:div w:id="19663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rosser@mtc.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hrome-extension://efaidnbmnnnibpcajpcglclefindmkaj/https:/www.congress.gov/106/plaws/publ252/PLAW-106publ25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uscode.house.gov/view.xhtml?req=(title:47%20section:151%20edition:prelim)" TargetMode="External"/><Relationship Id="rId4" Type="http://schemas.openxmlformats.org/officeDocument/2006/relationships/webSettings" Target="webSettings.xml"/><Relationship Id="rId9" Type="http://schemas.openxmlformats.org/officeDocument/2006/relationships/hyperlink" Target="mailto:jwhite@mtc.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treamlinedsalestax.org/docs/default-source/agreement/ssuta/ssuta-as-amended-through-11-7-23-with-hyperlinks-and-compiler-notes-at-end--clean.pdf?sfvrsn=dcb5bef0_4" TargetMode="External"/><Relationship Id="rId2" Type="http://schemas.openxmlformats.org/officeDocument/2006/relationships/hyperlink" Target="https://www.streamlinedsalestax.org/docs/default-source/agreement/ssuta/ssuta-as-amended-through-11-7-23-with-hyperlinks-and-compiler-notes-at-end--clean.pdf?sfvrsn=dcb5bef0_4" TargetMode="External"/><Relationship Id="rId1" Type="http://schemas.openxmlformats.org/officeDocument/2006/relationships/hyperlink" Target="https://www.mtc.gov/uniformity/sales-tax-on-digital-products/" TargetMode="External"/><Relationship Id="rId4" Type="http://schemas.openxmlformats.org/officeDocument/2006/relationships/hyperlink" Target="https://www.streamlinedsalestax.org/docs/default-source/agreement/ssuta/ssuta-as-amended-through-11-7-23-with-hyperlinks-and-compiler-notes-at-end--clean.pdf?sfvrsn=dcb5bef0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7943</Words>
  <Characters>45278</Characters>
  <Application>Microsoft Office Word</Application>
  <DocSecurity>4</DocSecurity>
  <Lines>377</Lines>
  <Paragraphs>106</Paragraphs>
  <ScaleCrop>false</ScaleCrop>
  <Company/>
  <LinksUpToDate>false</LinksUpToDate>
  <CharactersWithSpaces>53115</CharactersWithSpaces>
  <SharedDoc>false</SharedDoc>
  <HLinks>
    <vt:vector size="12" baseType="variant">
      <vt:variant>
        <vt:i4>6357080</vt:i4>
      </vt:variant>
      <vt:variant>
        <vt:i4>3</vt:i4>
      </vt:variant>
      <vt:variant>
        <vt:i4>0</vt:i4>
      </vt:variant>
      <vt:variant>
        <vt:i4>5</vt:i4>
      </vt:variant>
      <vt:variant>
        <vt:lpwstr>mailto:jwhite@mtc.gov</vt:lpwstr>
      </vt:variant>
      <vt:variant>
        <vt:lpwstr/>
      </vt:variant>
      <vt:variant>
        <vt:i4>1900605</vt:i4>
      </vt:variant>
      <vt:variant>
        <vt:i4>0</vt:i4>
      </vt:variant>
      <vt:variant>
        <vt:i4>0</vt:i4>
      </vt:variant>
      <vt:variant>
        <vt:i4>5</vt:i4>
      </vt:variant>
      <vt:variant>
        <vt:lpwstr>mailto:nprosser@mtc.gov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2024-09-03T17:30:00Z</dcterms:created>
  <dcterms:modified xsi:type="dcterms:W3CDTF">2024-09-03T17:30:00Z</dcterms:modified>
</cp:coreProperties>
</file>